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Pr="00B304E9" w:rsidRDefault="00FA5CB4" w:rsidP="00FA5CB4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FA5CB4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FA5CB4" w:rsidRDefault="00FA5CB4" w:rsidP="00FA5CB4"/>
    <w:p w:rsidR="00FA5CB4" w:rsidRPr="003756C2" w:rsidRDefault="00FA5CB4" w:rsidP="00FA5CB4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FA5CB4" w:rsidRPr="00B87595" w:rsidRDefault="00FA5CB4" w:rsidP="00FA5CB4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FA5CB4" w:rsidRDefault="00FA5CB4" w:rsidP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Pr="00931A63" w:rsidRDefault="00FA5CB4" w:rsidP="00FA5CB4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E3059B">
        <w:rPr>
          <w:rFonts w:asciiTheme="majorHAnsi" w:hAnsiTheme="majorHAnsi" w:cs="MyriadPro-Black"/>
          <w:caps/>
          <w:sz w:val="40"/>
          <w:szCs w:val="40"/>
        </w:rPr>
        <w:t>8</w:t>
      </w:r>
    </w:p>
    <w:p w:rsidR="00FA5CB4" w:rsidRDefault="00FA5CB4" w:rsidP="00FA5CB4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FA5CB4" w:rsidRDefault="00FA5CB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FA5CB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ZPRÁVA O UDRŽITELNOSTI PROJEKTU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–</w:t>
      </w:r>
      <w:r w:rsidRPr="00FA5CB4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VZOR</w:t>
      </w:r>
    </w:p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02740D" w:rsidRDefault="0002740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A7619F" w:rsidRDefault="00A761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A7619F" w:rsidRDefault="00A7619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0565A" w:rsidRPr="00945843" w:rsidRDefault="00F0565A" w:rsidP="00F0565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717B0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717B0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6F007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F0565A" w:rsidRPr="00945843" w:rsidRDefault="00F0565A" w:rsidP="00F0565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6F007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="002A126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6F007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2A126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6F007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  <w:bookmarkStart w:id="0" w:name="_GoBack"/>
      <w:bookmarkEnd w:id="0"/>
    </w:p>
    <w:p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A5CB4" w:rsidRDefault="00FA5CB4" w:rsidP="005B7936">
      <w:pPr>
        <w:spacing w:after="200" w:line="276" w:lineRule="auto"/>
        <w:jc w:val="center"/>
        <w:rPr>
          <w:rFonts w:ascii="Arial" w:hAnsi="Arial" w:cs="Arial"/>
          <w:b/>
          <w:sz w:val="40"/>
          <w:szCs w:val="40"/>
        </w:rPr>
        <w:sectPr w:rsidR="00FA5CB4" w:rsidSect="00A7619F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D67EE" w:rsidRPr="008D67EE" w:rsidRDefault="008D67EE" w:rsidP="008D67EE">
      <w:pPr>
        <w:pStyle w:val="MPtext"/>
        <w:rPr>
          <w:b/>
        </w:rPr>
      </w:pPr>
      <w:r w:rsidRPr="008D67EE">
        <w:rPr>
          <w:b/>
        </w:rPr>
        <w:lastRenderedPageBreak/>
        <w:t>Úvodní strana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707"/>
        <w:gridCol w:w="5616"/>
        <w:gridCol w:w="2980"/>
        <w:gridCol w:w="1917"/>
      </w:tblGrid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  <w:rPr>
                <w:rStyle w:val="Odkaznakoment"/>
              </w:rPr>
            </w:pPr>
            <w:r>
              <w:t>Datová položka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Plnění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Program spolufinancovaný z ENRF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 w:rsidRPr="008D67EE">
              <w:t>Název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t xml:space="preserve">Průběžná zpráva o udržitelnosti individuálního projektu </w:t>
            </w:r>
            <w:r>
              <w:rPr>
                <w:rFonts w:eastAsia="Times New Roman" w:cs="Times New Roman"/>
              </w:rPr>
              <w:t xml:space="preserve">č. X / </w:t>
            </w:r>
            <w:r>
              <w:t xml:space="preserve">Závěrečná zpráva o udržitelnosti individuálního projektu </w:t>
            </w:r>
            <w:r>
              <w:rPr>
                <w:rFonts w:eastAsia="Times New Roman" w:cs="Times New Roman"/>
              </w:rPr>
              <w:t>č. X</w:t>
            </w:r>
          </w:p>
          <w:p w:rsidR="008D67EE" w:rsidRDefault="008D67EE" w:rsidP="00F329F4">
            <w:pPr>
              <w:pStyle w:val="MPtabtext"/>
            </w:pPr>
          </w:p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rPr>
                <w:lang w:eastAsia="cs-CZ"/>
              </w:rPr>
              <w:t xml:space="preserve">Průběžná </w:t>
            </w:r>
            <w:r>
              <w:t xml:space="preserve">zpráva o udržitelnosti velkého projektu </w:t>
            </w:r>
            <w:r>
              <w:rPr>
                <w:rFonts w:eastAsia="Times New Roman" w:cs="Times New Roman"/>
              </w:rPr>
              <w:t xml:space="preserve">č. X / Závěrečná </w:t>
            </w:r>
            <w:r>
              <w:t xml:space="preserve">zpráva o udržitelnosti velkého projektu </w:t>
            </w:r>
            <w:r>
              <w:rPr>
                <w:rFonts w:eastAsia="Times New Roman" w:cs="Times New Roman"/>
              </w:rPr>
              <w:t>č. X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  <w:p w:rsidR="008D67EE" w:rsidRDefault="008D67EE" w:rsidP="00F329F4">
            <w:pPr>
              <w:pStyle w:val="MPtabtext"/>
            </w:pPr>
            <w:r>
              <w:t>X = registrační číslo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rPr>
          <w:trHeight w:val="141"/>
        </w:trPr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 w:rsidRPr="008D67EE">
              <w:t>Program / DoP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Číselník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  <w:rPr>
                <w:lang w:eastAsia="cs-CZ"/>
              </w:rPr>
            </w:pPr>
            <w:r>
              <w:t>Typ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lang w:eastAsia="cs-CZ"/>
              </w:rPr>
            </w:pPr>
            <w:r>
              <w:t>Realizační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  <w:rPr>
                <w:lang w:eastAsia="cs-CZ"/>
              </w:rPr>
            </w:pPr>
            <w:r>
              <w:t>Druh dokumentu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Zpráva o udržitelnosti individuálního projektu</w:t>
            </w:r>
          </w:p>
          <w:p w:rsidR="008D67EE" w:rsidRDefault="008D67EE" w:rsidP="00F329F4">
            <w:pPr>
              <w:pStyle w:val="MPtabtext"/>
              <w:numPr>
                <w:ilvl w:val="0"/>
                <w:numId w:val="27"/>
              </w:numPr>
              <w:rPr>
                <w:lang w:eastAsia="cs-CZ"/>
              </w:rPr>
            </w:pPr>
            <w:r>
              <w:t>Zpráva o udržitelnosti velkého projektu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F329F4"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Logo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</w:tbl>
    <w:p w:rsidR="008D67EE" w:rsidRDefault="008D67EE" w:rsidP="008D67EE">
      <w:pPr>
        <w:rPr>
          <w:rFonts w:ascii="Arial" w:eastAsiaTheme="minorEastAsia" w:hAnsi="Arial" w:cstheme="minorBidi"/>
          <w:b/>
          <w:color w:val="808080" w:themeColor="background1" w:themeShade="80"/>
          <w:sz w:val="20"/>
          <w:szCs w:val="20"/>
          <w:lang w:eastAsia="en-US" w:bidi="en-US"/>
        </w:rPr>
      </w:pPr>
    </w:p>
    <w:p w:rsidR="008D67EE" w:rsidRPr="008D67EE" w:rsidRDefault="008D67EE" w:rsidP="008D67EE">
      <w:pPr>
        <w:pStyle w:val="MPtext"/>
        <w:rPr>
          <w:b/>
        </w:rPr>
      </w:pPr>
      <w:r w:rsidRPr="008D67EE">
        <w:rPr>
          <w:b/>
        </w:rPr>
        <w:t>Obsah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05"/>
        <w:gridCol w:w="1775"/>
        <w:gridCol w:w="2235"/>
        <w:gridCol w:w="1789"/>
        <w:gridCol w:w="2730"/>
        <w:gridCol w:w="3069"/>
        <w:gridCol w:w="1917"/>
      </w:tblGrid>
      <w:tr w:rsidR="008D67EE" w:rsidTr="00581A25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Číslo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Kapitola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Datová položka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Závaznost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Plnění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radek"/>
            </w:pPr>
            <w:r>
              <w:t>Program spolufinancovaný z ENRF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Základní informace o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Registrační číslo projektu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Vyplňuje se automaticky s tím, že se zobrazují pouze ty datové položky a k nim údaje, které jsou v případě daného projektu relevantní.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Přenášená data jsou navázána na konkrétní projekt.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Název projektu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zprávě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Identifikační číslo zprávy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Typ zprávy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Pořadové číslo zprávy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56431B" w:rsidP="00F329F4">
            <w:pPr>
              <w:pStyle w:val="MPtabtext"/>
            </w:pPr>
            <w:r>
              <w:rPr>
                <w:rFonts w:eastAsia="Times New Roman" w:cs="Times New Roman"/>
              </w:rPr>
              <w:t xml:space="preserve">Předpokládané </w:t>
            </w:r>
            <w:r w:rsidR="008D67EE">
              <w:rPr>
                <w:rFonts w:eastAsia="Times New Roman" w:cs="Times New Roman"/>
              </w:rPr>
              <w:t xml:space="preserve">datum </w:t>
            </w:r>
            <w:r w:rsidR="008D67EE">
              <w:rPr>
                <w:rFonts w:eastAsia="Times New Roman" w:cs="Times New Roman"/>
              </w:rPr>
              <w:lastRenderedPageBreak/>
              <w:t>podání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Datum, ke kterému měl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příjemce dle harmonogramu zpráv tuto zprávu podat ŘO / ZS.</w:t>
            </w:r>
          </w:p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Sledované období od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Datum od stavu „Projekt finančně ukončen ŘO“ v případě první ZoU projektu. V případě dalších ZoU projektu se jedná o datum následující po datu uvedeném v položce „Sledované období do“ v předchozí zprávě. 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Sledované období do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udržitelnosti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o plnění udržitelnosti projektu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o stavu projektu v době udržitelnosti.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 zastavení nebo přemístění výrobní činnosti mimo programovou oblast?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Došlo ke změně vlastnictví položky infrastruktury, která podniku / veřejnému subjektu poskytuje nepatřičnou výhodu?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volí jednu z položek 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Došlo k podstatné </w:t>
            </w:r>
            <w:r>
              <w:lastRenderedPageBreak/>
              <w:t>změně nepříznivě ovlivňující povahu, cíle nebo prováděcí podmínky operace, která by vedla k ohrožení jejích původních cílů?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Číselník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lastRenderedPageBreak/>
              <w:t>ano</w:t>
            </w:r>
          </w:p>
          <w:p w:rsidR="008D67EE" w:rsidRDefault="008D67EE" w:rsidP="00F329F4">
            <w:pPr>
              <w:pStyle w:val="MPtabtext"/>
              <w:numPr>
                <w:ilvl w:val="0"/>
                <w:numId w:val="30"/>
              </w:numPr>
            </w:pPr>
            <w:r>
              <w:t>ne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 xml:space="preserve">Příjemce volí jednu z položek </w:t>
            </w:r>
            <w:r>
              <w:lastRenderedPageBreak/>
              <w:t>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lastRenderedPageBreak/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uvede bližší upřesnění nastalé změny, pokud zvolil „ano“.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ukončení kolaudačního řízení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uvedení stavby do trvalého provozu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Plánované zajištění udržitelnosti projektu po zbytek doby udržitelnosti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předpokládaného zajištění provozu a údržby projektu po zbytek doby udržitelnosti.</w:t>
            </w:r>
          </w:p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prvnisloupec"/>
            </w:pPr>
            <w:r>
              <w:t>Informace o plnění indikátorů</w:t>
            </w:r>
          </w:p>
          <w:p w:rsidR="008D67EE" w:rsidRDefault="008D67EE" w:rsidP="00F329F4">
            <w:pPr>
              <w:pStyle w:val="MPtabprvnisloupec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Kód a název indikátoru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1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se automaticky dle NČI 2014+. Údaje se dotahují za každý indikátor, ke kterému se příjemce zavázal, a dotahují se z právního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  <w:r>
              <w:t>Měrná jednotka</w:t>
            </w:r>
          </w:p>
          <w:p w:rsidR="008D67EE" w:rsidRDefault="008D67EE" w:rsidP="00F329F4">
            <w:pPr>
              <w:pStyle w:val="MPtabtext"/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Environmentální indikátor (ENVI)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Výchozí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výchozí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Cílová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cílové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Dosažená hodnota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Formát dle NČI 2014+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 podle skutečnosti.</w:t>
            </w:r>
          </w:p>
          <w:p w:rsidR="008D67EE" w:rsidRDefault="008D67EE" w:rsidP="00F329F4">
            <w:pPr>
              <w:pStyle w:val="MPtabtext"/>
            </w:pPr>
            <w: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Datum dosažené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cs="Arial"/>
                <w:color w:val="000000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cs="Arial"/>
                <w:color w:val="000000"/>
              </w:rPr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Procento plnění cílové hodnoty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Automaticky. Pokud cílová hodnota indikátoru není součástí právního aktu o poskytnutí / převodu podpory, vyplňuje se N/A.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Komentář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Vysvětlení k dosažené hodnotě indikátoru.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firemních proměnných</w:t>
            </w:r>
          </w:p>
          <w:p w:rsidR="008D67EE" w:rsidRDefault="008D67EE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47528F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47528F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Firemní proměnné se aktualizují oproti žádosti o podporu za příjemce. Relevantní jen pro podnikatelské subjekty (právnické osoby, resp. obchodní společnosti a družstva dle práva ČR).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od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47528F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jen pro podnikatelské subjekty,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Počáteční datum účetního období, za které jsou uváděny firemní proměnné.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Relevantní pro podnikatelské subjekty (právnické osoby, resp. obchodní společnosti a družstva dle práva ČR). Jedná se o aktualizaci údajů oproti žádosti o podporu, resp. předchozí zprávě o realizaci / udržitelnosti projektu.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do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3A5DAD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Koncové datum účetního období, za které jsou uváděny firemní proměnné. Relevantní pro podnikatelské subjekty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(právnické osoby, resp. obchodní společnosti a družstva dle práva ČR). Jedná se o aktualizaci údajů oproti žádosti o podporu, resp. předchozí zprávě o realizaci / udržitelnosti projektu. </w:t>
            </w:r>
          </w:p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47528F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jen pro podnikatelské subjekty,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na 3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 dle nařízení 651/2014 (FTE). Relevantní pro podnikatelské subjekty (právnické osoby, resp. obchodní společnosti a družstva dle práva ČR), které vystupují jako typ subjektu - žadatel / příjemce. Údaj se vztahuje k IČ subjektu, tzn., nezohledňují se další vztahy (např. matky apod.). Jedná se o aktualizaci údajů oproti žádosti o podporu, resp. předchozí zprávě o realizaci / udržitelnosti projektu.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Roční obrat (EUR)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47528F">
            <w:pPr>
              <w:pStyle w:val="MPtabtext"/>
            </w:pPr>
            <w:r>
              <w:rPr>
                <w:rFonts w:eastAsia="Times New Roman" w:cs="Times New Roman"/>
              </w:rPr>
              <w:t xml:space="preserve">Povinná jen pro podnikatelské subjekty,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Roční obrat v měně EUR. Definice dle nařízení č. 651/2014. Relevantní pro podnikatelské subjekty (právnické osoby, resp. obchodní společnosti a družstva dle práva ČR), které vystupují jako typ subjektu - žadatel / příjemce. Údaj se vztahuje k IČ subjektu, tzn.,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nezohledňují se další vztahy (např. matky apod.)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Bilanční suma roční rozvahy (EUR)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47528F">
            <w:pPr>
              <w:pStyle w:val="MPtabtext"/>
            </w:pPr>
            <w:r>
              <w:rPr>
                <w:rFonts w:eastAsia="Times New Roman" w:cs="Times New Roman"/>
              </w:rPr>
              <w:t xml:space="preserve">Povinná jen pro podnikatelské subjekty,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Bilanční suma roční rozvahy v měně EUR. Relevantní pro podnikatelské subjekty (právnické osoby, resp. obchodní společnosti a družstva dle práva ČR). Údaj se vztahuje k IČ subjektu, tzn., nezohledňují se další vztahy (např. matky apod.). Jedná se o aktualizaci údajů oproti žádosti o podporu, resp. předchozí zprávě o realizaci / udržitelnosti projektu. 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 – přenáší se za subjekty, za které je údaj dostupný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synergie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Registrační číslo a název projektu, se kterým je projekt synergický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Povinné u projektů, které jsou označeny jako synergické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text"/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Identifikace zrcadlového (synergického) projektu.</w:t>
            </w:r>
          </w:p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Vyplňuje se automaticky dle údajů v právním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synergické vazby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Povinné u projektů, které jsou označeny jako synergické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Zhodnocení přínosu projektu ve vazbě na zrcadlový (synergický) projekt. Jaká je přidaná hodnota vzájemné realizace obou synergických projektů, jak probíhá spolupráce mezi příjemci projektů apod. Vyplňuje příjemce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plnění horizontálních principů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oblasti rovných příležitostí a nediskriminace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Povinná u projektů, u kterých žadatel / příjemce v žádosti o </w:t>
            </w:r>
            <w:r>
              <w:lastRenderedPageBreak/>
              <w:t>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Příjemce v rámci textového pole popíše, jaká byla provedena opatření pro zajištění HP rovnosti mezi muži a ženami.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zajištění rovnosti mužů a žen.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Příjemce v rámci textového pole popíše, jaká byla provedena opatření pro zajištění HP rovnosti mezi muži a ženami.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plnění cílů projektu v oblasti vlivu na životní prostředí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 xml:space="preserve">Příjemce v rámci textového pole popíše, jaká byla přijata opaření pro zajištění plnění ENVI indikátorů. Plnění ENVI indikátorů je automaticky provázáno se záložkou Indikátory.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abprvnisloupec"/>
            </w:pPr>
            <w:r>
              <w:t>Informace o příjmech</w:t>
            </w:r>
          </w:p>
          <w:p w:rsidR="008D67EE" w:rsidRDefault="008D67EE" w:rsidP="00F329F4">
            <w:pPr>
              <w:pStyle w:val="MPtabprvnisloupec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výše skutečně dosažených příjmů dle čl. 61 za sledované období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DC578B">
            <w:pPr>
              <w:pStyle w:val="MPtabtext"/>
            </w:pPr>
            <w: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příjmů dle čl. 61 kumulativně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DC578B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pro individuální projekty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ZoR a ZoU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8D67EE" w:rsidTr="00581A25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>Informace o zajištění povinné publicity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zajištění publicity v době udržitelnosti projektu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EE" w:rsidRDefault="008D67EE" w:rsidP="00F329F4">
            <w:pPr>
              <w:pStyle w:val="MPtext"/>
              <w:numPr>
                <w:ilvl w:val="0"/>
                <w:numId w:val="28"/>
              </w:num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prvnisloupec"/>
            </w:pPr>
            <w:r>
              <w:t xml:space="preserve">Informace o případných problémech, které se </w:t>
            </w:r>
            <w:r>
              <w:lastRenderedPageBreak/>
              <w:t>vyskytly v době udržitelnosti projektu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lastRenderedPageBreak/>
              <w:t>Identifikace problému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Popis problému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  <w:tr w:rsidR="008D67EE" w:rsidTr="00581A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7EE" w:rsidRDefault="008D67EE" w:rsidP="00F329F4">
            <w:pPr>
              <w:rPr>
                <w:rFonts w:ascii="Arial" w:eastAsiaTheme="minorEastAsia" w:hAnsi="Arial"/>
                <w:b/>
                <w:color w:val="000000" w:themeColor="text1"/>
                <w:sz w:val="20"/>
                <w:szCs w:val="20"/>
                <w:lang w:eastAsia="en-US" w:bidi="en-US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Řešení ze strany příjemce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Textové pole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7EE" w:rsidRDefault="008D67EE" w:rsidP="00F329F4">
            <w:pPr>
              <w:pStyle w:val="MPtabtext"/>
            </w:pPr>
            <w:r>
              <w:rPr>
                <w:rFonts w:eastAsia="Times New Roman" w:cs="Times New Roman"/>
              </w:rPr>
              <w:t>N/A</w:t>
            </w:r>
          </w:p>
        </w:tc>
      </w:tr>
    </w:tbl>
    <w:p w:rsidR="008D67EE" w:rsidRPr="00633C19" w:rsidRDefault="008D67EE" w:rsidP="008D67EE">
      <w:pPr>
        <w:pStyle w:val="MPtext"/>
        <w:rPr>
          <w:rFonts w:asciiTheme="minorHAnsi" w:hAnsiTheme="minorHAnsi"/>
        </w:rPr>
      </w:pPr>
    </w:p>
    <w:p w:rsidR="00634381" w:rsidRPr="00633C19" w:rsidRDefault="00634381" w:rsidP="008D67EE">
      <w:pPr>
        <w:pStyle w:val="MPtext"/>
        <w:rPr>
          <w:rFonts w:asciiTheme="minorHAnsi" w:hAnsiTheme="minorHAnsi"/>
        </w:rPr>
      </w:pPr>
    </w:p>
    <w:sectPr w:rsidR="00634381" w:rsidRPr="00633C19" w:rsidSect="005B7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732" w:rsidRDefault="00B74732" w:rsidP="00634381">
      <w:r>
        <w:separator/>
      </w:r>
    </w:p>
  </w:endnote>
  <w:endnote w:type="continuationSeparator" w:id="0">
    <w:p w:rsidR="00B74732" w:rsidRDefault="00B74732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07785"/>
      <w:docPartObj>
        <w:docPartGallery w:val="Page Numbers (Bottom of Page)"/>
        <w:docPartUnique/>
      </w:docPartObj>
    </w:sdtPr>
    <w:sdtEndPr/>
    <w:sdtContent>
      <w:p w:rsidR="00A7619F" w:rsidRDefault="00A7619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073">
          <w:rPr>
            <w:noProof/>
          </w:rPr>
          <w:t>2</w:t>
        </w:r>
        <w:r>
          <w:fldChar w:fldCharType="end"/>
        </w:r>
      </w:p>
    </w:sdtContent>
  </w:sdt>
  <w:p w:rsidR="00FF75E8" w:rsidRDefault="00FF75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732" w:rsidRDefault="00B74732" w:rsidP="00634381">
      <w:r>
        <w:separator/>
      </w:r>
    </w:p>
  </w:footnote>
  <w:footnote w:type="continuationSeparator" w:id="0">
    <w:p w:rsidR="00B74732" w:rsidRDefault="00B74732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B4" w:rsidRDefault="00FA5CB4" w:rsidP="00FA5CB4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19F" w:rsidRDefault="00A7619F">
    <w:pPr>
      <w:pStyle w:val="Zhlav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E2C493B" wp14:editId="34024CC1">
          <wp:simplePos x="0" y="0"/>
          <wp:positionH relativeFrom="margin">
            <wp:posOffset>117475</wp:posOffset>
          </wp:positionH>
          <wp:positionV relativeFrom="paragraph">
            <wp:posOffset>198120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07C31"/>
    <w:multiLevelType w:val="hybridMultilevel"/>
    <w:tmpl w:val="76FE643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E0093"/>
    <w:multiLevelType w:val="hybridMultilevel"/>
    <w:tmpl w:val="5D8A04CE"/>
    <w:lvl w:ilvl="0" w:tplc="D10A2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5058"/>
    <w:multiLevelType w:val="hybridMultilevel"/>
    <w:tmpl w:val="0E505F6C"/>
    <w:lvl w:ilvl="0" w:tplc="7A58EC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86E2C"/>
    <w:multiLevelType w:val="hybridMultilevel"/>
    <w:tmpl w:val="C10EE6FC"/>
    <w:lvl w:ilvl="0" w:tplc="C40CA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22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2"/>
  </w:num>
  <w:num w:numId="10">
    <w:abstractNumId w:val="1"/>
  </w:num>
  <w:num w:numId="11">
    <w:abstractNumId w:val="23"/>
  </w:num>
  <w:num w:numId="12">
    <w:abstractNumId w:val="13"/>
  </w:num>
  <w:num w:numId="13">
    <w:abstractNumId w:val="5"/>
    <w:lvlOverride w:ilvl="0">
      <w:startOverride w:val="1"/>
    </w:lvlOverride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24"/>
  </w:num>
  <w:num w:numId="19">
    <w:abstractNumId w:val="4"/>
  </w:num>
  <w:num w:numId="20">
    <w:abstractNumId w:val="21"/>
  </w:num>
  <w:num w:numId="21">
    <w:abstractNumId w:val="16"/>
  </w:num>
  <w:num w:numId="22">
    <w:abstractNumId w:val="2"/>
  </w:num>
  <w:num w:numId="23">
    <w:abstractNumId w:val="18"/>
  </w:num>
  <w:num w:numId="24">
    <w:abstractNumId w:val="20"/>
  </w:num>
  <w:num w:numId="25">
    <w:abstractNumId w:val="19"/>
  </w:num>
  <w:num w:numId="26">
    <w:abstractNumId w:val="17"/>
  </w:num>
  <w:num w:numId="27">
    <w:abstractNumId w:val="2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4F63"/>
    <w:rsid w:val="0002740D"/>
    <w:rsid w:val="00057399"/>
    <w:rsid w:val="00057C7F"/>
    <w:rsid w:val="00070FE9"/>
    <w:rsid w:val="00091617"/>
    <w:rsid w:val="000A39D6"/>
    <w:rsid w:val="000C0F12"/>
    <w:rsid w:val="000D1C13"/>
    <w:rsid w:val="000D4254"/>
    <w:rsid w:val="00141C5B"/>
    <w:rsid w:val="00155A3F"/>
    <w:rsid w:val="00174CA1"/>
    <w:rsid w:val="001C1713"/>
    <w:rsid w:val="001C6467"/>
    <w:rsid w:val="001E18AA"/>
    <w:rsid w:val="00204D9A"/>
    <w:rsid w:val="00213558"/>
    <w:rsid w:val="0021750B"/>
    <w:rsid w:val="00221B02"/>
    <w:rsid w:val="002265AB"/>
    <w:rsid w:val="00231925"/>
    <w:rsid w:val="00231F50"/>
    <w:rsid w:val="002335CC"/>
    <w:rsid w:val="002748BB"/>
    <w:rsid w:val="00286C01"/>
    <w:rsid w:val="002A126B"/>
    <w:rsid w:val="002C177C"/>
    <w:rsid w:val="002F0BB2"/>
    <w:rsid w:val="00304473"/>
    <w:rsid w:val="00320082"/>
    <w:rsid w:val="003229C3"/>
    <w:rsid w:val="00324CD8"/>
    <w:rsid w:val="0033728D"/>
    <w:rsid w:val="00346D17"/>
    <w:rsid w:val="003804CB"/>
    <w:rsid w:val="003A442E"/>
    <w:rsid w:val="003A5DAD"/>
    <w:rsid w:val="003A775F"/>
    <w:rsid w:val="003C266F"/>
    <w:rsid w:val="003D6B05"/>
    <w:rsid w:val="003F1804"/>
    <w:rsid w:val="0047528F"/>
    <w:rsid w:val="00482EA1"/>
    <w:rsid w:val="00482F73"/>
    <w:rsid w:val="004849AE"/>
    <w:rsid w:val="00486EE4"/>
    <w:rsid w:val="004A323F"/>
    <w:rsid w:val="004C1F8F"/>
    <w:rsid w:val="005211DB"/>
    <w:rsid w:val="00526EDC"/>
    <w:rsid w:val="0056072C"/>
    <w:rsid w:val="0056431B"/>
    <w:rsid w:val="00581A25"/>
    <w:rsid w:val="00585341"/>
    <w:rsid w:val="00591BEF"/>
    <w:rsid w:val="00596086"/>
    <w:rsid w:val="005B7936"/>
    <w:rsid w:val="005E5868"/>
    <w:rsid w:val="005E7F63"/>
    <w:rsid w:val="006221F8"/>
    <w:rsid w:val="00632B48"/>
    <w:rsid w:val="00633C19"/>
    <w:rsid w:val="00634381"/>
    <w:rsid w:val="006532D6"/>
    <w:rsid w:val="006532DA"/>
    <w:rsid w:val="0067736D"/>
    <w:rsid w:val="006803CD"/>
    <w:rsid w:val="0069719B"/>
    <w:rsid w:val="006A3E82"/>
    <w:rsid w:val="006E5C82"/>
    <w:rsid w:val="006E72F1"/>
    <w:rsid w:val="006F0073"/>
    <w:rsid w:val="00714EBA"/>
    <w:rsid w:val="00717B03"/>
    <w:rsid w:val="00722201"/>
    <w:rsid w:val="00753356"/>
    <w:rsid w:val="0076431E"/>
    <w:rsid w:val="007852CE"/>
    <w:rsid w:val="0078659D"/>
    <w:rsid w:val="007C0AB0"/>
    <w:rsid w:val="00844F3C"/>
    <w:rsid w:val="00863444"/>
    <w:rsid w:val="00895CD7"/>
    <w:rsid w:val="008A5F96"/>
    <w:rsid w:val="008D67EE"/>
    <w:rsid w:val="008E260A"/>
    <w:rsid w:val="00900F86"/>
    <w:rsid w:val="00922C9E"/>
    <w:rsid w:val="00932786"/>
    <w:rsid w:val="00952FC0"/>
    <w:rsid w:val="00991CCA"/>
    <w:rsid w:val="009D5E0D"/>
    <w:rsid w:val="009E4F57"/>
    <w:rsid w:val="00A24831"/>
    <w:rsid w:val="00A67C37"/>
    <w:rsid w:val="00A7619F"/>
    <w:rsid w:val="00AA6E68"/>
    <w:rsid w:val="00AB483A"/>
    <w:rsid w:val="00AC4029"/>
    <w:rsid w:val="00AD2FE7"/>
    <w:rsid w:val="00AF6C28"/>
    <w:rsid w:val="00B32019"/>
    <w:rsid w:val="00B32AB8"/>
    <w:rsid w:val="00B52502"/>
    <w:rsid w:val="00B55EB2"/>
    <w:rsid w:val="00B636A7"/>
    <w:rsid w:val="00B7197B"/>
    <w:rsid w:val="00B74732"/>
    <w:rsid w:val="00B8276E"/>
    <w:rsid w:val="00BE591D"/>
    <w:rsid w:val="00C053B0"/>
    <w:rsid w:val="00C1041F"/>
    <w:rsid w:val="00C23F14"/>
    <w:rsid w:val="00C24C75"/>
    <w:rsid w:val="00C85696"/>
    <w:rsid w:val="00C92D6B"/>
    <w:rsid w:val="00CC21DF"/>
    <w:rsid w:val="00CE4B4C"/>
    <w:rsid w:val="00CF4451"/>
    <w:rsid w:val="00CF5985"/>
    <w:rsid w:val="00D04B31"/>
    <w:rsid w:val="00D33570"/>
    <w:rsid w:val="00D77E91"/>
    <w:rsid w:val="00D90008"/>
    <w:rsid w:val="00DA1946"/>
    <w:rsid w:val="00DA4909"/>
    <w:rsid w:val="00DA5275"/>
    <w:rsid w:val="00DA67EE"/>
    <w:rsid w:val="00DC0DD9"/>
    <w:rsid w:val="00DC578B"/>
    <w:rsid w:val="00DD5716"/>
    <w:rsid w:val="00DF0CF6"/>
    <w:rsid w:val="00E11701"/>
    <w:rsid w:val="00E20FDB"/>
    <w:rsid w:val="00E239E9"/>
    <w:rsid w:val="00E3059B"/>
    <w:rsid w:val="00E616B5"/>
    <w:rsid w:val="00E86085"/>
    <w:rsid w:val="00E941C4"/>
    <w:rsid w:val="00EA5356"/>
    <w:rsid w:val="00EB0EA0"/>
    <w:rsid w:val="00EB4303"/>
    <w:rsid w:val="00EC190D"/>
    <w:rsid w:val="00F02008"/>
    <w:rsid w:val="00F0565A"/>
    <w:rsid w:val="00F10B97"/>
    <w:rsid w:val="00F11638"/>
    <w:rsid w:val="00F31F10"/>
    <w:rsid w:val="00F33CAB"/>
    <w:rsid w:val="00F36230"/>
    <w:rsid w:val="00F63713"/>
    <w:rsid w:val="00F70BB4"/>
    <w:rsid w:val="00F71637"/>
    <w:rsid w:val="00F73CA7"/>
    <w:rsid w:val="00FA5CB4"/>
    <w:rsid w:val="00FA63F3"/>
    <w:rsid w:val="00FB0D2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6E954E6"/>
  <w15:docId w15:val="{891F1F7C-998E-4164-893F-7C1C7663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16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Ptext">
    <w:name w:val="MP_text"/>
    <w:basedOn w:val="Normln"/>
    <w:link w:val="MPtextChar"/>
    <w:qFormat/>
    <w:rsid w:val="00091617"/>
    <w:pPr>
      <w:spacing w:before="120" w:after="120" w:line="312" w:lineRule="auto"/>
      <w:jc w:val="both"/>
    </w:pPr>
    <w:rPr>
      <w:rFonts w:ascii="Arial" w:eastAsiaTheme="minorEastAsia" w:hAnsi="Arial" w:cstheme="minorBidi"/>
      <w:sz w:val="20"/>
      <w:szCs w:val="20"/>
      <w:lang w:eastAsia="en-US" w:bidi="en-US"/>
    </w:rPr>
  </w:style>
  <w:style w:type="character" w:customStyle="1" w:styleId="MPtextChar">
    <w:name w:val="MP_text Char"/>
    <w:basedOn w:val="Standardnpsmoodstavce"/>
    <w:link w:val="MPtext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091617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091617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091617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091617"/>
    <w:rPr>
      <w:rFonts w:ascii="Arial" w:eastAsiaTheme="minorEastAsia" w:hAnsi="Arial"/>
      <w:b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091617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091617"/>
    <w:rPr>
      <w:rFonts w:ascii="Arial" w:eastAsiaTheme="minorEastAsia" w:hAnsi="Arial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FA5C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BCE5-8CE0-46A1-B39F-72EBA82D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1359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Radek Tomášek</cp:lastModifiedBy>
  <cp:revision>14</cp:revision>
  <dcterms:created xsi:type="dcterms:W3CDTF">2017-05-16T09:43:00Z</dcterms:created>
  <dcterms:modified xsi:type="dcterms:W3CDTF">2018-05-16T08:49:00Z</dcterms:modified>
</cp:coreProperties>
</file>