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B304E9" w:rsidRDefault="00FA5CB4" w:rsidP="00FA5CB4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FA5CB4" w:rsidRDefault="00FA5CB4" w:rsidP="00FA5CB4"/>
    <w:p w:rsidR="00FA5CB4" w:rsidRPr="003756C2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FA5CB4" w:rsidRPr="00B87595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931A63" w:rsidRDefault="00FA5CB4" w:rsidP="00FA5CB4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3059B">
        <w:rPr>
          <w:rFonts w:asciiTheme="majorHAnsi" w:hAnsiTheme="majorHAnsi" w:cs="MyriadPro-Black"/>
          <w:caps/>
          <w:sz w:val="40"/>
          <w:szCs w:val="40"/>
        </w:rPr>
        <w:t>8</w:t>
      </w:r>
    </w:p>
    <w:p w:rsidR="00FA5CB4" w:rsidRDefault="00FA5CB4" w:rsidP="00FA5CB4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FA5CB4" w:rsidRDefault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ZPRÁVA O UDRŽITELNOSTI PROJEKTU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–</w:t>
      </w: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VZOR</w:t>
      </w:r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02740D" w:rsidRDefault="0002740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717B0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717B0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3804C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717B0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bookmarkStart w:id="0" w:name="_GoBack"/>
      <w:r w:rsidR="003804C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E239E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5B7936">
      <w:pPr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  <w:sectPr w:rsidR="00FA5CB4" w:rsidSect="00A7619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lastRenderedPageBreak/>
        <w:t>Úvodní strana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07"/>
        <w:gridCol w:w="5616"/>
        <w:gridCol w:w="2980"/>
        <w:gridCol w:w="1917"/>
      </w:tblGrid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  <w:rPr>
                <w:rStyle w:val="Odkaznakoment"/>
              </w:rPr>
            </w:pPr>
            <w:r>
              <w:t>Datová položka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Název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t xml:space="preserve">Průběžná zpráva o udržitelnosti individuálního projektu </w:t>
            </w:r>
            <w:r>
              <w:rPr>
                <w:rFonts w:eastAsia="Times New Roman" w:cs="Times New Roman"/>
              </w:rPr>
              <w:t xml:space="preserve">č. X / </w:t>
            </w:r>
            <w:r>
              <w:t xml:space="preserve">Závěrečná zpráva o udržitelnosti individuálního projektu </w:t>
            </w:r>
            <w:r>
              <w:rPr>
                <w:rFonts w:eastAsia="Times New Roman" w:cs="Times New Roman"/>
              </w:rPr>
              <w:t>č. X</w:t>
            </w:r>
          </w:p>
          <w:p w:rsidR="008D67EE" w:rsidRDefault="008D67EE" w:rsidP="00F329F4">
            <w:pPr>
              <w:pStyle w:val="MPtabtext"/>
            </w:pPr>
          </w:p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lang w:eastAsia="cs-CZ"/>
              </w:rPr>
              <w:t xml:space="preserve">Průběžná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 xml:space="preserve">č. X / Závěrečná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>č. X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  <w:p w:rsidR="008D67EE" w:rsidRDefault="008D67EE" w:rsidP="00F329F4">
            <w:pPr>
              <w:pStyle w:val="MPtabtext"/>
            </w:pPr>
            <w:r>
              <w:t>X = registrační číslo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rPr>
          <w:trHeight w:val="14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Program / DoP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Číselník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Typ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Realizační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Druh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individuálního projektu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velkého projektu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Logo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</w:tbl>
    <w:p w:rsidR="008D67EE" w:rsidRDefault="008D67EE" w:rsidP="008D67EE">
      <w:pPr>
        <w:rPr>
          <w:rFonts w:ascii="Arial" w:eastAsiaTheme="minorEastAsia" w:hAnsi="Arial" w:cstheme="minorBidi"/>
          <w:b/>
          <w:color w:val="808080" w:themeColor="background1" w:themeShade="80"/>
          <w:sz w:val="20"/>
          <w:szCs w:val="20"/>
          <w:lang w:eastAsia="en-US" w:bidi="en-US"/>
        </w:r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t>Obsah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5"/>
        <w:gridCol w:w="1775"/>
        <w:gridCol w:w="2235"/>
        <w:gridCol w:w="1789"/>
        <w:gridCol w:w="2730"/>
        <w:gridCol w:w="3069"/>
        <w:gridCol w:w="1917"/>
      </w:tblGrid>
      <w:tr w:rsidR="008D67EE" w:rsidTr="00F329F4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Číslo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Kapitola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Datová položka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Závaznost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Základní informace o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projektu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Vyplňuje se automaticky s tím, že se zobrazují pouze ty datové položky a k nim údaje, které jsou v případě daného projektu relevantní.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Přenášená data jsou navázána na konkrétní projekt.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Název projektu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Název 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Typ operace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individuální projekt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rPr>
                <w:lang w:eastAsia="cs-CZ"/>
              </w:rPr>
              <w:t>velký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Atribut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integrovaný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synergický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lastRenderedPageBreak/>
              <w:t>komplementární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9"/>
              </w:numPr>
              <w:rPr>
                <w:lang w:eastAsia="cs-CZ"/>
              </w:rPr>
            </w:pPr>
            <w:r>
              <w:t>nerelevantní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Fázovaný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Checkbox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integrovaného nástroje, pokud je projekt „integrovaný“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Číslo a název integrované strategie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projektu/ů, se kterými je projekt „synergický“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programu, ze kterého je projekt spolufinancován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prioritní osy / priority Unie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investiční priority / specifického cíle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opatření</w:t>
            </w:r>
            <w:r>
              <w:rPr>
                <w:vertAlign w:val="superscript"/>
              </w:rPr>
              <w:t xml:space="preserve"> </w:t>
            </w:r>
            <w:r>
              <w:t>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záměru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Číslo a název specifického cíle / specifických cílů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zprávě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Identifikační číslo zprávy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Typ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průběžná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závěrečná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Pořadové číslo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Plánované datum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Datum, ke kterému měl příjemce dle harmonogramu zpráv tuto zprávu podat ŘO / ZS.</w:t>
            </w:r>
          </w:p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Skutečné datum podání – 1.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Datum, kdy příjemce poprvé podal tuto zprávu ŘO / ZS, je-li zapojen do implementace a ze strany ŘO mu je tato činnost svěřena. 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se automaticky. V případě, že dojde k vracení zprávy k dopracování, toto datum se nemění.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Skutečné datum podání – aktuální verze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Datum, kdy příjemce podal aktuální verzi zprávy ŘO / ZS.</w:t>
            </w:r>
          </w:p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Vyplňuje se automaticky v případě podání zprávy po vrácení k dopracování. Při opětovném podání se datum přepisu, nicméně v MS2014+ jsou všechna data a verze zprávy zachovány.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 w:cs="Arial"/>
                <w:color w:val="000000"/>
              </w:rPr>
            </w:pPr>
            <w:r>
              <w:rPr>
                <w:rFonts w:eastAsia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Datum od stavu „Projekt finančně ukončen ŘO“ v případě první ZoU projektu. V případě dalších ZoU projektu se jedná o datum následující po datu uvedeném v položce „Sledované období do“ </w:t>
            </w:r>
            <w:r>
              <w:rPr>
                <w:rFonts w:cs="Arial"/>
                <w:color w:val="000000"/>
              </w:rPr>
              <w:lastRenderedPageBreak/>
              <w:t xml:space="preserve">v předchozí zprávě. </w:t>
            </w:r>
          </w:p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lastRenderedPageBreak/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plnění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stavu projektu v době udržitelnosti.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 zastavení nebo přemístění výrobní činnosti mimo programovou oblast?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ke změně vlastnictví položky infrastruktury, která podniku / veřejnému subjektu poskytuje nepatřičnou výhodu?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 podstatné změně nepříznivě ovlivňující povahu, cíle nebo prováděcí podmínky operace, která by vedla k ohrožení jejích původních cílů?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ukončení kolaudačního řízení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uvedení stavby do trvalého provozu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Plánované zajištění udržitelnosti projektu po zbytek doby udržitelnosti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předpokládaného zajištění provozu a údržby projektu po zbytek doby udržitelnosti.</w:t>
            </w:r>
          </w:p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plnění indikátorů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Kód a název indikátoru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se automaticky dle NČI 2014+. Údaje se dotahují za každý indikátor, ke kterému se příjemce zavázal, a dotahují se z právního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Měrná jednotka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Environmentální indikátor (ENVI)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Výchozí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výchozí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Cílová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Dosažená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Jedná se o kumulativní údaj od začátku realizace projektu. </w:t>
            </w:r>
          </w:p>
          <w:p w:rsidR="008D67EE" w:rsidRDefault="008D67EE" w:rsidP="00F329F4">
            <w:pPr>
              <w:pStyle w:val="MPtabtext"/>
            </w:pPr>
            <w:r>
              <w:t>U indikátorů bez kumulace se jedná o aktuální hodnotu.</w:t>
            </w:r>
          </w:p>
          <w:p w:rsidR="008D67EE" w:rsidRDefault="008D67EE" w:rsidP="00F329F4">
            <w:pPr>
              <w:pStyle w:val="MPtabtext"/>
            </w:pPr>
            <w:r>
              <w:t>Vyplňuje příjemce podle skutečnosti.</w:t>
            </w:r>
          </w:p>
          <w:p w:rsidR="008D67EE" w:rsidRDefault="008D67EE" w:rsidP="00F329F4">
            <w:pPr>
              <w:pStyle w:val="MPtabtext"/>
            </w:pPr>
            <w:r>
              <w:t>V případě indikátorů přenesených z IS ESF2014+ se hodnota vyplňuje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dosažené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Procento plnění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Automaticky. Pokud cílová hodnota indikátoru není </w:t>
            </w:r>
            <w:r>
              <w:lastRenderedPageBreak/>
              <w:t>součástí právního aktu o poskytnutí / převodu podpory, vyplňuje se N/A.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Komentář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 k dosažené hodnotě indikátoru.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Firemní proměnné se aktualizují oproti žádosti o podporu za příjemce. Relevantní jen pro podnikatelské subjekty (právnické osoby, resp. obchodní společnosti a družstva dle práva ČR). Nerelevantní pro cíl EÚS.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období, za které jsou uváděny firemní proměnné.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subjekty (právnické osoby, resp. obchodní společnosti a družstva dle práva ČR). Jedná 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(právnické osoby, resp. obchodní společnosti a družstva dle práva ČR). Jedná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 dle nařízení 651/2014 (FTE). Relevantní pro podnikatelské subjekty (právnické osoby, resp. obchodní společnosti a družstva dle práva ČR), které vystupují jako typ subjektu - žadatel / příjemce.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Roční obrat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Roční obrat v měně EUR. Definice dle nařízení č. 651/2014. Relevantní pro podnikatelské subjekty (právnické osoby, resp. obchodní společnosti a družstva dle práva ČR), které vystupují jako typ subjektu - žadatel / příjemce. Údaj se vztahuje k IČ subjektu, tzn., nezohledňují se další vztahy (např. matky apod.)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 – přenáší se za subjekty, za které je údaj dostupný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synergie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a název projektu, se kterým je projekt synergický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Identifikace zrcadlového (synergického) projektu.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se automaticky dle údajů v právním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synergické vazby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Zhodnocení přínosu projektu ve vazbě na zrcadlový (synergický) projekt. Jaká je přidaná hodnota vzájemné realizace obou synergických projektů, jak probíhá spolupráce mezi příjemci projektů apod. Vyplňuje příjemce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horizontálních principů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rovných příležitostí a nediskriminace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 rámci textového pole popíše, jaká byla provedena opatření pro zajištění HP rovnosti mezi muži a ženami.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zajištění rovnosti mužů a žen.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provedena opatření pro zajištění HP rovnosti mezi muži a ženami.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vlivu na životní prostředí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příjmech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výše skutečně dosažených příjmů dle čl. 61 za sledované období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pro individuální projekty a velké projekty 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ZoR a ZoU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F329F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zajištění povinné publicity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zajištění publicity v době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 xml:space="preserve">Informace o případných </w:t>
            </w:r>
            <w:r>
              <w:lastRenderedPageBreak/>
              <w:t>problémech, které se vyskytly v době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Identifikace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Řešení ze strany 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F329F4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Čestná prohlášení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theme="majorBidi"/>
                <w:b/>
                <w:bCs/>
                <w:lang w:eastAsia="cs-CZ"/>
              </w:rPr>
            </w:pPr>
            <w:r>
              <w:t>Seznam čestných prohlášení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Textové pole se zněním čestného/ch prohlášení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z nabízených čestných prohlášení a svým elektronickým podpisem připojeným k ZoU projektu stvrzuje souhlas s jejich zněním.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</w:tbl>
    <w:p w:rsidR="008D67EE" w:rsidRPr="00633C19" w:rsidRDefault="008D67EE" w:rsidP="008D67EE">
      <w:pPr>
        <w:pStyle w:val="MPtext"/>
        <w:rPr>
          <w:rFonts w:asciiTheme="minorHAnsi" w:hAnsiTheme="minorHAnsi"/>
        </w:rPr>
      </w:pPr>
    </w:p>
    <w:p w:rsidR="00634381" w:rsidRPr="00633C19" w:rsidRDefault="00634381" w:rsidP="008D67EE">
      <w:pPr>
        <w:pStyle w:val="MPtext"/>
        <w:rPr>
          <w:rFonts w:asciiTheme="minorHAnsi" w:hAnsiTheme="minorHAnsi"/>
        </w:rPr>
      </w:pPr>
    </w:p>
    <w:sectPr w:rsidR="00634381" w:rsidRPr="00633C19" w:rsidSect="005B7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32" w:rsidRDefault="00B74732" w:rsidP="00634381">
      <w:r>
        <w:separator/>
      </w:r>
    </w:p>
  </w:endnote>
  <w:endnote w:type="continuationSeparator" w:id="0">
    <w:p w:rsidR="00B74732" w:rsidRDefault="00B74732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7785"/>
      <w:docPartObj>
        <w:docPartGallery w:val="Page Numbers (Bottom of Page)"/>
        <w:docPartUnique/>
      </w:docPartObj>
    </w:sdtPr>
    <w:sdtEndPr/>
    <w:sdtContent>
      <w:p w:rsidR="00A7619F" w:rsidRDefault="00A761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56">
          <w:rPr>
            <w:noProof/>
          </w:rPr>
          <w:t>2</w:t>
        </w:r>
        <w: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32" w:rsidRDefault="00B74732" w:rsidP="00634381">
      <w:r>
        <w:separator/>
      </w:r>
    </w:p>
  </w:footnote>
  <w:footnote w:type="continuationSeparator" w:id="0">
    <w:p w:rsidR="00B74732" w:rsidRDefault="00B74732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4" w:rsidRDefault="00FA5CB4" w:rsidP="00FA5CB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F" w:rsidRDefault="00A7619F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E2C493B" wp14:editId="34024CC1">
          <wp:simplePos x="0" y="0"/>
          <wp:positionH relativeFrom="margin">
            <wp:posOffset>117475</wp:posOffset>
          </wp:positionH>
          <wp:positionV relativeFrom="paragraph">
            <wp:posOffset>198120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07C31"/>
    <w:multiLevelType w:val="hybridMultilevel"/>
    <w:tmpl w:val="76FE643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3"/>
  </w:num>
  <w:num w:numId="12">
    <w:abstractNumId w:val="13"/>
  </w:num>
  <w:num w:numId="13">
    <w:abstractNumId w:val="5"/>
    <w:lvlOverride w:ilvl="0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4"/>
  </w:num>
  <w:num w:numId="19">
    <w:abstractNumId w:val="4"/>
  </w:num>
  <w:num w:numId="20">
    <w:abstractNumId w:val="21"/>
  </w:num>
  <w:num w:numId="21">
    <w:abstractNumId w:val="16"/>
  </w:num>
  <w:num w:numId="22">
    <w:abstractNumId w:val="2"/>
  </w:num>
  <w:num w:numId="23">
    <w:abstractNumId w:val="18"/>
  </w:num>
  <w:num w:numId="24">
    <w:abstractNumId w:val="20"/>
  </w:num>
  <w:num w:numId="25">
    <w:abstractNumId w:val="19"/>
  </w:num>
  <w:num w:numId="26">
    <w:abstractNumId w:val="17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740D"/>
    <w:rsid w:val="00057399"/>
    <w:rsid w:val="00057C7F"/>
    <w:rsid w:val="00070FE9"/>
    <w:rsid w:val="00091617"/>
    <w:rsid w:val="000A39D6"/>
    <w:rsid w:val="000C0F12"/>
    <w:rsid w:val="000D1C13"/>
    <w:rsid w:val="000D4254"/>
    <w:rsid w:val="00141C5B"/>
    <w:rsid w:val="00155A3F"/>
    <w:rsid w:val="00174CA1"/>
    <w:rsid w:val="001C1713"/>
    <w:rsid w:val="001C6467"/>
    <w:rsid w:val="001E18AA"/>
    <w:rsid w:val="00204D9A"/>
    <w:rsid w:val="00213558"/>
    <w:rsid w:val="0021750B"/>
    <w:rsid w:val="00221B02"/>
    <w:rsid w:val="002265AB"/>
    <w:rsid w:val="00231925"/>
    <w:rsid w:val="00231F50"/>
    <w:rsid w:val="002335CC"/>
    <w:rsid w:val="002748BB"/>
    <w:rsid w:val="00286C01"/>
    <w:rsid w:val="002A126B"/>
    <w:rsid w:val="002C177C"/>
    <w:rsid w:val="002F0BB2"/>
    <w:rsid w:val="00304473"/>
    <w:rsid w:val="00320082"/>
    <w:rsid w:val="003229C3"/>
    <w:rsid w:val="00324CD8"/>
    <w:rsid w:val="0033728D"/>
    <w:rsid w:val="00346D17"/>
    <w:rsid w:val="003804CB"/>
    <w:rsid w:val="003A442E"/>
    <w:rsid w:val="003A775F"/>
    <w:rsid w:val="003C266F"/>
    <w:rsid w:val="003D6B05"/>
    <w:rsid w:val="003F1804"/>
    <w:rsid w:val="00482EA1"/>
    <w:rsid w:val="00482F73"/>
    <w:rsid w:val="004849AE"/>
    <w:rsid w:val="00486EE4"/>
    <w:rsid w:val="004A323F"/>
    <w:rsid w:val="004C1F8F"/>
    <w:rsid w:val="005211DB"/>
    <w:rsid w:val="00526EDC"/>
    <w:rsid w:val="0056072C"/>
    <w:rsid w:val="00585341"/>
    <w:rsid w:val="00591BEF"/>
    <w:rsid w:val="00596086"/>
    <w:rsid w:val="005B7936"/>
    <w:rsid w:val="005E5868"/>
    <w:rsid w:val="005E7F63"/>
    <w:rsid w:val="006221F8"/>
    <w:rsid w:val="00632B48"/>
    <w:rsid w:val="00633C19"/>
    <w:rsid w:val="00634381"/>
    <w:rsid w:val="006532D6"/>
    <w:rsid w:val="006532DA"/>
    <w:rsid w:val="0067736D"/>
    <w:rsid w:val="006803CD"/>
    <w:rsid w:val="0069719B"/>
    <w:rsid w:val="006A3E82"/>
    <w:rsid w:val="006E5C82"/>
    <w:rsid w:val="006E72F1"/>
    <w:rsid w:val="00714EBA"/>
    <w:rsid w:val="00717B03"/>
    <w:rsid w:val="00722201"/>
    <w:rsid w:val="00753356"/>
    <w:rsid w:val="0076431E"/>
    <w:rsid w:val="007852CE"/>
    <w:rsid w:val="0078659D"/>
    <w:rsid w:val="007C0AB0"/>
    <w:rsid w:val="00844F3C"/>
    <w:rsid w:val="00863444"/>
    <w:rsid w:val="00895CD7"/>
    <w:rsid w:val="008A5F96"/>
    <w:rsid w:val="008D67EE"/>
    <w:rsid w:val="008E260A"/>
    <w:rsid w:val="00900F86"/>
    <w:rsid w:val="00922C9E"/>
    <w:rsid w:val="00932786"/>
    <w:rsid w:val="00952FC0"/>
    <w:rsid w:val="00991CCA"/>
    <w:rsid w:val="009D5E0D"/>
    <w:rsid w:val="009E4F57"/>
    <w:rsid w:val="00A24831"/>
    <w:rsid w:val="00A67C37"/>
    <w:rsid w:val="00A7619F"/>
    <w:rsid w:val="00AA6E68"/>
    <w:rsid w:val="00AC4029"/>
    <w:rsid w:val="00AD2FE7"/>
    <w:rsid w:val="00AF6C28"/>
    <w:rsid w:val="00B32019"/>
    <w:rsid w:val="00B32AB8"/>
    <w:rsid w:val="00B52502"/>
    <w:rsid w:val="00B55EB2"/>
    <w:rsid w:val="00B636A7"/>
    <w:rsid w:val="00B7197B"/>
    <w:rsid w:val="00B74732"/>
    <w:rsid w:val="00B8276E"/>
    <w:rsid w:val="00BE591D"/>
    <w:rsid w:val="00C053B0"/>
    <w:rsid w:val="00C1041F"/>
    <w:rsid w:val="00C23F14"/>
    <w:rsid w:val="00C24C75"/>
    <w:rsid w:val="00C85696"/>
    <w:rsid w:val="00C92D6B"/>
    <w:rsid w:val="00CC21DF"/>
    <w:rsid w:val="00CE4B4C"/>
    <w:rsid w:val="00CF4451"/>
    <w:rsid w:val="00CF5985"/>
    <w:rsid w:val="00D04B31"/>
    <w:rsid w:val="00D33570"/>
    <w:rsid w:val="00D77E91"/>
    <w:rsid w:val="00D90008"/>
    <w:rsid w:val="00DA1946"/>
    <w:rsid w:val="00DA4909"/>
    <w:rsid w:val="00DA5275"/>
    <w:rsid w:val="00DA67EE"/>
    <w:rsid w:val="00DC0DD9"/>
    <w:rsid w:val="00DD5716"/>
    <w:rsid w:val="00DF0CF6"/>
    <w:rsid w:val="00E11701"/>
    <w:rsid w:val="00E20FDB"/>
    <w:rsid w:val="00E239E9"/>
    <w:rsid w:val="00E3059B"/>
    <w:rsid w:val="00E616B5"/>
    <w:rsid w:val="00E86085"/>
    <w:rsid w:val="00E941C4"/>
    <w:rsid w:val="00EA5356"/>
    <w:rsid w:val="00EB0EA0"/>
    <w:rsid w:val="00EB4303"/>
    <w:rsid w:val="00EC190D"/>
    <w:rsid w:val="00F02008"/>
    <w:rsid w:val="00F0565A"/>
    <w:rsid w:val="00F10B97"/>
    <w:rsid w:val="00F11638"/>
    <w:rsid w:val="00F31F10"/>
    <w:rsid w:val="00F33CAB"/>
    <w:rsid w:val="00F36230"/>
    <w:rsid w:val="00F63713"/>
    <w:rsid w:val="00F70BB4"/>
    <w:rsid w:val="00F71637"/>
    <w:rsid w:val="00F73CA7"/>
    <w:rsid w:val="00FA5CB4"/>
    <w:rsid w:val="00FA63F3"/>
    <w:rsid w:val="00FB0D2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0E20B68B-D2EB-46D1-8601-C8733289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16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Normln"/>
    <w:link w:val="MPtextChar"/>
    <w:qFormat/>
    <w:rsid w:val="00091617"/>
    <w:pPr>
      <w:spacing w:before="120" w:after="120" w:line="312" w:lineRule="auto"/>
      <w:jc w:val="both"/>
    </w:pPr>
    <w:rPr>
      <w:rFonts w:ascii="Arial" w:eastAsiaTheme="minorEastAsia" w:hAnsi="Arial" w:cstheme="minorBidi"/>
      <w:sz w:val="20"/>
      <w:szCs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091617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091617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091617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091617"/>
    <w:rPr>
      <w:rFonts w:ascii="Arial" w:eastAsiaTheme="minorEastAsia" w:hAnsi="Arial"/>
      <w:b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091617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A5C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B1EC-4208-4FBC-B80B-A58BE811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1661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Radek Tomášek</cp:lastModifiedBy>
  <cp:revision>7</cp:revision>
  <dcterms:created xsi:type="dcterms:W3CDTF">2017-05-16T09:43:00Z</dcterms:created>
  <dcterms:modified xsi:type="dcterms:W3CDTF">2017-10-26T14:45:00Z</dcterms:modified>
</cp:coreProperties>
</file>