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4CC" w:rsidRPr="00160D24" w:rsidRDefault="008A14CC" w:rsidP="008A48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  <w:bookmarkStart w:id="0" w:name="_Hlk108440196"/>
      <w:bookmarkStart w:id="1" w:name="_Hlk97883088"/>
      <w:r w:rsidRPr="00160D24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Zápis z jednání Etické komise FNOL a LF UP</w:t>
      </w:r>
    </w:p>
    <w:p w:rsidR="008A14CC" w:rsidRPr="00160D24" w:rsidRDefault="008A14CC" w:rsidP="008A4870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</w:pPr>
      <w:r w:rsidRPr="00160D24"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  <w:t>č.</w:t>
      </w:r>
      <w:r w:rsidR="008A4870" w:rsidRPr="00160D24"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  <w:t>6</w:t>
      </w:r>
      <w:r w:rsidRPr="00160D24"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  <w:t>/2023</w:t>
      </w:r>
    </w:p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160D24">
        <w:rPr>
          <w:rFonts w:ascii="Times New Roman" w:eastAsia="Times New Roman" w:hAnsi="Times New Roman"/>
          <w:b/>
          <w:sz w:val="18"/>
          <w:szCs w:val="18"/>
          <w:lang w:eastAsia="cs-CZ"/>
        </w:rPr>
        <w:t>Datum konání:</w:t>
      </w:r>
      <w:r w:rsidRPr="00160D24">
        <w:rPr>
          <w:rFonts w:ascii="Times New Roman" w:eastAsia="Times New Roman" w:hAnsi="Times New Roman"/>
          <w:b/>
          <w:sz w:val="18"/>
          <w:szCs w:val="18"/>
          <w:lang w:eastAsia="cs-CZ"/>
        </w:rPr>
        <w:tab/>
      </w:r>
      <w:r w:rsidRPr="00160D24"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1</w:t>
      </w:r>
      <w:r w:rsidR="008A4870" w:rsidRPr="00160D24">
        <w:rPr>
          <w:rFonts w:ascii="Times New Roman" w:eastAsia="Times New Roman" w:hAnsi="Times New Roman"/>
          <w:sz w:val="18"/>
          <w:szCs w:val="18"/>
          <w:lang w:eastAsia="cs-CZ"/>
        </w:rPr>
        <w:t>5</w:t>
      </w:r>
      <w:r w:rsidRPr="00160D24">
        <w:rPr>
          <w:rFonts w:ascii="Times New Roman" w:eastAsia="Times New Roman" w:hAnsi="Times New Roman"/>
          <w:sz w:val="18"/>
          <w:szCs w:val="18"/>
          <w:lang w:eastAsia="cs-CZ"/>
        </w:rPr>
        <w:t>.</w:t>
      </w:r>
      <w:r w:rsidR="008A4870" w:rsidRPr="00160D24">
        <w:rPr>
          <w:rFonts w:ascii="Times New Roman" w:eastAsia="Times New Roman" w:hAnsi="Times New Roman"/>
          <w:sz w:val="18"/>
          <w:szCs w:val="18"/>
          <w:lang w:eastAsia="cs-CZ"/>
        </w:rPr>
        <w:t>5</w:t>
      </w:r>
      <w:r w:rsidRPr="00160D24">
        <w:rPr>
          <w:rFonts w:ascii="Times New Roman" w:eastAsia="Times New Roman" w:hAnsi="Times New Roman"/>
          <w:sz w:val="18"/>
          <w:szCs w:val="18"/>
          <w:lang w:eastAsia="cs-CZ"/>
        </w:rPr>
        <w:t>.2023 -  od  13.30 hod. – 17.00 hod.</w:t>
      </w:r>
    </w:p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160D24">
        <w:rPr>
          <w:rFonts w:ascii="Times New Roman" w:eastAsia="Times New Roman" w:hAnsi="Times New Roman"/>
          <w:b/>
          <w:sz w:val="18"/>
          <w:szCs w:val="18"/>
          <w:lang w:eastAsia="cs-CZ"/>
        </w:rPr>
        <w:t>Místo konání</w:t>
      </w:r>
      <w:r w:rsidRPr="00160D24">
        <w:rPr>
          <w:rFonts w:ascii="Times New Roman" w:eastAsia="Times New Roman" w:hAnsi="Times New Roman"/>
          <w:sz w:val="18"/>
          <w:szCs w:val="18"/>
          <w:lang w:eastAsia="cs-CZ"/>
        </w:rPr>
        <w:t xml:space="preserve">:     </w:t>
      </w:r>
      <w:r w:rsidRPr="00160D24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                Kancelář Etické komise, budova B1, FNOL  </w:t>
      </w:r>
    </w:p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</w:p>
    <w:p w:rsidR="008A4870" w:rsidRPr="00160D24" w:rsidRDefault="008A14CC" w:rsidP="008A487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160D24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Přítomni:                                           </w:t>
      </w:r>
      <w:r w:rsidRPr="00160D24">
        <w:rPr>
          <w:rFonts w:ascii="Times New Roman" w:eastAsia="Times New Roman" w:hAnsi="Times New Roman"/>
          <w:sz w:val="18"/>
          <w:szCs w:val="18"/>
          <w:lang w:eastAsia="cs-CZ"/>
        </w:rPr>
        <w:t>doc.MUDr.P.Maňák,CSc., Iveta Sudolská, Věra Bartlová, MUDr.Karel</w:t>
      </w:r>
      <w:r w:rsidR="008A4870" w:rsidRPr="00160D24">
        <w:rPr>
          <w:rFonts w:ascii="Times New Roman" w:eastAsia="Times New Roman" w:hAnsi="Times New Roman"/>
          <w:sz w:val="18"/>
          <w:szCs w:val="18"/>
          <w:lang w:eastAsia="cs-CZ"/>
        </w:rPr>
        <w:t xml:space="preserve">   </w:t>
      </w:r>
    </w:p>
    <w:p w:rsidR="008A14CC" w:rsidRPr="00160D24" w:rsidRDefault="008A4870" w:rsidP="008A487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160D24"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                               C</w:t>
      </w:r>
      <w:r w:rsidR="008A14CC" w:rsidRPr="00160D24">
        <w:rPr>
          <w:rFonts w:ascii="Times New Roman" w:eastAsia="Times New Roman" w:hAnsi="Times New Roman"/>
          <w:sz w:val="18"/>
          <w:szCs w:val="18"/>
          <w:lang w:eastAsia="cs-CZ"/>
        </w:rPr>
        <w:t xml:space="preserve">wiertka,Ph.D.,MUDr.L.Kvapil, doc.MUDr.L.Stárková, CSc., A.Holá, </w:t>
      </w:r>
      <w:r w:rsidR="008A14CC" w:rsidRPr="00160D24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="008A14CC" w:rsidRPr="00160D24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="008A14CC" w:rsidRPr="00160D24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                MUDr. et  PhDr.L.Hansmanová, Ph.D., </w:t>
      </w:r>
      <w:r w:rsidRPr="00160D24">
        <w:rPr>
          <w:rFonts w:ascii="Times New Roman" w:eastAsia="Times New Roman" w:hAnsi="Times New Roman"/>
          <w:sz w:val="18"/>
          <w:szCs w:val="18"/>
          <w:lang w:eastAsia="cs-CZ"/>
        </w:rPr>
        <w:t xml:space="preserve">MUDr. Josef Srovnal, Ph.D., </w:t>
      </w:r>
      <w:r w:rsidRPr="00160D24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160D24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160D24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160D24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160D24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 PharmDr.T.Anděl, Ph.D., doc.MUDr.et Mgr. Jiří Minařík,Ph.D., MUDr. Jan Strojil, </w:t>
      </w:r>
      <w:r w:rsidRPr="00160D24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160D24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160D24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 Ph.D.</w:t>
      </w:r>
      <w:r w:rsidR="008A14CC" w:rsidRPr="00160D24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="008A14CC" w:rsidRPr="00160D24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="008A14CC" w:rsidRPr="00160D24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="008A14CC" w:rsidRPr="00160D24">
        <w:rPr>
          <w:rFonts w:ascii="Times New Roman" w:eastAsia="Times New Roman" w:hAnsi="Times New Roman"/>
          <w:sz w:val="18"/>
          <w:szCs w:val="18"/>
          <w:lang w:eastAsia="cs-CZ"/>
        </w:rPr>
        <w:tab/>
      </w:r>
    </w:p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160D24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Omluveni:                                         </w:t>
      </w:r>
      <w:r w:rsidRPr="00160D24">
        <w:rPr>
          <w:rFonts w:ascii="Times New Roman" w:eastAsia="Times New Roman" w:hAnsi="Times New Roman"/>
          <w:sz w:val="18"/>
          <w:szCs w:val="18"/>
          <w:lang w:eastAsia="cs-CZ"/>
        </w:rPr>
        <w:t xml:space="preserve">prof. MUDr.Karel Indrák, Dr.Sc., </w:t>
      </w:r>
      <w:r w:rsidR="008A4870" w:rsidRPr="00160D24">
        <w:rPr>
          <w:rFonts w:ascii="Times New Roman" w:eastAsia="Times New Roman" w:hAnsi="Times New Roman"/>
          <w:sz w:val="18"/>
          <w:szCs w:val="18"/>
          <w:lang w:eastAsia="cs-CZ"/>
        </w:rPr>
        <w:t xml:space="preserve">MUDr.J.Burešová,. doc.MUDr.J.Zapletalová,Ph.D., </w:t>
      </w:r>
      <w:r w:rsidR="008A4870" w:rsidRPr="00160D24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="008A4870" w:rsidRPr="00160D24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="008A4870" w:rsidRPr="00160D24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Mons. Vitásek</w:t>
      </w:r>
    </w:p>
    <w:p w:rsidR="008A4870" w:rsidRPr="00160D24" w:rsidRDefault="008A4870" w:rsidP="008A4870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</w:p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160D24">
        <w:rPr>
          <w:rFonts w:ascii="Times New Roman" w:eastAsia="Times New Roman" w:hAnsi="Times New Roman"/>
          <w:b/>
          <w:sz w:val="18"/>
          <w:szCs w:val="18"/>
          <w:lang w:eastAsia="cs-CZ"/>
        </w:rPr>
        <w:t>Jednání komise řídil</w:t>
      </w:r>
      <w:r w:rsidRPr="00160D24">
        <w:rPr>
          <w:rFonts w:ascii="Times New Roman" w:eastAsia="Times New Roman" w:hAnsi="Times New Roman"/>
          <w:sz w:val="18"/>
          <w:szCs w:val="18"/>
          <w:lang w:eastAsia="cs-CZ"/>
        </w:rPr>
        <w:t xml:space="preserve">:                        </w:t>
      </w:r>
      <w:r w:rsidR="008A4870" w:rsidRPr="00160D24">
        <w:rPr>
          <w:rFonts w:ascii="Times New Roman" w:eastAsia="Times New Roman" w:hAnsi="Times New Roman"/>
          <w:sz w:val="18"/>
          <w:szCs w:val="18"/>
          <w:lang w:eastAsia="cs-CZ"/>
        </w:rPr>
        <w:t>doc.MUDr.et Mgr. Jiří Minařík,Ph.D.</w:t>
      </w:r>
      <w:r w:rsidRPr="00160D24">
        <w:rPr>
          <w:rFonts w:ascii="Times New Roman" w:eastAsia="Times New Roman" w:hAnsi="Times New Roman"/>
          <w:sz w:val="18"/>
          <w:szCs w:val="18"/>
          <w:lang w:eastAsia="cs-CZ"/>
        </w:rPr>
        <w:t xml:space="preserve"> </w:t>
      </w:r>
    </w:p>
    <w:bookmarkEnd w:id="0"/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160D24">
        <w:rPr>
          <w:rFonts w:ascii="Times New Roman" w:eastAsia="Times New Roman" w:hAnsi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160D24">
        <w:rPr>
          <w:rFonts w:ascii="Times New Roman" w:eastAsia="Times New Roman" w:hAnsi="Times New Roman"/>
          <w:sz w:val="18"/>
          <w:szCs w:val="18"/>
          <w:lang w:eastAsia="cs-CZ"/>
        </w:rPr>
        <w:t>Žádný z členů nebyl ve střetu zájmů s projednávanou agendou.</w:t>
      </w:r>
    </w:p>
    <w:bookmarkEnd w:id="1"/>
    <w:p w:rsidR="008A14CC" w:rsidRPr="00160D24" w:rsidRDefault="008A14CC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  <w:r w:rsidRPr="00160D24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NOVÉ STUDIE:</w:t>
      </w:r>
      <w:bookmarkStart w:id="2" w:name="_GoBack"/>
      <w:bookmarkEnd w:id="2"/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>:</w:t>
      </w:r>
      <w:r w:rsidRPr="00160D24">
        <w:rPr>
          <w:rFonts w:ascii="Times New Roman" w:hAnsi="Times New Roman"/>
          <w:b/>
          <w:sz w:val="18"/>
          <w:szCs w:val="18"/>
        </w:rPr>
        <w:t xml:space="preserve">  31/23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160D24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160D24">
        <w:rPr>
          <w:rFonts w:ascii="Times New Roman" w:hAnsi="Times New Roman"/>
          <w:sz w:val="18"/>
          <w:szCs w:val="18"/>
        </w:rPr>
        <w:t xml:space="preserve"> Biobankování biologického materiálu a sběr klinických dat za účelem dalšího výzkumu</w:t>
      </w: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>:</w:t>
      </w:r>
      <w:r w:rsidRPr="00160D24">
        <w:rPr>
          <w:rFonts w:ascii="Times New Roman" w:hAnsi="Times New Roman"/>
          <w:b/>
          <w:sz w:val="18"/>
          <w:szCs w:val="18"/>
        </w:rPr>
        <w:t xml:space="preserve">  48/23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160D24">
        <w:rPr>
          <w:rFonts w:ascii="Times New Roman" w:hAnsi="Times New Roman"/>
          <w:bCs/>
          <w:color w:val="000000"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>Centrální a periferní motorické koreláty řízení chůze</w:t>
      </w:r>
      <w:r w:rsidRPr="00160D24">
        <w:rPr>
          <w:rFonts w:ascii="Times New Roman" w:hAnsi="Times New Roman"/>
          <w:sz w:val="18"/>
          <w:szCs w:val="18"/>
        </w:rPr>
        <w:tab/>
      </w:r>
      <w:r w:rsidRPr="00160D24">
        <w:rPr>
          <w:rFonts w:ascii="Times New Roman" w:hAnsi="Times New Roman"/>
          <w:sz w:val="18"/>
          <w:szCs w:val="18"/>
        </w:rPr>
        <w:tab/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61/23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iCs/>
          <w:sz w:val="18"/>
          <w:szCs w:val="18"/>
          <w:lang w:bidi="cs-CZ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  <w:lang w:bidi="cs-CZ"/>
        </w:rPr>
        <w:t>Diagnostický protokol pro testy VENTANA HER2 Dual ISH DNA Probe Cocktail a VENTANA HER2/neu (4B5) IUO Assay pro studii ZWI-ZW25-301 společnosti Zymeworks (HERIZON-GEA-01</w:t>
      </w:r>
      <w:r w:rsidRPr="00160D24">
        <w:rPr>
          <w:rFonts w:ascii="Times New Roman" w:hAnsi="Times New Roman"/>
          <w:i/>
          <w:iCs/>
          <w:sz w:val="18"/>
          <w:szCs w:val="18"/>
          <w:lang w:bidi="cs-CZ"/>
        </w:rPr>
        <w:t>)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cap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Cs/>
          <w:caps/>
          <w:sz w:val="18"/>
          <w:szCs w:val="18"/>
        </w:rPr>
        <w:t>Roche Diagnostic Protocol RD005953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N/A</w:t>
      </w:r>
    </w:p>
    <w:p w:rsidR="008A4870" w:rsidRPr="00160D24" w:rsidRDefault="008A4870" w:rsidP="008A4870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160D24">
        <w:rPr>
          <w:rFonts w:ascii="Times New Roman" w:hAnsi="Times New Roman"/>
          <w:b/>
          <w:sz w:val="18"/>
          <w:szCs w:val="18"/>
        </w:rPr>
        <w:t>EK   projednala předložené dokumenty a žádá před vydáním „Stanoviska“ o  opravu/vyjádření k následujícímu  bodům v IS: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8A4870" w:rsidRPr="00160D24" w:rsidRDefault="008A4870" w:rsidP="008A4870">
      <w:pPr>
        <w:pStyle w:val="Odstavecseseznamem"/>
        <w:numPr>
          <w:ilvl w:val="0"/>
          <w:numId w:val="44"/>
        </w:numPr>
        <w:jc w:val="both"/>
        <w:rPr>
          <w:bCs/>
          <w:sz w:val="18"/>
          <w:szCs w:val="18"/>
        </w:rPr>
      </w:pPr>
      <w:r w:rsidRPr="00160D24">
        <w:rPr>
          <w:bCs/>
          <w:sz w:val="18"/>
          <w:szCs w:val="18"/>
        </w:rPr>
        <w:t>Jedná se o posouzení diagnostického protokolu na již odebraných vzorcích. Pro tyto účely nepředpokládáme další odběr vzorků od nemocného – prosíme proto o odstranění údaje o nové biopsii</w:t>
      </w:r>
    </w:p>
    <w:p w:rsidR="008A4870" w:rsidRPr="00160D24" w:rsidRDefault="008A4870" w:rsidP="008A4870">
      <w:pPr>
        <w:pStyle w:val="Odstavecseseznamem"/>
        <w:numPr>
          <w:ilvl w:val="0"/>
          <w:numId w:val="44"/>
        </w:numPr>
        <w:jc w:val="both"/>
        <w:rPr>
          <w:bCs/>
          <w:sz w:val="18"/>
          <w:szCs w:val="18"/>
        </w:rPr>
      </w:pPr>
      <w:r w:rsidRPr="00160D24">
        <w:rPr>
          <w:bCs/>
          <w:sz w:val="18"/>
          <w:szCs w:val="18"/>
        </w:rPr>
        <w:t>Z téhož důvodu prosíme o odstranění informací o rizicích – tato studie je neintervenční.</w:t>
      </w:r>
    </w:p>
    <w:p w:rsidR="008A4870" w:rsidRPr="00160D24" w:rsidRDefault="008A4870" w:rsidP="008A487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62/23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color w:val="00000A"/>
          <w:kern w:val="2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color w:val="00000A"/>
          <w:kern w:val="2"/>
          <w:sz w:val="18"/>
          <w:szCs w:val="18"/>
        </w:rPr>
        <w:t>Účinnost vaginálního gelu DeflaGyn® při léčbě nejasných cervikálních stěrů souvisejících s histopatologickými diagnózami CIN1 a CIN2 a stavem hr-HPV: postmarketingové sledující klinické hodnocení.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DEFLACIN-002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Eudamed number/ </w:t>
      </w:r>
      <w:r w:rsidRPr="00160D24">
        <w:rPr>
          <w:rFonts w:ascii="Times New Roman" w:hAnsi="Times New Roman"/>
          <w:i/>
          <w:sz w:val="18"/>
          <w:szCs w:val="18"/>
        </w:rPr>
        <w:t>Eudamed number</w:t>
      </w:r>
      <w:r w:rsidRPr="00160D24">
        <w:rPr>
          <w:rFonts w:ascii="Times New Roman" w:hAnsi="Times New Roman"/>
          <w:sz w:val="18"/>
          <w:szCs w:val="18"/>
        </w:rPr>
        <w:t xml:space="preserve">: CIV-16-06-016144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160D24">
        <w:rPr>
          <w:rFonts w:ascii="Times New Roman" w:hAnsi="Times New Roman"/>
          <w:b/>
          <w:sz w:val="18"/>
          <w:szCs w:val="18"/>
        </w:rPr>
        <w:t>EK   projednala předložené dokumenty a žádá před vydáním „Stanoviska“ o  opravu/vyjádření k následujícímu  bodům v IS: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8A4870" w:rsidRPr="00160D24" w:rsidRDefault="008A4870" w:rsidP="008A4870">
      <w:pPr>
        <w:pStyle w:val="Odstavecseseznamem"/>
        <w:numPr>
          <w:ilvl w:val="0"/>
          <w:numId w:val="43"/>
        </w:numPr>
        <w:jc w:val="both"/>
        <w:rPr>
          <w:bCs/>
          <w:sz w:val="18"/>
          <w:szCs w:val="18"/>
        </w:rPr>
      </w:pPr>
      <w:r w:rsidRPr="00160D24">
        <w:rPr>
          <w:bCs/>
          <w:sz w:val="18"/>
          <w:szCs w:val="18"/>
        </w:rPr>
        <w:t>Pojem léčba nutno nahradit „podpůrná léčba“ nebo „pomocná léčba“</w:t>
      </w:r>
    </w:p>
    <w:p w:rsidR="008A4870" w:rsidRPr="00160D24" w:rsidRDefault="008A4870" w:rsidP="008A4870">
      <w:pPr>
        <w:pStyle w:val="Odstavecseseznamem"/>
        <w:numPr>
          <w:ilvl w:val="0"/>
          <w:numId w:val="43"/>
        </w:numPr>
        <w:jc w:val="both"/>
        <w:rPr>
          <w:bCs/>
          <w:sz w:val="18"/>
          <w:szCs w:val="18"/>
        </w:rPr>
      </w:pPr>
      <w:r w:rsidRPr="00160D24">
        <w:rPr>
          <w:bCs/>
          <w:sz w:val="18"/>
          <w:szCs w:val="18"/>
        </w:rPr>
        <w:t>„Odstoupení od smlouvy“ nahradit vhodnější formulací (nejedná se o smlouvu)</w:t>
      </w:r>
    </w:p>
    <w:p w:rsidR="008A4870" w:rsidRPr="00160D24" w:rsidRDefault="008A4870" w:rsidP="008A4870">
      <w:pPr>
        <w:pStyle w:val="Odstavecseseznamem"/>
        <w:numPr>
          <w:ilvl w:val="0"/>
          <w:numId w:val="43"/>
        </w:numPr>
        <w:jc w:val="both"/>
        <w:rPr>
          <w:bCs/>
          <w:sz w:val="18"/>
          <w:szCs w:val="18"/>
        </w:rPr>
      </w:pPr>
      <w:r w:rsidRPr="00160D24">
        <w:rPr>
          <w:bCs/>
          <w:sz w:val="18"/>
          <w:szCs w:val="18"/>
        </w:rPr>
        <w:t>Vzhledem k předpokladu pouze ženských subjektů vyjmout z IS údaj o pohlaví</w:t>
      </w:r>
    </w:p>
    <w:p w:rsidR="008A4870" w:rsidRPr="00160D24" w:rsidRDefault="008A4870" w:rsidP="008A4870">
      <w:pPr>
        <w:pStyle w:val="Odstavecseseznamem"/>
        <w:numPr>
          <w:ilvl w:val="0"/>
          <w:numId w:val="43"/>
        </w:numPr>
        <w:jc w:val="both"/>
        <w:rPr>
          <w:bCs/>
          <w:sz w:val="18"/>
          <w:szCs w:val="18"/>
        </w:rPr>
      </w:pPr>
      <w:r w:rsidRPr="00160D24">
        <w:rPr>
          <w:bCs/>
          <w:sz w:val="18"/>
          <w:szCs w:val="18"/>
        </w:rPr>
        <w:t>Opravit nesoulad v IS – na str. 3 je po 3 měsících pouze kontrola, v pozdějším textu údaj o dalším vyšetřování (nikoli jen o kontrole)</w:t>
      </w:r>
    </w:p>
    <w:p w:rsidR="008A4870" w:rsidRPr="00160D24" w:rsidRDefault="008A4870" w:rsidP="008A4870">
      <w:pPr>
        <w:pStyle w:val="Odstavecseseznamem"/>
        <w:numPr>
          <w:ilvl w:val="0"/>
          <w:numId w:val="43"/>
        </w:numPr>
        <w:jc w:val="both"/>
        <w:rPr>
          <w:bCs/>
          <w:sz w:val="18"/>
          <w:szCs w:val="18"/>
        </w:rPr>
      </w:pPr>
      <w:r w:rsidRPr="00160D24">
        <w:rPr>
          <w:bCs/>
          <w:sz w:val="18"/>
          <w:szCs w:val="18"/>
        </w:rPr>
        <w:t>Konkretizovat léky/lékové skupiny, které se nemohou užívat paralelně se zkoumaným zdravotnickým prostředkem</w:t>
      </w:r>
    </w:p>
    <w:p w:rsidR="008A4870" w:rsidRPr="00160D24" w:rsidRDefault="008A4870" w:rsidP="008A4870">
      <w:pPr>
        <w:pStyle w:val="Odstavecseseznamem"/>
        <w:numPr>
          <w:ilvl w:val="0"/>
          <w:numId w:val="43"/>
        </w:numPr>
        <w:jc w:val="both"/>
        <w:rPr>
          <w:bCs/>
          <w:sz w:val="18"/>
          <w:szCs w:val="18"/>
        </w:rPr>
      </w:pPr>
      <w:r w:rsidRPr="00160D24">
        <w:rPr>
          <w:bCs/>
          <w:sz w:val="18"/>
          <w:szCs w:val="18"/>
        </w:rPr>
        <w:t>Prosíme o potvrzení, že se tato studie bude řešit pouze na jednom řešitelském pracovišti (Brno) – z textu explicitně nevyplývá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0290" w:rsidRDefault="0095029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3" w:name="_Hlk135030889"/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63/23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Cs/>
          <w:sz w:val="18"/>
          <w:szCs w:val="18"/>
          <w:lang w:val="en-US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bCs/>
          <w:iCs/>
          <w:sz w:val="18"/>
          <w:szCs w:val="18"/>
          <w:lang w:val="en-US"/>
        </w:rPr>
        <w:t>Měření vzorků ze spolupráce na projektu GOTHICS pomocí imunoanalýzy Elecsys® GDF-15 a Elecsys® GDF-15 RxDx pro hodnocení Pharma fáze 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sz w:val="18"/>
          <w:szCs w:val="18"/>
          <w:lang w:val="en-US"/>
        </w:rPr>
      </w:pPr>
      <w:r w:rsidRPr="00160D24">
        <w:rPr>
          <w:rFonts w:ascii="Times New Roman" w:hAnsi="Times New Roman"/>
          <w:bCs/>
          <w:iCs/>
          <w:sz w:val="18"/>
          <w:szCs w:val="18"/>
          <w:lang w:val="en-US"/>
        </w:rPr>
        <w:t>při indikaci kachexie</w:t>
      </w:r>
      <w:r w:rsidRPr="00160D24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RD006147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N/A</w:t>
      </w:r>
    </w:p>
    <w:bookmarkEnd w:id="3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4" w:name="_Hlk135030940"/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64/23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Otevřená, multicentrická, dlouhodobá prodloužená studie režimů zanubrutinibu (BGB-3111) u pacientů s malignitami B buněk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BGB-3111-LTE1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2020-000547-31</w:t>
      </w:r>
    </w:p>
    <w:bookmarkEnd w:id="4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5" w:name="_Hlk135030976"/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65/23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Otevřená, prodloužená studie fáze 2 pro subjekty s rakovinou prostaty, které se dříve účastnily klinické studie enzalutamidu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Cs/>
          <w:sz w:val="18"/>
          <w:szCs w:val="18"/>
        </w:rPr>
        <w:t>9785-CL-0123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2016-001694-32</w:t>
      </w:r>
      <w:r w:rsidRPr="00160D24">
        <w:rPr>
          <w:rFonts w:ascii="Times New Roman" w:hAnsi="Times New Roman"/>
          <w:i/>
          <w:sz w:val="18"/>
          <w:szCs w:val="18"/>
        </w:rPr>
        <w:t xml:space="preserve">                               </w:t>
      </w:r>
    </w:p>
    <w:bookmarkEnd w:id="5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>:</w:t>
      </w:r>
      <w:r w:rsidRPr="00160D24">
        <w:rPr>
          <w:rFonts w:ascii="Times New Roman" w:hAnsi="Times New Roman"/>
          <w:b/>
          <w:sz w:val="18"/>
          <w:szCs w:val="18"/>
        </w:rPr>
        <w:t xml:space="preserve"> 66/23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160D24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160D24">
        <w:rPr>
          <w:rFonts w:ascii="Times New Roman" w:hAnsi="Times New Roman"/>
          <w:sz w:val="18"/>
          <w:szCs w:val="18"/>
        </w:rPr>
        <w:t xml:space="preserve"> Katetrizační ablace perzistující fibrilace síní s využitím elektroporace – srovnání dvou různých strategií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>:</w:t>
      </w:r>
      <w:r w:rsidRPr="00160D24">
        <w:rPr>
          <w:rFonts w:ascii="Times New Roman" w:hAnsi="Times New Roman"/>
          <w:b/>
          <w:sz w:val="18"/>
          <w:szCs w:val="18"/>
        </w:rPr>
        <w:t xml:space="preserve"> 67/23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160D24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160D24">
        <w:rPr>
          <w:rFonts w:ascii="Times New Roman" w:hAnsi="Times New Roman"/>
          <w:sz w:val="18"/>
          <w:szCs w:val="18"/>
        </w:rPr>
        <w:t xml:space="preserve"> Srovnání limitované a komplexní ablace pomocí elektroporace u pacientů s perzistující fibrilací síní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>:</w:t>
      </w:r>
      <w:r w:rsidRPr="00160D24">
        <w:rPr>
          <w:rFonts w:ascii="Times New Roman" w:hAnsi="Times New Roman"/>
          <w:b/>
          <w:sz w:val="18"/>
          <w:szCs w:val="18"/>
        </w:rPr>
        <w:t xml:space="preserve"> 68/23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160D24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bookmarkStart w:id="6" w:name="_Hlk134169374"/>
      <w:r w:rsidRPr="00160D24">
        <w:rPr>
          <w:rFonts w:ascii="Times New Roman" w:hAnsi="Times New Roman"/>
          <w:sz w:val="18"/>
          <w:szCs w:val="18"/>
        </w:rPr>
        <w:t>Efektivita intervenční rehabilitace u pacientů s frozen shoulder</w:t>
      </w:r>
      <w:bookmarkEnd w:id="6"/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>:</w:t>
      </w:r>
      <w:r w:rsidRPr="00160D24">
        <w:rPr>
          <w:rFonts w:ascii="Times New Roman" w:hAnsi="Times New Roman"/>
          <w:b/>
          <w:sz w:val="18"/>
          <w:szCs w:val="18"/>
        </w:rPr>
        <w:t xml:space="preserve"> 69/23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160D24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160D24">
        <w:rPr>
          <w:rFonts w:ascii="Times New Roman" w:hAnsi="Times New Roman"/>
          <w:sz w:val="18"/>
          <w:szCs w:val="18"/>
        </w:rPr>
        <w:t xml:space="preserve"> Zhodnocení svalové aktivity dolních končetin v průběhu pohybu s různými typy snímání povrchové elektromyografie</w:t>
      </w:r>
      <w:r w:rsidRPr="00160D24">
        <w:rPr>
          <w:rFonts w:ascii="Times New Roman" w:hAnsi="Times New Roman"/>
          <w:sz w:val="18"/>
          <w:szCs w:val="18"/>
        </w:rPr>
        <w:tab/>
      </w:r>
      <w:r w:rsidRPr="00160D24">
        <w:rPr>
          <w:rFonts w:ascii="Times New Roman" w:hAnsi="Times New Roman"/>
          <w:sz w:val="18"/>
          <w:szCs w:val="18"/>
        </w:rPr>
        <w:tab/>
      </w:r>
      <w:r w:rsidRPr="00160D24">
        <w:rPr>
          <w:rFonts w:ascii="Times New Roman" w:hAnsi="Times New Roman"/>
          <w:sz w:val="18"/>
          <w:szCs w:val="18"/>
        </w:rPr>
        <w:tab/>
      </w:r>
      <w:r w:rsidRPr="00160D24">
        <w:rPr>
          <w:rFonts w:ascii="Times New Roman" w:hAnsi="Times New Roman"/>
          <w:sz w:val="18"/>
          <w:szCs w:val="18"/>
        </w:rPr>
        <w:tab/>
      </w:r>
      <w:r w:rsidRPr="00160D24">
        <w:rPr>
          <w:rFonts w:ascii="Times New Roman" w:hAnsi="Times New Roman"/>
          <w:sz w:val="18"/>
          <w:szCs w:val="18"/>
        </w:rPr>
        <w:tab/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>:</w:t>
      </w:r>
      <w:r w:rsidRPr="00160D24">
        <w:rPr>
          <w:rFonts w:ascii="Times New Roman" w:hAnsi="Times New Roman"/>
          <w:b/>
          <w:sz w:val="18"/>
          <w:szCs w:val="18"/>
        </w:rPr>
        <w:t xml:space="preserve"> 70/23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160D24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160D24">
        <w:rPr>
          <w:rFonts w:ascii="Times New Roman" w:hAnsi="Times New Roman"/>
          <w:sz w:val="18"/>
          <w:szCs w:val="18"/>
        </w:rPr>
        <w:t xml:space="preserve"> Proteomická analýza cervikálního sekretu a laváž dutiny děložní u pacientek s benigním nebo maligním onemocněním dělohy</w:t>
      </w:r>
      <w:r w:rsidRPr="00160D24">
        <w:rPr>
          <w:rFonts w:ascii="Times New Roman" w:hAnsi="Times New Roman"/>
          <w:sz w:val="18"/>
          <w:szCs w:val="18"/>
        </w:rPr>
        <w:tab/>
      </w:r>
      <w:r w:rsidRPr="00160D24">
        <w:rPr>
          <w:rFonts w:ascii="Times New Roman" w:hAnsi="Times New Roman"/>
          <w:sz w:val="18"/>
          <w:szCs w:val="18"/>
        </w:rPr>
        <w:tab/>
      </w:r>
      <w:r w:rsidRPr="00160D24">
        <w:rPr>
          <w:rFonts w:ascii="Times New Roman" w:hAnsi="Times New Roman"/>
          <w:sz w:val="18"/>
          <w:szCs w:val="18"/>
        </w:rPr>
        <w:tab/>
      </w:r>
      <w:r w:rsidRPr="00160D24">
        <w:rPr>
          <w:rFonts w:ascii="Times New Roman" w:hAnsi="Times New Roman"/>
          <w:sz w:val="18"/>
          <w:szCs w:val="18"/>
        </w:rPr>
        <w:tab/>
      </w:r>
      <w:r w:rsidRPr="00160D24">
        <w:rPr>
          <w:rFonts w:ascii="Times New Roman" w:hAnsi="Times New Roman"/>
          <w:sz w:val="18"/>
          <w:szCs w:val="18"/>
        </w:rPr>
        <w:tab/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8A4870" w:rsidRPr="00950290" w:rsidRDefault="008A4870" w:rsidP="0095029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950290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950290">
        <w:rPr>
          <w:rFonts w:ascii="Times New Roman" w:hAnsi="Times New Roman"/>
          <w:i/>
          <w:sz w:val="18"/>
          <w:szCs w:val="18"/>
        </w:rPr>
        <w:t>Reference number</w:t>
      </w:r>
      <w:r w:rsidRPr="00950290">
        <w:rPr>
          <w:rFonts w:ascii="Times New Roman" w:hAnsi="Times New Roman"/>
          <w:sz w:val="18"/>
          <w:szCs w:val="18"/>
        </w:rPr>
        <w:t>:</w:t>
      </w:r>
      <w:r w:rsidRPr="00950290">
        <w:rPr>
          <w:rFonts w:ascii="Times New Roman" w:hAnsi="Times New Roman"/>
          <w:b/>
          <w:sz w:val="18"/>
          <w:szCs w:val="18"/>
        </w:rPr>
        <w:t xml:space="preserve"> 71/23</w:t>
      </w:r>
    </w:p>
    <w:p w:rsidR="00950290" w:rsidRPr="00950290" w:rsidRDefault="008A4870" w:rsidP="0095029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0290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950290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950290">
        <w:rPr>
          <w:rFonts w:ascii="Times New Roman" w:hAnsi="Times New Roman"/>
          <w:sz w:val="18"/>
          <w:szCs w:val="18"/>
        </w:rPr>
        <w:t xml:space="preserve"> Expression XI - Mezinárodní průzkum pro pacientky s rakovinou endometria: perspektivita a očekávání ohledně terapie a kvality života</w:t>
      </w:r>
      <w:r w:rsidRPr="00950290">
        <w:rPr>
          <w:rFonts w:ascii="Times New Roman" w:hAnsi="Times New Roman"/>
          <w:sz w:val="18"/>
          <w:szCs w:val="18"/>
        </w:rPr>
        <w:tab/>
      </w:r>
    </w:p>
    <w:p w:rsidR="008A4870" w:rsidRPr="00950290" w:rsidRDefault="008A4870" w:rsidP="0095029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50290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950290">
        <w:rPr>
          <w:rFonts w:ascii="Times New Roman" w:hAnsi="Times New Roman"/>
          <w:i/>
          <w:sz w:val="18"/>
          <w:szCs w:val="18"/>
        </w:rPr>
        <w:t>Ethics Committe´s opinion</w:t>
      </w:r>
      <w:r w:rsidRPr="00950290">
        <w:rPr>
          <w:rFonts w:ascii="Times New Roman" w:hAnsi="Times New Roman"/>
          <w:sz w:val="18"/>
          <w:szCs w:val="18"/>
        </w:rPr>
        <w:t>:</w:t>
      </w:r>
    </w:p>
    <w:p w:rsidR="008A4870" w:rsidRPr="00950290" w:rsidRDefault="008A4870" w:rsidP="0095029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950290">
        <w:rPr>
          <w:rFonts w:ascii="Times New Roman" w:hAnsi="Times New Roman"/>
          <w:sz w:val="18"/>
          <w:szCs w:val="18"/>
        </w:rPr>
        <w:sym w:font="Wingdings 2" w:char="F054"/>
      </w:r>
      <w:r w:rsidRPr="00950290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950290">
        <w:rPr>
          <w:rFonts w:ascii="Times New Roman" w:hAnsi="Times New Roman"/>
          <w:i/>
          <w:sz w:val="18"/>
          <w:szCs w:val="18"/>
        </w:rPr>
        <w:t>EC issued</w:t>
      </w:r>
      <w:r w:rsidRPr="00950290">
        <w:rPr>
          <w:rFonts w:ascii="Times New Roman" w:hAnsi="Times New Roman"/>
          <w:sz w:val="18"/>
          <w:szCs w:val="18"/>
        </w:rPr>
        <w:t xml:space="preserve"> </w:t>
      </w:r>
      <w:r w:rsidRPr="00950290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950290" w:rsidRDefault="008A4870" w:rsidP="0095029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950290">
        <w:rPr>
          <w:rFonts w:ascii="Times New Roman" w:hAnsi="Times New Roman"/>
          <w:bCs/>
          <w:sz w:val="18"/>
          <w:szCs w:val="18"/>
        </w:rPr>
        <w:lastRenderedPageBreak/>
        <w:sym w:font="Wingdings 2" w:char="F054"/>
      </w:r>
      <w:r w:rsidRPr="00950290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950290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>:</w:t>
      </w:r>
      <w:r w:rsidRPr="00160D24">
        <w:rPr>
          <w:rFonts w:ascii="Times New Roman" w:hAnsi="Times New Roman"/>
          <w:b/>
          <w:sz w:val="18"/>
          <w:szCs w:val="18"/>
        </w:rPr>
        <w:t xml:space="preserve"> 72/23</w:t>
      </w:r>
    </w:p>
    <w:p w:rsidR="008A4870" w:rsidRPr="00160D24" w:rsidRDefault="008A4870" w:rsidP="008A4870">
      <w:pPr>
        <w:pStyle w:val="Odstavecseseznamem"/>
        <w:ind w:left="2832" w:hanging="2832"/>
        <w:rPr>
          <w:sz w:val="18"/>
          <w:szCs w:val="18"/>
        </w:rPr>
      </w:pPr>
      <w:r w:rsidRPr="00160D24">
        <w:rPr>
          <w:b/>
          <w:bCs/>
          <w:color w:val="000000"/>
          <w:sz w:val="18"/>
          <w:szCs w:val="18"/>
        </w:rPr>
        <w:t>Název výzkumného projektu</w:t>
      </w:r>
      <w:r w:rsidRPr="00160D24">
        <w:rPr>
          <w:bCs/>
          <w:color w:val="000000"/>
          <w:sz w:val="18"/>
          <w:szCs w:val="18"/>
        </w:rPr>
        <w:t>:</w:t>
      </w:r>
      <w:r w:rsidRPr="00160D24">
        <w:rPr>
          <w:sz w:val="18"/>
          <w:szCs w:val="18"/>
        </w:rPr>
        <w:t xml:space="preserve"> Registr ReMuS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950290" w:rsidRDefault="0095029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u w:val="single"/>
        </w:rPr>
      </w:pPr>
      <w:r w:rsidRPr="00160D24">
        <w:rPr>
          <w:rFonts w:ascii="Times New Roman" w:hAnsi="Times New Roman"/>
          <w:b/>
          <w:bCs/>
          <w:sz w:val="18"/>
          <w:szCs w:val="18"/>
          <w:u w:val="single"/>
        </w:rPr>
        <w:t>DODATKY: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164/20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x-none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>: Otevřená multicentrická studie fáze 1/2 k posouzení bezpečnosti, snášenlivosti, farmakokinetiky a protinádorové aktivity přípravku zn-c5 samotného a v kombinaci s palbociklibem u pacientů s pokročilým karcinomem prsu pozitivním na estrogenový receptor a negativním na lidský epidermální růstový faktor 2</w:t>
      </w:r>
      <w:r w:rsidRPr="00160D24">
        <w:rPr>
          <w:rFonts w:ascii="Times New Roman" w:hAnsi="Times New Roman"/>
          <w:sz w:val="18"/>
          <w:szCs w:val="18"/>
        </w:rPr>
        <w:t>.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ZN-c5-001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2018-001364-27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950290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bookmarkStart w:id="7" w:name="_Hlk112071434"/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139/22 MEK 19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Nezaslepená jednoramenná multicentrická studie fáze 2 hodnotící účinnost a bezpečnost přípravku SOT101 v kombinaci s cetuximabem u pacientů s kolorektálním karcinomem divokého typu RAS (AURELIO-05)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SC105 (AURELIO-05)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2022-001527-32</w:t>
      </w:r>
    </w:p>
    <w:bookmarkEnd w:id="7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8" w:name="_Hlk132628724"/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52/23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>Otevřená studie fáze 1b/2 hodnotící bezpečnost a účinnost přípravku epcoritamab (GEN3013; DuoBody®-CD3 X CD20) u pacientů s relabující/refrakterní chronickou lymfocytickou leukémií a Richterovým syndromem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GCT3013-03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2020-000848-57</w:t>
      </w:r>
    </w:p>
    <w:bookmarkEnd w:id="8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24/23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>Studie fáze 2 hodnotící belantamab mafodotin v kombinaci s bortezomibem a dexamethasonem u pacientů s relabovaným/refrakterním mnohočetným myelomem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CMG012022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2022-002515-34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220/21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>: „Otevřená, multicentrická, randomizovaná studie fáze 3 se 3 rameny hodnotící účinnost a bezpečnost elranatamabu (pf-06863135) v monoterapii a elranatamabu + daratumumabu oproti daratumumabu + pomalidomidu + dexamethasonu u účastníků s relabujícím/refrakterním mnohočetným myelomem, kteří dostali nejméně 1 předchozí linii léčby včetně lenalidomidu a inhibitoru proteazomu”</w:t>
      </w:r>
      <w:r w:rsidRPr="00160D24">
        <w:rPr>
          <w:rFonts w:ascii="Times New Roman" w:hAnsi="Times New Roman"/>
          <w:bCs/>
          <w:i/>
          <w:iCs/>
          <w:sz w:val="18"/>
          <w:szCs w:val="18"/>
        </w:rPr>
        <w:t xml:space="preserve">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C1071005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2021-000044-22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70/22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Randomizované, dvojitě zaslepené, placebem kontrolované klinické hodnocení fáze 3 s paralelními skupinami, jehož cílem je vyhodnotit účinnost a bezpečnost tezepelumabu během 28 týdnů podávání a následného sledování za účelem snižování užití orálních kortikosteroidů u pacientů s astmatem, kteří jsou na užívání orálních kortikosteroidů závislí (studie SUNRISE)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D5180C00024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2021-006691-17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lastRenderedPageBreak/>
        <w:sym w:font="Wingdings 2" w:char="F05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9" w:name="_Hlk126137730"/>
      <w:bookmarkStart w:id="10" w:name="_Hlk135035887"/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159/22</w:t>
      </w:r>
    </w:p>
    <w:p w:rsidR="008A4870" w:rsidRPr="00160D24" w:rsidRDefault="008A4870" w:rsidP="008A4870">
      <w:pPr>
        <w:pStyle w:val="Paragraph"/>
        <w:spacing w:before="0" w:after="0"/>
        <w:rPr>
          <w:sz w:val="18"/>
          <w:szCs w:val="18"/>
          <w:lang w:val="cs-CZ"/>
        </w:rPr>
      </w:pPr>
      <w:r w:rsidRPr="00160D24">
        <w:rPr>
          <w:b/>
          <w:bCs/>
          <w:sz w:val="18"/>
          <w:szCs w:val="18"/>
        </w:rPr>
        <w:t>Název KH/</w:t>
      </w:r>
      <w:r w:rsidRPr="00160D24">
        <w:rPr>
          <w:i/>
          <w:sz w:val="18"/>
          <w:szCs w:val="18"/>
        </w:rPr>
        <w:t>Full Title of Clinical Trial</w:t>
      </w:r>
      <w:r w:rsidRPr="00160D24">
        <w:rPr>
          <w:bCs/>
          <w:sz w:val="18"/>
          <w:szCs w:val="18"/>
        </w:rPr>
        <w:t xml:space="preserve">: </w:t>
      </w:r>
      <w:r w:rsidRPr="00160D24">
        <w:rPr>
          <w:sz w:val="18"/>
          <w:szCs w:val="18"/>
          <w:lang w:val="cs-CZ"/>
        </w:rPr>
        <w:t xml:space="preserve">Otevřené, multicentrické, randomizované klinické hodnocení fáze 3 se 2 rameny hodnotící účinnost a bezpečnost elranatamabu (PF-06863135) + daratumumabu + lenalidomidu oproti daratumumabu + lenalidomidu + dexamethasonu u účastníků s nově diagnostikovaným mnohočetným myelomem, kteří nejsou způsobilí k transplantaci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C1071006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2021-000803-20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9"/>
    <w:bookmarkEnd w:id="10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29/22</w:t>
      </w:r>
    </w:p>
    <w:p w:rsidR="008A4870" w:rsidRPr="00160D24" w:rsidRDefault="008A4870" w:rsidP="008A4870">
      <w:pPr>
        <w:pStyle w:val="C-BodyText"/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160D24">
        <w:rPr>
          <w:rFonts w:ascii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60D24">
        <w:rPr>
          <w:rFonts w:ascii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60D24">
        <w:rPr>
          <w:rFonts w:ascii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60D24">
        <w:rPr>
          <w:rFonts w:ascii="Times New Roman" w:hAnsi="Times New Roman" w:cs="Times New Roman"/>
          <w:sz w:val="18"/>
          <w:szCs w:val="18"/>
        </w:rPr>
        <w:t xml:space="preserve">Multicentrické, jednoramenné, otevřené pokračující  </w:t>
      </w:r>
    </w:p>
    <w:p w:rsidR="00950290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t xml:space="preserve"> klinické hodnocení k posouzení dlouhodobé bezpečnosti přípravku GSK3511294 (depemokimab) u dospělých a dospívajících účastníků se závažným astmatem eozinofilním fenotypu z klinického hodnocení 206713 nebo 213744</w:t>
      </w:r>
      <w:r w:rsidRPr="00160D24">
        <w:rPr>
          <w:rFonts w:ascii="Times New Roman" w:hAnsi="Times New Roman"/>
          <w:sz w:val="18"/>
          <w:szCs w:val="18"/>
        </w:rPr>
        <w:tab/>
        <w:t xml:space="preserve"> </w:t>
      </w:r>
    </w:p>
    <w:p w:rsidR="008A4870" w:rsidRPr="00950290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212895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2020-004334-38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1" w:name="_Hlk104444382"/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189/21 MEK 22</w:t>
      </w:r>
    </w:p>
    <w:p w:rsidR="008A4870" w:rsidRPr="00160D24" w:rsidRDefault="008A4870" w:rsidP="008A4870">
      <w:pPr>
        <w:spacing w:after="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bookmarkStart w:id="12" w:name="_Hlk79612597"/>
      <w:r w:rsidRPr="00160D24">
        <w:rPr>
          <w:rFonts w:ascii="Times New Roman" w:hAnsi="Times New Roman"/>
          <w:bCs/>
          <w:sz w:val="18"/>
          <w:szCs w:val="18"/>
        </w:rPr>
        <w:t xml:space="preserve">Otevřená, kontrolovaná, randomizovaná studie fáze 3 porovnávající enfortumab vedotin v kombinaci s pembrolizumabem oproti samotné chemoterapii u dříve neléčeného, lokálně pokročilého nebo metastazujícího uroteliálního karcinomu </w:t>
      </w:r>
      <w:bookmarkEnd w:id="12"/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SGN22E-003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2019-004542-15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11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183/21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bookmarkStart w:id="13" w:name="_Hlk46906170"/>
      <w:r w:rsidRPr="00160D24">
        <w:rPr>
          <w:rFonts w:ascii="Times New Roman" w:hAnsi="Times New Roman"/>
          <w:bCs/>
          <w:sz w:val="18"/>
          <w:szCs w:val="18"/>
          <w:lang w:val="de-DE"/>
        </w:rPr>
        <w:t xml:space="preserve">Randomizovaná, dvojitě zaslepená studie fáze 3 enkorafenibu a binimetinibu plus pembrolizumabu oproti placebu plus pembrolizumabu u účastníků s metastazujícím nebo neresekovatelným lokálně pokročilým melanomem s pozitivní mutací V600E/K genu BRAF </w:t>
      </w:r>
      <w:bookmarkEnd w:id="13"/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C4221016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2020-004850-31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30/21</w:t>
      </w:r>
    </w:p>
    <w:p w:rsidR="00950290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Dvojitě zaslepená, multicentrická, randomizovaná studie fáze III hodnotící atezolizumab (protilátku proti PD-L1) ve srovnání s placebem v adjuvantní terapii pacientů s vysokým rizikem svalovinu invadujícího karcinomu </w:t>
      </w:r>
      <w:r w:rsidRPr="00160D24">
        <w:rPr>
          <w:rFonts w:ascii="Times New Roman" w:hAnsi="Times New Roman"/>
          <w:sz w:val="18"/>
          <w:szCs w:val="18"/>
        </w:rPr>
        <w:tab/>
        <w:t>močového měchýře pozitivních na CTDNA po cystektomii</w:t>
      </w:r>
      <w:r w:rsidRPr="00160D24">
        <w:rPr>
          <w:rFonts w:ascii="Times New Roman" w:hAnsi="Times New Roman"/>
          <w:sz w:val="18"/>
          <w:szCs w:val="18"/>
        </w:rPr>
        <w:tab/>
      </w:r>
      <w:r w:rsidRPr="00160D24">
        <w:rPr>
          <w:rFonts w:ascii="Times New Roman" w:hAnsi="Times New Roman"/>
          <w:sz w:val="18"/>
          <w:szCs w:val="18"/>
        </w:rPr>
        <w:tab/>
      </w:r>
      <w:r w:rsidRPr="00160D24">
        <w:rPr>
          <w:rFonts w:ascii="Times New Roman" w:hAnsi="Times New Roman"/>
          <w:sz w:val="18"/>
          <w:szCs w:val="18"/>
        </w:rPr>
        <w:tab/>
      </w:r>
    </w:p>
    <w:p w:rsidR="008A4870" w:rsidRPr="00950290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BO42843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2020-004418-36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176/20</w:t>
      </w:r>
    </w:p>
    <w:p w:rsidR="008A4870" w:rsidRPr="00160D24" w:rsidRDefault="008A4870" w:rsidP="00260FF4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Dvojitě zaslepené, placebem kontrolované, multicentrické klinické hodnocení fáze 3 porovnávající chemoimunoterapii (paklitaxel-karboplatina-oregovomab) oproti chemoterapii (paklitaxel-karboplatina-placebo) u pacientek s pokročilým epiteliálním karcinomem vaječníku, karcinomem vejcovodu nebo peritoneálním karcinomem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QPT-ORE-005 (verze 2.0; 24.června 2020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2020-002270-26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0290" w:rsidRDefault="0095029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0290" w:rsidRDefault="0095029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62/20</w:t>
      </w:r>
    </w:p>
    <w:p w:rsidR="008A4870" w:rsidRPr="00160D24" w:rsidRDefault="008A4870" w:rsidP="00260FF4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Multicentrické, otevřené, dlouhodobé prodloužení studie fáze 3 k vyhodnocení dlouhodobé účinnosti a bezpečnosti Mirikizumabu u pacientů s Crohnovou chorobou /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16T-MC-AMAX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2019-002687-27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 xml:space="preserve"> 39/20</w:t>
      </w:r>
    </w:p>
    <w:p w:rsidR="008A4870" w:rsidRPr="00160D24" w:rsidRDefault="008A4870" w:rsidP="008A4870">
      <w:pPr>
        <w:pStyle w:val="Body"/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160D24">
        <w:rPr>
          <w:rFonts w:ascii="Times New Roman" w:hAnsi="Times New Roman" w:cs="Times New Roman"/>
          <w:b/>
          <w:bCs/>
          <w:sz w:val="18"/>
          <w:szCs w:val="18"/>
          <w:lang w:eastAsia="cs-CZ"/>
        </w:rPr>
        <w:t>Název KH/</w:t>
      </w:r>
      <w:r w:rsidRPr="00160D24">
        <w:rPr>
          <w:rFonts w:ascii="Times New Roman" w:hAnsi="Times New Roman" w:cs="Times New Roman"/>
          <w:i/>
          <w:sz w:val="18"/>
          <w:szCs w:val="18"/>
          <w:lang w:eastAsia="cs-CZ"/>
        </w:rPr>
        <w:t>Full Title of Clinical Trial</w:t>
      </w:r>
      <w:r w:rsidRPr="00160D24">
        <w:rPr>
          <w:rFonts w:ascii="Times New Roman" w:hAnsi="Times New Roman" w:cs="Times New Roman"/>
          <w:bCs/>
          <w:sz w:val="18"/>
          <w:szCs w:val="18"/>
          <w:lang w:eastAsia="cs-CZ"/>
        </w:rPr>
        <w:t xml:space="preserve">: </w:t>
      </w:r>
      <w:r w:rsidRPr="00160D24">
        <w:rPr>
          <w:rFonts w:ascii="Times New Roman" w:hAnsi="Times New Roman" w:cs="Times New Roman"/>
          <w:sz w:val="18"/>
          <w:szCs w:val="18"/>
          <w:bdr w:val="nil"/>
          <w:lang w:val="cs-CZ"/>
        </w:rPr>
        <w:t>Klinické hodnocení fáze II orálního inhibitoru tropomyosin-receptor-kinázy (TRK), larotrectinibu, u pacientů s karcinomem asociovaným s fúzními geny NTRK bez ohledu na jeho lokalitu (tzv. „basket study“)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20289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2015-003582-28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21/19 MEK 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bCs/>
          <w:color w:val="000000"/>
          <w:sz w:val="18"/>
          <w:szCs w:val="18"/>
        </w:rPr>
        <w:t>Multicentrické, randomizované, otevřené klinické hodnocení fáze III porovnávající přípravek SHR3680 v kombinaci s androgen deprivační terapií (ADT) oproti bikalutamidu v kombinaci s ADT při léčbě metastazujícího hormonálně senzitivního karcinomu prostaty s vysokou nádorovou zátěží</w:t>
      </w:r>
      <w:r w:rsidRPr="00160D24">
        <w:rPr>
          <w:rFonts w:ascii="Times New Roman" w:hAnsi="Times New Roman"/>
          <w:bCs/>
          <w:color w:val="000000"/>
          <w:sz w:val="18"/>
          <w:szCs w:val="18"/>
        </w:rPr>
        <w:tab/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SHR-3680-III-HSPC (Verze 2.0; 05.12.2018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2018-003190-96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t></w:t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161/18 MEK 23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Randomizovaná, dvojitě zaslepená, placebem kontrolovaná klinická studie fáze III hodnotící účinnost a bezpečnost Atezolizumabu nebo placeba v kombinaci s neoadjuvantním Doxorubicinem + Cyklofosfamidem a následně Paklitaxelem + trastuzumabem + Pertuzumabem v léčbě časného HER2-pozitivního karcinomu prsu (IMPASSION 050)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BO40747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2018-001881-40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bCs/>
          <w:sz w:val="18"/>
          <w:szCs w:val="18"/>
        </w:rPr>
        <w:t xml:space="preserve"> </w:t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137/17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Klinické hodnocení fáze 3 hodnotící ibrutinib v kombinaci s venetoclaxem u subjektů s lymfomem z plášťových buněk (MCL)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PCYC-1143-CA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2017-000129-12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222/21</w:t>
      </w:r>
    </w:p>
    <w:p w:rsidR="008A4870" w:rsidRPr="00160D24" w:rsidRDefault="008A4870" w:rsidP="00260FF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RHEIA (Randomizovaný výzkum všech zařazených pacientek s aortálními stenózami) Prospektivní, randomizovaná, multicentrická studie s kontrolním ramenem, zaměřená na hodnocení bezpečnosti a účinnosti transkatetrální implantace aortální chlopně u pacientek se závažnou symptomatickou aortální stenózou, která vyžaduje náhradu aortální chlopně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CIV-19-11-030544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N/A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114/18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>Randomizovaná multicentrická studie fáze II/III přípravku MOR00208 s bendamustinem v porovnání s rituximabem s bendamustinem u pacientů s relabujícím nebo refrakterním difuzním velkobuněčným B</w:t>
      </w:r>
      <w:r w:rsidRPr="00160D24">
        <w:rPr>
          <w:rFonts w:ascii="Times New Roman" w:hAnsi="Times New Roman"/>
          <w:sz w:val="18"/>
          <w:szCs w:val="18"/>
        </w:rPr>
        <w:noBreakHyphen/>
        <w:t>lymfomem (R-R</w:t>
      </w:r>
      <w:r w:rsidRPr="00160D24">
        <w:rPr>
          <w:rFonts w:ascii="Times New Roman" w:hAnsi="Times New Roman"/>
          <w:sz w:val="18"/>
          <w:szCs w:val="18"/>
        </w:rPr>
        <w:tab/>
        <w:t xml:space="preserve">DLBCL), kteří nejsou způsobilí k léčbě vysokodávkovou chemoterapií (HDC) a autologní transplantací kmenových buněk (TKB) – B-MIND </w:t>
      </w:r>
      <w:r w:rsidRPr="00160D24">
        <w:rPr>
          <w:rFonts w:ascii="Times New Roman" w:hAnsi="Times New Roman"/>
          <w:sz w:val="18"/>
          <w:szCs w:val="18"/>
        </w:rPr>
        <w:tab/>
      </w:r>
      <w:r w:rsidRPr="00160D24">
        <w:rPr>
          <w:rFonts w:ascii="Times New Roman" w:hAnsi="Times New Roman"/>
          <w:sz w:val="18"/>
          <w:szCs w:val="18"/>
        </w:rPr>
        <w:tab/>
      </w:r>
      <w:r w:rsidRPr="00160D24">
        <w:rPr>
          <w:rFonts w:ascii="Times New Roman" w:hAnsi="Times New Roman"/>
          <w:i/>
          <w:sz w:val="18"/>
          <w:szCs w:val="18"/>
        </w:rPr>
        <w:tab/>
      </w:r>
      <w:r w:rsidRPr="00160D24">
        <w:rPr>
          <w:rFonts w:ascii="Times New Roman" w:hAnsi="Times New Roman"/>
          <w:i/>
          <w:sz w:val="18"/>
          <w:szCs w:val="18"/>
        </w:rPr>
        <w:tab/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MOR208C204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2014-004689-11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lastRenderedPageBreak/>
        <w:sym w:font="Wingdings 2" w:char="F05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t xml:space="preserve">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4" w:name="_Hlk116913249"/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154/22 MEK 23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Randomizované, otevřené, multicentrické klinické hodnocení fáze 3 hodnotící domvanalimab, zimberelimab a chemoterapii oproti nivolumabu a chemoterapii u účastníků s dříve neléčeným lokálně pokročilým neresekovatelným nebo metastazujícím adenokarcinomem žaludku, gastroezofageální junkce (GEJ) a jícnu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STAR-221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2022-002222-27</w:t>
      </w:r>
    </w:p>
    <w:bookmarkEnd w:id="14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5" w:name="_Hlk116914342"/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158/22 MEK 27</w:t>
      </w:r>
    </w:p>
    <w:p w:rsidR="00260FF4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Otevřené, multicentrické klinické hodnocení fáze 1b/2 se stupňováním dávky a rozšířením dávky k posouzení bezpečnosti, snášenlivosti, farmakokinetiky, farmakodynamiky a protinádorové aktivity přípravku PF-07220060 v kombinaci s přípravkem PF07104091 a endokrinní terapií u účastníků s pokročilými solidními nádory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C4391002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2022-002173-28</w:t>
      </w:r>
    </w:p>
    <w:bookmarkEnd w:id="15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73/20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Randomizovaná, dvojitě zaslepená, placebem kontrolovaná studie hodnotící vysazení, bezpečnost a účinnost perorálně užívaného baricitinibu u pacientů se systémovou juvenilní idiopatickou artritidou (sJIA) ve věku od 1 roku do 18 let.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14V-MC-JAHU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2017-004495-60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62/22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eastAsia="Arial" w:hAnsi="Times New Roman"/>
          <w:sz w:val="18"/>
          <w:szCs w:val="18"/>
          <w:lang w:bidi="cs-CZ"/>
        </w:rPr>
        <w:t>Randomizované, dvojitě zaslepené, multicentrické, multinárodní, placebem kontrolované, paralelně uspořádané, adaptivní klinické hodnocení s podáním jedné dávky, zkoumající účinnost a bezpečnost glenzocimabu jako přídatné léčby navíc ke standardní léčbě v průběhu 4,5 hodiny po akutní ischemické cévní mozkové příhodě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ACT-CS-005 (ACTISAVE)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2021-002148-56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6" w:name="_Hlk105052777"/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75/22</w:t>
      </w:r>
    </w:p>
    <w:p w:rsidR="008A4870" w:rsidRPr="00160D24" w:rsidRDefault="008A4870" w:rsidP="008A4870">
      <w:pPr>
        <w:pStyle w:val="BMSBodyText"/>
        <w:spacing w:after="0" w:line="240" w:lineRule="auto"/>
        <w:rPr>
          <w:rFonts w:cs="Times New Roman"/>
          <w:i/>
          <w:sz w:val="18"/>
          <w:szCs w:val="18"/>
        </w:rPr>
      </w:pPr>
      <w:r w:rsidRPr="00160D24">
        <w:rPr>
          <w:rFonts w:cs="Times New Roman"/>
          <w:b/>
          <w:bCs/>
          <w:sz w:val="18"/>
          <w:szCs w:val="18"/>
        </w:rPr>
        <w:t>Název KH/</w:t>
      </w:r>
      <w:r w:rsidRPr="00160D24">
        <w:rPr>
          <w:rFonts w:cs="Times New Roman"/>
          <w:i/>
          <w:sz w:val="18"/>
          <w:szCs w:val="18"/>
        </w:rPr>
        <w:t>Full Title of Clinical Trial</w:t>
      </w:r>
      <w:r w:rsidRPr="00160D24">
        <w:rPr>
          <w:rFonts w:cs="Times New Roman"/>
          <w:bCs/>
          <w:sz w:val="18"/>
          <w:szCs w:val="18"/>
        </w:rPr>
        <w:t xml:space="preserve">: </w:t>
      </w:r>
      <w:r w:rsidRPr="00160D24">
        <w:rPr>
          <w:rFonts w:eastAsia="Times New Roman" w:cs="Times New Roman"/>
          <w:color w:val="auto"/>
          <w:sz w:val="18"/>
          <w:szCs w:val="18"/>
        </w:rPr>
        <w:t>Randomizovaná, nezaslepená (zaslepená pro zadavatele) studie fáze 3 hodnotící kombinaci fixní dávky relatlimabu-nivolumabu oproti regorafenibu nebo trifluridinu + tipiracilu (TAS-102) u účastníků s pozdějšími liniemi metastatického kolorektálního karcinomu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CA224-123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2021-004285-35</w:t>
      </w:r>
    </w:p>
    <w:bookmarkEnd w:id="16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160D24" w:rsidRPr="00160D24" w:rsidRDefault="00160D24" w:rsidP="00160D24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160D24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NEŽÁDOUCÍ ÚČINKY</w:t>
      </w:r>
      <w:r w:rsidRPr="00160D24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67/13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Otevřená, jednoramenná studie fáze 4 s Brentuximab Vedotinem u pacientů s relabujícím nebo refrakterním systémovým anaplastickým velkobuněčným lymfomem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C25006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2012-004128-39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stanovisko// </w:t>
      </w:r>
      <w:r w:rsidRPr="00160D24">
        <w:rPr>
          <w:rFonts w:ascii="Times New Roman" w:hAnsi="Times New Roman"/>
          <w:i/>
          <w:sz w:val="18"/>
          <w:szCs w:val="18"/>
        </w:rPr>
        <w:t>EC issues</w:t>
      </w:r>
      <w:r w:rsidRPr="00160D24">
        <w:rPr>
          <w:rFonts w:ascii="Times New Roman" w:hAnsi="Times New Roman"/>
          <w:sz w:val="18"/>
          <w:szCs w:val="18"/>
        </w:rPr>
        <w:t xml:space="preserve"> f</w:t>
      </w:r>
      <w:r w:rsidRPr="00160D24">
        <w:rPr>
          <w:rFonts w:ascii="Times New Roman" w:hAnsi="Times New Roman"/>
          <w:i/>
          <w:sz w:val="18"/>
          <w:szCs w:val="18"/>
        </w:rPr>
        <w:t>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50290" w:rsidRDefault="0095029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0290" w:rsidRPr="00160D24" w:rsidRDefault="0095029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 xml:space="preserve">1/15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>Evropské multicentrické sledování přechodu pacientů po transplantaci ledvin na přípravek Advagraf – neintervenční postautorizační studie (PAS)</w:t>
      </w:r>
      <w:r w:rsidRPr="00160D24">
        <w:rPr>
          <w:rFonts w:ascii="Times New Roman" w:hAnsi="Times New Roman"/>
          <w:sz w:val="18"/>
          <w:szCs w:val="18"/>
        </w:rPr>
        <w:tab/>
        <w:t xml:space="preserve">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506-MA-1002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N/A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stanovisko// </w:t>
      </w:r>
      <w:r w:rsidRPr="00160D24">
        <w:rPr>
          <w:rFonts w:ascii="Times New Roman" w:hAnsi="Times New Roman"/>
          <w:i/>
          <w:sz w:val="18"/>
          <w:szCs w:val="18"/>
        </w:rPr>
        <w:t>EC issues</w:t>
      </w:r>
      <w:r w:rsidRPr="00160D24">
        <w:rPr>
          <w:rFonts w:ascii="Times New Roman" w:hAnsi="Times New Roman"/>
          <w:sz w:val="18"/>
          <w:szCs w:val="18"/>
        </w:rPr>
        <w:t xml:space="preserve"> f</w:t>
      </w:r>
      <w:r w:rsidRPr="00160D24">
        <w:rPr>
          <w:rFonts w:ascii="Times New Roman" w:hAnsi="Times New Roman"/>
          <w:i/>
          <w:sz w:val="18"/>
          <w:szCs w:val="18"/>
        </w:rPr>
        <w:t>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6/16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Mezinárodní registr těhotných žen s roztroušenou sklerózou (RS), vystavených účinku přípravku teriflunomid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OBS12751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N/A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t xml:space="preserve">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65/16 MEK 16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>Program rozšířeného přístupu (</w:t>
      </w:r>
      <w:r w:rsidRPr="00160D24">
        <w:rPr>
          <w:rFonts w:ascii="Times New Roman" w:hAnsi="Times New Roman"/>
          <w:i/>
          <w:iCs/>
          <w:sz w:val="18"/>
          <w:szCs w:val="18"/>
        </w:rPr>
        <w:t>Extended Access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iCs/>
          <w:sz w:val="18"/>
          <w:szCs w:val="18"/>
        </w:rPr>
        <w:t>Program</w:t>
      </w:r>
      <w:r w:rsidRPr="00160D24">
        <w:rPr>
          <w:rFonts w:ascii="Times New Roman" w:hAnsi="Times New Roman"/>
          <w:sz w:val="18"/>
          <w:szCs w:val="18"/>
        </w:rPr>
        <w:t xml:space="preserve">) pro přípravek Entyvio (Vedolizumab IV) u pacientů s ulcerózní kolitidou a Crohnovou nemocí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Cs/>
          <w:sz w:val="18"/>
          <w:szCs w:val="18"/>
          <w:lang w:val="en-GB" w:eastAsia="en-GB"/>
        </w:rPr>
        <w:t>Vedolizumab-4013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color w:val="000000"/>
          <w:sz w:val="18"/>
          <w:szCs w:val="18"/>
        </w:rPr>
        <w:t>2016-000678-40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t xml:space="preserve">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66/16 MEK 16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Multicentrické, randomizované, placebem kontrolované, dvojitě zaslepené klinické hodnocení fáze III zkoumající atezolizumab (protilátku proti ligandu PD-L1) v kombinaci s gemcitabinem a karboplatinou u pacientů s dosud neléčeným místně pokročilým nebo metastázujícím uroteliálním karcinomem, kteří nejsou způsobilí k léčbě na bázi cisplatiny </w:t>
      </w:r>
    </w:p>
    <w:p w:rsidR="008A4870" w:rsidRPr="00160D24" w:rsidRDefault="008A4870" w:rsidP="008A4870">
      <w:pPr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WO30070</w:t>
      </w:r>
    </w:p>
    <w:p w:rsidR="008A4870" w:rsidRPr="00160D24" w:rsidRDefault="008A4870" w:rsidP="008A4870">
      <w:pPr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2016-000250-35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132/16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  <w:lang w:val="en-US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Randomizovaná, dvojitě zaslepená studie fáze III zkoumající přípravek pembrolizumab (MK-3475) v kombinaci s chemoterapií oproti placebu v kombinaci s chemoterapií u dříve neléčeného, lokálně rekurentního, neoperabilního nebo metastazujícího triple negativního karcinomu prsu (KEYNOTE-355)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MK-3475-355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color w:val="000000"/>
          <w:sz w:val="18"/>
          <w:szCs w:val="18"/>
        </w:rPr>
        <w:t>2016-001432-35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t xml:space="preserve">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22/17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  <w:lang w:eastAsia="en-GB"/>
        </w:rPr>
        <w:t>Otevřená randomizovaná kontrolovaná studie fáze 3 hodnotící kombinaci selinexoru, bortezomibu a dexametazonu (SVD) oproti kombinaci bortezomibu a dexametazonu (VD) u pacientů s relabujícím nebo refrakterním mnohočetným myelomem (RRMM)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KCP-330-023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2016-003957-14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24/17</w:t>
      </w:r>
    </w:p>
    <w:p w:rsidR="008A4870" w:rsidRPr="00160D24" w:rsidRDefault="008A4870" w:rsidP="008A4870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Multicentrické, otevřené, randomizované klinické hodnocení </w:t>
      </w:r>
    </w:p>
    <w:p w:rsidR="008A4870" w:rsidRPr="00160D24" w:rsidRDefault="008A4870" w:rsidP="008A4870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160D24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fáze 3 srovnávající účinnost a bezpečnost lenvatinibu v kombinaci s everolimem nebo </w:t>
      </w:r>
    </w:p>
    <w:p w:rsidR="008A4870" w:rsidRPr="00160D24" w:rsidRDefault="008A4870" w:rsidP="008A4870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160D24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pembrolizumabem oproti samotnému sunitinibu v léčbě první linie u pacientů s pokročilým </w:t>
      </w:r>
    </w:p>
    <w:p w:rsidR="008A4870" w:rsidRPr="00160D24" w:rsidRDefault="008A4870" w:rsidP="00260FF4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bCs/>
          <w:i/>
          <w:sz w:val="18"/>
          <w:szCs w:val="18"/>
          <w:lang w:bidi="he-IL"/>
        </w:rPr>
      </w:pPr>
      <w:r w:rsidRPr="00160D24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karcinomem renálních buněk (CLEAR) </w:t>
      </w:r>
    </w:p>
    <w:p w:rsidR="008A4870" w:rsidRPr="00160D24" w:rsidRDefault="008A4870" w:rsidP="00260FF4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Times New Roman" w:hAnsi="Times New Roman"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  <w:lang w:bidi="he-IL"/>
        </w:rPr>
        <w:t xml:space="preserve"> </w:t>
      </w: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E7080-G000-307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2016-000916-14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lastRenderedPageBreak/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63/17 MEK 12</w:t>
      </w:r>
    </w:p>
    <w:p w:rsidR="00260FF4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Randomizované, dvojitě zaslepené klinickéhodnocení fáze 2 ke zjištění bezpečnosti a účinnosti Lenvatinibu ve dvou různých počátečních dávkách (18mg oproti 14mg jednou denně) v kombinacis Everolimem (5mg jednou denně) jakožto následné terapie po jedné předchozí léčbě zamířenéna VEGF u pacientů s karcinomem renálních buněk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E7080-G000-218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2016-002778-11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sz w:val="18"/>
          <w:szCs w:val="18"/>
        </w:rPr>
        <w:t xml:space="preserve">  </w:t>
      </w:r>
      <w:r w:rsidRPr="00160D24">
        <w:rPr>
          <w:rFonts w:ascii="Times New Roman" w:hAnsi="Times New Roman"/>
          <w:bCs/>
          <w:sz w:val="18"/>
          <w:szCs w:val="18"/>
        </w:rPr>
        <w:t xml:space="preserve">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135/17 MEK 18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Nezaslepené </w:t>
      </w:r>
      <w:r w:rsidRPr="00160D24">
        <w:rPr>
          <w:rFonts w:ascii="Times New Roman" w:hAnsi="Times New Roman"/>
          <w:sz w:val="18"/>
          <w:szCs w:val="18"/>
          <w:lang w:val="en-US"/>
        </w:rPr>
        <w:t xml:space="preserve">multicentrické pokračovací klinické hodnocení pro pacienty, kteří se v minulosti účastnili některého z klinických hodnocení Atezolizumabu, jehož zadavatelem byly společnosti Genentech a/nebo F. Hoffmann-LA Roche Ltd. </w:t>
      </w:r>
    </w:p>
    <w:p w:rsidR="008A4870" w:rsidRPr="00160D24" w:rsidRDefault="008A4870" w:rsidP="008A4870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 xml:space="preserve">: BO39633 Verze 2 / </w:t>
      </w:r>
      <w:r w:rsidRPr="00160D24">
        <w:rPr>
          <w:rFonts w:ascii="Times New Roman" w:hAnsi="Times New Roman"/>
          <w:i/>
          <w:sz w:val="18"/>
          <w:szCs w:val="18"/>
        </w:rPr>
        <w:t>Version 2</w:t>
      </w:r>
      <w:r w:rsidRPr="00160D24">
        <w:rPr>
          <w:rFonts w:ascii="Times New Roman" w:hAnsi="Times New Roman"/>
          <w:sz w:val="18"/>
          <w:szCs w:val="18"/>
        </w:rPr>
        <w:t xml:space="preserve"> (14. června 2017 / 14 June 2017)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2016-005189-75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15/18</w:t>
      </w:r>
    </w:p>
    <w:p w:rsidR="008A4870" w:rsidRPr="00160D24" w:rsidRDefault="008A4870" w:rsidP="008A48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  <w:lang w:bidi="cs-CZ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  <w:lang w:bidi="cs-CZ"/>
        </w:rPr>
        <w:t xml:space="preserve">Randomizované, dvojitě zaslepené, placebem kontrolované klinické hodnocení hodnotící účinnost a bezpečnost přípravku Nefecon u pacientů s primární IgA nefropatií s rizikem rozvoje konečného stádia onemocnění ledvin (NefIgArd)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 xml:space="preserve">: Nef-301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2017-004902-16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95029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sym w:font="Wingdings 2" w:char="F053"/>
      </w:r>
      <w:r w:rsidR="008A4870"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="008A4870"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44/18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Klinická zkouška  BIO-STREAM.HF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BIO-STREAM.HF, verze 2.0, 30.11.2017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N/A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17/18</w:t>
      </w:r>
    </w:p>
    <w:p w:rsidR="00260FF4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Dlouhodobá globální observační studie u pacientů s nedostatkem pyruvátkinázy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AG348-C-008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N/A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t xml:space="preserve">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56/18 MEK 10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Randomizovaná, </w:t>
      </w:r>
      <w:r w:rsidRPr="00160D24">
        <w:rPr>
          <w:rFonts w:ascii="Times New Roman" w:hAnsi="Times New Roman"/>
          <w:sz w:val="18"/>
          <w:szCs w:val="18"/>
        </w:rPr>
        <w:t xml:space="preserve">multicentrická, aktivně kontrolovaná studie fáze II porovnávající účinnost a bezpečnost cílené protinádorové léčby nebo protinádorové imunoterapie podávaných na základě genomického profilování versus chemoterapie založená na platině u pacientů s karcinomem neznámého původu, kteří byli léčeni 3 cykly platinového dubletu (CUPISCO) 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MX39795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2017-003040-20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eastAsia="Wingdings 2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58/18 MEK 12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Otevřené, randomizované, multicentrické klinické hodnocení fáze III se  dvěma rameny, posuzující farmakokinetiku, účinnost a bezpečnost kombinace fixní dávky podkožně podávaného Pertuzumabu a Trastuzumabu spolu s chemoterapií u pacientů s HER2 pozitivním karcinomem prsu v rané fázi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WO40324 Verze 1, 2.února 2018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2017-004897-32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lastRenderedPageBreak/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133/18</w:t>
      </w:r>
    </w:p>
    <w:p w:rsidR="008A4870" w:rsidRPr="00160D24" w:rsidRDefault="008A4870" w:rsidP="008A4870">
      <w:pPr>
        <w:tabs>
          <w:tab w:val="left" w:pos="2736"/>
        </w:tabs>
        <w:spacing w:after="0" w:line="240" w:lineRule="auto"/>
        <w:rPr>
          <w:rFonts w:ascii="Times New Roman" w:hAnsi="Times New Roman"/>
          <w:bCs/>
          <w:color w:val="000000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bCs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>: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bCs/>
          <w:sz w:val="18"/>
          <w:szCs w:val="18"/>
        </w:rPr>
        <w:t>Randomizovaná, dvojitě zaslepená, placebem kontrolovaná studie fáze 2 porovnávající cemiplimab oproti kombinaci cemiplimabu s ISA101b při léčbě pacientů s HPV16</w:t>
      </w:r>
      <w:r w:rsidRPr="00160D24">
        <w:rPr>
          <w:rFonts w:ascii="Times New Roman" w:hAnsi="Times New Roman"/>
          <w:bCs/>
          <w:sz w:val="18"/>
          <w:szCs w:val="18"/>
        </w:rPr>
        <w:noBreakHyphen/>
        <w:t xml:space="preserve">pozitivním, </w:t>
      </w:r>
      <w:r w:rsidRPr="00160D24">
        <w:rPr>
          <w:rFonts w:ascii="Times New Roman" w:hAnsi="Times New Roman"/>
          <w:bCs/>
          <w:color w:val="000000"/>
          <w:sz w:val="18"/>
          <w:szCs w:val="18"/>
        </w:rPr>
        <w:t>na platinu</w:t>
      </w:r>
      <w:r w:rsidRPr="00160D24">
        <w:rPr>
          <w:rFonts w:ascii="Times New Roman" w:hAnsi="Times New Roman"/>
          <w:bCs/>
          <w:color w:val="000000"/>
          <w:sz w:val="18"/>
          <w:szCs w:val="18"/>
        </w:rPr>
        <w:noBreakHyphen/>
        <w:t xml:space="preserve">rezistentním orofaryngeálním karcinomem (OFK)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ISA101b-HN-01-17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2018-000789-13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260FF4" w:rsidRPr="00160D24" w:rsidRDefault="00260FF4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138/18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Mezinárodní, otevřené, multicentrické, randomizované, kontrolované klinické hodnocení fáze III, pro zhodnocení účinnosti a bezpečnosti léčivých přípravků Durvalumabu v kombinaci se standardní chemoterapií nebo Durvalumabu s Tremelimumabem v kombinaci se standardní chemoterapií oproti standardní chemoterapii samotné podávaných jako první linie léčby u pacientů s inoperabilním, lokálně pokročilým nebo metastatickým uroteliálním karcinomem (NILE) </w:t>
      </w:r>
      <w:r w:rsidRPr="00160D24">
        <w:rPr>
          <w:rFonts w:ascii="Times New Roman" w:hAnsi="Times New Roman"/>
          <w:i/>
          <w:sz w:val="18"/>
          <w:szCs w:val="18"/>
        </w:rPr>
        <w:tab/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D933SC00001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2018-001883-48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95029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sym w:font="Wingdings 2" w:char="F053"/>
      </w:r>
      <w:r w:rsidR="008A4870"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="008A4870"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147/18</w:t>
      </w:r>
    </w:p>
    <w:p w:rsidR="008A4870" w:rsidRPr="00160D24" w:rsidRDefault="008A4870" w:rsidP="00260FF4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bookmarkStart w:id="17" w:name="_Hlk521496668"/>
      <w:r w:rsidRPr="00160D24">
        <w:rPr>
          <w:rFonts w:ascii="Times New Roman" w:hAnsi="Times New Roman"/>
          <w:sz w:val="18"/>
          <w:szCs w:val="18"/>
        </w:rPr>
        <w:t>Nezaslepená studie fáze 2a/2b přípravku KRT-232 u pacientů s primární myelofibrózou (PMF), myelofibrózou po pravé polycytémii (post-PV-MF), nebo myelofibrózou po esenciální trombocytémii (post-ET-MF), kteří se neúspěšně léčili ruxolitinibem</w:t>
      </w:r>
      <w:bookmarkEnd w:id="17"/>
      <w:r w:rsidRPr="00160D24">
        <w:rPr>
          <w:rFonts w:ascii="Times New Roman" w:hAnsi="Times New Roman"/>
          <w:sz w:val="18"/>
          <w:szCs w:val="18"/>
        </w:rPr>
        <w:t xml:space="preserve"> 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KRT-232-101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2018-001671-21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eastAsia="Wingdings 2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950290" w:rsidP="008A4870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Wingdings 2" w:hAnsi="Times New Roman"/>
          <w:bCs/>
          <w:sz w:val="18"/>
          <w:szCs w:val="18"/>
        </w:rPr>
        <w:sym w:font="Wingdings 2" w:char="F053"/>
      </w:r>
      <w:r w:rsidR="008A4870"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="008A4870"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155/18</w:t>
      </w:r>
    </w:p>
    <w:p w:rsidR="00260FF4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>Randomizované, nezaslepené, multicentrické globální klinické hodnocení fáze III, jehož cílem je stanovit účinnost a bezpečnost durvalumabu podávaného s kombinovanou léčbou gemcitabinem+cisplatinou v neoadjuvantní terapii následované monoterapií durvalumabu v adjuvantní léčbě u pacientů s karcinomem močového měchýře invadujícím svalovinu (NIAGARA)/</w:t>
      </w:r>
      <w:r w:rsidRPr="00160D24">
        <w:rPr>
          <w:rFonts w:ascii="Times New Roman" w:eastAsia="TimesNewRoman,Bold" w:hAnsi="Times New Roman"/>
          <w:bCs/>
          <w:sz w:val="18"/>
          <w:szCs w:val="18"/>
        </w:rPr>
        <w:t xml:space="preserve">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Cs/>
          <w:sz w:val="18"/>
          <w:szCs w:val="18"/>
        </w:rPr>
        <w:t>D933RC00001</w:t>
      </w:r>
      <w:r w:rsidRPr="00160D24">
        <w:rPr>
          <w:rFonts w:ascii="Times New Roman" w:hAnsi="Times New Roman"/>
          <w:b/>
          <w:bCs/>
          <w:sz w:val="18"/>
          <w:szCs w:val="18"/>
        </w:rPr>
        <w:tab/>
      </w:r>
      <w:r w:rsidRPr="00160D24">
        <w:rPr>
          <w:rFonts w:ascii="Times New Roman" w:hAnsi="Times New Roman"/>
          <w:b/>
          <w:bCs/>
          <w:sz w:val="18"/>
          <w:szCs w:val="18"/>
        </w:rPr>
        <w:tab/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</w:t>
      </w:r>
      <w:r w:rsidRPr="00160D2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160D24">
        <w:rPr>
          <w:rFonts w:ascii="Times New Roman" w:hAnsi="Times New Roman"/>
          <w:bCs/>
          <w:sz w:val="18"/>
          <w:szCs w:val="18"/>
        </w:rPr>
        <w:t>2018-001811-59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169/18 MEK 24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Klinické hodnocení fáze 2 přípravku INCMGA00012 u pacientů s metastatickým karcinomem z Merkelových buněk </w:t>
      </w:r>
      <w:r w:rsidRPr="00160D24">
        <w:rPr>
          <w:rFonts w:ascii="Times New Roman" w:hAnsi="Times New Roman"/>
          <w:sz w:val="18"/>
          <w:szCs w:val="18"/>
        </w:rPr>
        <w:tab/>
      </w:r>
      <w:r w:rsidRPr="00160D24">
        <w:rPr>
          <w:rFonts w:ascii="Times New Roman" w:hAnsi="Times New Roman"/>
          <w:sz w:val="18"/>
          <w:szCs w:val="18"/>
        </w:rPr>
        <w:tab/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INCMGA 0012-201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2018-001627-39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95029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sym w:font="Wingdings 2" w:char="F053"/>
      </w:r>
      <w:r w:rsidR="008A4870"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="008A4870"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26/19 MEK 4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Dvojitě zaslepená, randomizovaná, placebem kontrolovaná studie fáze IIb hodnotící účinnost a bezpečnost tablet kyseliny norursodeoxycholové u pacientů s nealkoholickou steatohepatitidou (NASH)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NUT-3/NAS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2018-003443-31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0290" w:rsidRDefault="0095029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0290" w:rsidRDefault="0095029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45/19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Multicentrické, otevřené, randomizované, klinické hodnocení fáze III pro zhodnocení účinnosti a bezpečnosti léčivého přípravku Acalabrutinib (ACP-196) v kombinaci s Venetoclaxem spolu s nebo bez Obinutuzumabu v porovnání s chemoimunoterapeutickou léčbou vybranou zkoušejícím lékařem u pacientů s dříve neléčenou chronickou lymfocytární leukémií bez přítomnosti delece 17p nebo genové mutace TP53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47/19 MEK 7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Multicentrické, dvojitě zaslepené, randomizované, kontrolované klinické hodnocení přípravku M7824 se souběžnou chemoradioterapií následovanou podáváním přípravku M7824 ve srovnání se souběžnou chemoradioterapií plus placebem následovanou podáváním durvalumabu u účastníků s neresekovatelným nemalobuněčným karcinomem plic stadia III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MS200647_0005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2018-003265-34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 xml:space="preserve"> 98/19 MEK 10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Randomizovaná studie fáze IIIb hodnotící léčbu samotným nivolumabem, kombinací nivolumabu a ipilimumabu nebo chemoterapií dle výběru zkoušejícího u pacientů s metastatickým kolorektálním karcinomem s vysokou mírou mikrosatelitové instability (MSI-H) nebo deficitem MMR (dMMR)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CA209-8HW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2018-000040-26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95029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sym w:font="Wingdings 2" w:char="F053"/>
      </w:r>
      <w:r w:rsidR="008A4870"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="008A4870"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19/20 MEK 4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eastAsia="TimesNewRoman" w:hAnsi="Times New Roman"/>
          <w:sz w:val="18"/>
          <w:szCs w:val="18"/>
          <w:lang w:eastAsia="en-GB"/>
        </w:rPr>
        <w:t xml:space="preserve">Randomizovaná dvojitě zkřížená studie fáze 2 srovnávající farmakokinetiku a hodnotící bezpečnost a snášenlivost periferního a centrálního intravenózního podání melflufenu u pacientů s relabujícím a refrakterním mnohočetným myelomem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OP-109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2019-004127-21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37/20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  <w:bdr w:val="nil"/>
        </w:rPr>
        <w:t xml:space="preserve">Multicentrické, otevřené, dlouhodobé klinické hodnocení fáze    3 k posouzení bezpečnosti a účinnosti efgartigimodu (ARGX-113) podávaného intravenózně v dávce 10 mg/kg u dospělých pacientů s primární imunitní trombocytopenií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ARGX-113-1803 (ADVANCE +)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2019-002101-21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72/20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Multicentrická studie fáze 3 hodnotící dlouhodobou bezpečnost a účinnost baricitinibu u pacientů s juvenilní idiopatickou artritidou (JIA) ve věku od 1 roku do &lt;18 let.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I4V-MC-JAHX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2017-004471-31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128/20 MEK 15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Randomizovaná, nezaslepená studie fáze 2 hodnotící přípravek SAR408701 v kombinaci s pembrolizumabem a samotný pembrolizumab u pacientů s CEACAM5 a PD-L1 pozitivním pokročilým/metastazujícím neskvamózním nemalobuněčným karcinomem plic (NSQ NSCLC)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ACT16146 (CARMEN-LC05)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2020-000035-50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95029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sym w:font="Wingdings 2" w:char="F053"/>
      </w:r>
      <w:r w:rsidR="008A4870"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="008A4870"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136/20</w:t>
      </w:r>
    </w:p>
    <w:p w:rsidR="008A4870" w:rsidRPr="00160D24" w:rsidRDefault="008A4870" w:rsidP="008A4870">
      <w:pPr>
        <w:tabs>
          <w:tab w:val="left" w:pos="9781"/>
        </w:tabs>
        <w:spacing w:after="0" w:line="240" w:lineRule="auto"/>
        <w:jc w:val="both"/>
        <w:rPr>
          <w:rFonts w:ascii="Times New Roman" w:eastAsia="MS PGothic" w:hAnsi="Times New Roman"/>
          <w:i/>
          <w:color w:val="000000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Otevřená, multicentrická, dlouhodobá studie fáze 3 zkoumající bezpečnost a účinnost přípravku PF-06651600 u dospělých a dospívajících pacientů s výpadem vlasů (Alopecia Areata)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B7981032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2019-001084-71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152/20</w:t>
      </w:r>
    </w:p>
    <w:p w:rsidR="008A4870" w:rsidRPr="00160D24" w:rsidRDefault="008A4870" w:rsidP="008A48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>:</w:t>
      </w:r>
      <w:r w:rsidRPr="00160D2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160D24">
        <w:rPr>
          <w:rFonts w:ascii="Times New Roman" w:hAnsi="Times New Roman"/>
          <w:iCs/>
          <w:sz w:val="18"/>
          <w:szCs w:val="18"/>
        </w:rPr>
        <w:t>Randomizovaná kontrolovaná klinická studie fáze 3 hodnotící léčbu Pacritinibem oproti léčbě přípravkem zvoleným zkoušejícím u pacientů s primární myelofibrózou nebo postpolycytemickou nebo post-esenciální trombocytémickou myelofibrózou se závažnou trombocytopenií (s počtem trombocytů &lt; 50 000/µl)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PAC303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2020-000111-69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165/20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Otevřené, multicentrické klinické hodnocení fáze II hodnotící účinnost a bezpečnost trastuzumab-deruxtecanu (T-DXd, DS-8201a) pro léčbu vybraných nádorů s expresí HER2 (DESTINY-PanTumor02)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D967VC00001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2020-001574-29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260FF4" w:rsidRPr="00160D24" w:rsidRDefault="00260FF4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167/20 MEK 21</w:t>
      </w:r>
    </w:p>
    <w:p w:rsidR="008A4870" w:rsidRPr="00160D24" w:rsidRDefault="008A4870" w:rsidP="008A48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bCs/>
          <w:sz w:val="18"/>
          <w:szCs w:val="18"/>
        </w:rPr>
        <w:t xml:space="preserve">Randomizované, dvojitě zaslepené klinické hodnocení fáze 3 zkoumající pembrolizumab oproti placebu v kombinaci s adjuvantní chemoterapií a s radioterapií nebo bez radioterapie v léčbě nově diagnostikovaného vysoce rizikového karcinomu endometria po chirurgickém zákroku s kurativním záměrem (KEYNOTE-B21/ENGOT-en11/GOG-3053)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MK-3475-B21 / ENGOT-en11/GOG-3053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2020-003424-17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7/21</w:t>
      </w:r>
    </w:p>
    <w:p w:rsidR="008A4870" w:rsidRPr="00160D24" w:rsidRDefault="008A4870" w:rsidP="008A4870">
      <w:pPr>
        <w:pStyle w:val="Paragraph"/>
        <w:tabs>
          <w:tab w:val="left" w:pos="3969"/>
        </w:tabs>
        <w:spacing w:before="0" w:after="0"/>
        <w:rPr>
          <w:rFonts w:eastAsia="Times New Roman"/>
          <w:i/>
          <w:sz w:val="18"/>
          <w:szCs w:val="18"/>
        </w:rPr>
      </w:pPr>
      <w:r w:rsidRPr="00160D24">
        <w:rPr>
          <w:b/>
          <w:bCs/>
          <w:sz w:val="18"/>
          <w:szCs w:val="18"/>
        </w:rPr>
        <w:t>Název KH/</w:t>
      </w:r>
      <w:r w:rsidRPr="00160D24">
        <w:rPr>
          <w:i/>
          <w:sz w:val="18"/>
          <w:szCs w:val="18"/>
        </w:rPr>
        <w:t>Full Title of Clinical Trial</w:t>
      </w:r>
      <w:r w:rsidRPr="00160D24">
        <w:rPr>
          <w:bCs/>
          <w:sz w:val="18"/>
          <w:szCs w:val="18"/>
        </w:rPr>
        <w:t>: R</w:t>
      </w:r>
      <w:r w:rsidRPr="00160D24">
        <w:rPr>
          <w:rFonts w:eastAsia="Times New Roman"/>
          <w:sz w:val="18"/>
          <w:szCs w:val="18"/>
        </w:rPr>
        <w:t>andomizovaná, dvojitě zaslepená, placebem kontrolovaná klinická studie fáze iii hodnotící účinnost a bezpečnost adjuvantn</w:t>
      </w:r>
      <w:r w:rsidRPr="00160D24">
        <w:rPr>
          <w:sz w:val="18"/>
          <w:szCs w:val="18"/>
        </w:rPr>
        <w:t>í</w:t>
      </w:r>
      <w:r w:rsidRPr="00160D24">
        <w:rPr>
          <w:rFonts w:eastAsia="Times New Roman"/>
          <w:sz w:val="18"/>
          <w:szCs w:val="18"/>
        </w:rPr>
        <w:t>ho atezolizumabu nebo placeba a trastuzumabu emtansinu v léčb</w:t>
      </w:r>
      <w:r w:rsidRPr="00160D24">
        <w:rPr>
          <w:sz w:val="18"/>
          <w:szCs w:val="18"/>
        </w:rPr>
        <w:t>ě</w:t>
      </w:r>
      <w:r w:rsidRPr="00160D24">
        <w:rPr>
          <w:rFonts w:eastAsia="Times New Roman"/>
          <w:sz w:val="18"/>
          <w:szCs w:val="18"/>
        </w:rPr>
        <w:t xml:space="preserve"> her2-pozitivn</w:t>
      </w:r>
      <w:r w:rsidRPr="00160D24">
        <w:rPr>
          <w:sz w:val="18"/>
          <w:szCs w:val="18"/>
        </w:rPr>
        <w:t>í</w:t>
      </w:r>
      <w:r w:rsidRPr="00160D24">
        <w:rPr>
          <w:rFonts w:eastAsia="Times New Roman"/>
          <w:sz w:val="18"/>
          <w:szCs w:val="18"/>
        </w:rPr>
        <w:t>ho karcinomu prsu s vysok</w:t>
      </w:r>
      <w:r w:rsidRPr="00160D24">
        <w:rPr>
          <w:sz w:val="18"/>
          <w:szCs w:val="18"/>
        </w:rPr>
        <w:t>ý</w:t>
      </w:r>
      <w:r w:rsidRPr="00160D24">
        <w:rPr>
          <w:rFonts w:eastAsia="Times New Roman"/>
          <w:sz w:val="18"/>
          <w:szCs w:val="18"/>
        </w:rPr>
        <w:t>m rizikem rekurence po předoperačn</w:t>
      </w:r>
      <w:r w:rsidRPr="00160D24">
        <w:rPr>
          <w:sz w:val="18"/>
          <w:szCs w:val="18"/>
        </w:rPr>
        <w:t>í</w:t>
      </w:r>
      <w:r w:rsidRPr="00160D24">
        <w:rPr>
          <w:rFonts w:eastAsia="Times New Roman"/>
          <w:sz w:val="18"/>
          <w:szCs w:val="18"/>
        </w:rPr>
        <w:t xml:space="preserve"> l</w:t>
      </w:r>
      <w:r w:rsidRPr="00160D24">
        <w:rPr>
          <w:sz w:val="18"/>
          <w:szCs w:val="18"/>
        </w:rPr>
        <w:t>é</w:t>
      </w:r>
      <w:r w:rsidRPr="00160D24">
        <w:rPr>
          <w:rFonts w:eastAsia="Times New Roman"/>
          <w:sz w:val="18"/>
          <w:szCs w:val="18"/>
        </w:rPr>
        <w:t>čb</w:t>
      </w:r>
      <w:r w:rsidRPr="00160D24">
        <w:rPr>
          <w:sz w:val="18"/>
          <w:szCs w:val="18"/>
        </w:rPr>
        <w:t>ě</w:t>
      </w:r>
      <w:r w:rsidRPr="00160D24">
        <w:rPr>
          <w:rFonts w:eastAsia="Times New Roman"/>
          <w:i/>
          <w:sz w:val="18"/>
          <w:szCs w:val="18"/>
        </w:rPr>
        <w:t xml:space="preserve">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Cs/>
          <w:sz w:val="18"/>
          <w:szCs w:val="18"/>
        </w:rPr>
        <w:t>WO42633</w:t>
      </w:r>
      <w:r w:rsidRPr="00160D24">
        <w:rPr>
          <w:rFonts w:ascii="Times New Roman" w:hAnsi="Times New Roman"/>
          <w:i/>
          <w:sz w:val="18"/>
          <w:szCs w:val="18"/>
        </w:rPr>
        <w:t xml:space="preserve">  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2020-</w:t>
      </w:r>
      <w:r w:rsidRPr="00160D24">
        <w:rPr>
          <w:rFonts w:ascii="Times New Roman" w:hAnsi="Times New Roman"/>
          <w:bCs/>
          <w:sz w:val="18"/>
          <w:szCs w:val="18"/>
        </w:rPr>
        <w:t>003681-40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13/21 MEK 5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Randomizované, nezaslepené, klinické hodnocení fáze 3, jehož cílem je vyhodnotit perioperačně podávanou kombinaci enfortumab vedotin plus pembrolizumab (MK-3475) oproti neoadjuvantní léčbě gemcitabinem a cisplatinou u účastníků způsobilých k léčbě cisplatinou s karcinomem močového měchýře prorůstajícím do svaloviny (MIBC) (KEYNOTE-B15 / EV-304)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MK-3475-B15/ EV-304</w:t>
      </w:r>
      <w:r w:rsidRPr="00160D24">
        <w:rPr>
          <w:rFonts w:ascii="Times New Roman" w:hAnsi="Times New Roman"/>
          <w:i/>
          <w:sz w:val="18"/>
          <w:szCs w:val="18"/>
        </w:rPr>
        <w:t xml:space="preserve">                               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2020-003106-31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25/21 MEK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b/>
          <w:sz w:val="18"/>
          <w:szCs w:val="18"/>
        </w:rPr>
        <w:t>6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Studie hodnotící léčbu nivolumabem v kombinaci s trametinibem s nebo bez ipilimumabu u pacientů s dříve léčeným metastatickým kolorektálním karcinomem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CA209-9N9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2017-001830-24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lastRenderedPageBreak/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8" w:name="_Hlk130882188"/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26/21 MEK 7</w:t>
      </w:r>
    </w:p>
    <w:p w:rsidR="008A4870" w:rsidRPr="00160D24" w:rsidRDefault="008A4870" w:rsidP="008A4870">
      <w:pPr>
        <w:pStyle w:val="Synopsis"/>
        <w:spacing w:before="0" w:after="0"/>
        <w:rPr>
          <w:rFonts w:ascii="Times New Roman" w:eastAsia="TimesNewRoman" w:hAnsi="Times New Roman" w:cs="Times New Roman"/>
          <w:sz w:val="18"/>
          <w:szCs w:val="18"/>
          <w:lang w:eastAsia="en-GB"/>
        </w:rPr>
      </w:pPr>
      <w:r w:rsidRPr="00160D24">
        <w:rPr>
          <w:rFonts w:ascii="Times New Roman" w:eastAsia="Times New Roman" w:hAnsi="Times New Roman" w:cs="Times New Roman"/>
          <w:b/>
          <w:bCs/>
          <w:sz w:val="18"/>
          <w:szCs w:val="18"/>
        </w:rPr>
        <w:t>Název KH/</w:t>
      </w:r>
      <w:r w:rsidRPr="00160D24">
        <w:rPr>
          <w:rFonts w:ascii="Times New Roman" w:eastAsia="Times New Roman" w:hAnsi="Times New Roman" w:cs="Times New Roman"/>
          <w:i/>
          <w:sz w:val="18"/>
          <w:szCs w:val="18"/>
        </w:rPr>
        <w:t>Full Title of Clinical Trial</w:t>
      </w:r>
      <w:r w:rsidRPr="00160D24">
        <w:rPr>
          <w:rFonts w:ascii="Times New Roman" w:eastAsia="Times New Roman" w:hAnsi="Times New Roman" w:cs="Times New Roman"/>
          <w:bCs/>
          <w:sz w:val="18"/>
          <w:szCs w:val="18"/>
        </w:rPr>
        <w:t xml:space="preserve">: </w:t>
      </w:r>
      <w:r w:rsidRPr="00160D24">
        <w:rPr>
          <w:rFonts w:ascii="Times New Roman" w:eastAsia="TimesNewRoman" w:hAnsi="Times New Roman" w:cs="Times New Roman"/>
          <w:sz w:val="18"/>
          <w:szCs w:val="18"/>
          <w:lang w:eastAsia="en-GB"/>
        </w:rPr>
        <w:t xml:space="preserve">Studie fáze 2 hodnotící cemiplimab, monoklonální protilátku proti PD-1, a vakcínu ISA101b u pacientů s rekurentním/metastatickým orofaryngeálním HPV16 pozitivním karcinomem, u nichž nastala progrese onemocnění na předchozí terapii proti PD-1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ISA101b-OPC-03-19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2020-003652-32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18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29/21 MEK 8</w:t>
      </w:r>
    </w:p>
    <w:p w:rsidR="008A4870" w:rsidRPr="00160D24" w:rsidRDefault="008A4870" w:rsidP="008A4870">
      <w:pPr>
        <w:spacing w:after="0" w:line="240" w:lineRule="auto"/>
        <w:ind w:left="33"/>
        <w:jc w:val="both"/>
        <w:rPr>
          <w:rFonts w:ascii="Times New Roman" w:hAnsi="Times New Roman"/>
          <w:sz w:val="18"/>
          <w:szCs w:val="18"/>
          <w:lang w:val="en-AU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  <w:lang w:val="en-AU"/>
        </w:rPr>
        <w:t xml:space="preserve">PSMAfore: Otevřené, multicentrické, randomizované klinické hodnocení fáze III porovnávající 177Lu-PSMA-617 se změnou terapie cílené na androgenní receptory v léčbě taxan-naivních pacientů s progresivním metastatickým kastračně rezistentním karcinomem prostaty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CAAA617B12302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2020-003669-19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39/21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  <w:lang w:val="en-US"/>
        </w:rPr>
        <w:t>Nezaslepené, randomizované klinické hodnocení fáze 3 zkoumající účinnost a bezpečnost pembrolizumabu (MK-3475) v kombinaci s belzutifanem (MK-6482) a lenvatinibem (MK-7902), nebo MK-1308A v kombinaci s lenvatinibem, ve srovnání s pembrolizumabem a lenvatinibem jako léčby první volby u účastníků s pokročilým světlobuněčným karcinomem ledvin (ccRCC)</w:t>
      </w:r>
      <w:r w:rsidRPr="00160D24">
        <w:rPr>
          <w:rFonts w:ascii="Times New Roman" w:hAnsi="Times New Roman"/>
          <w:sz w:val="18"/>
          <w:szCs w:val="18"/>
        </w:rPr>
        <w:t xml:space="preserve">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MK-6482-012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2020-002216-52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60/21 MEK 11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Randomizované, dvojitě zaslepené klinické hodnocení fáze 3, zkoumající kombinaci přípravků pembrolizumab (MK-3475) plus enzalutamid oproti kombinaci placebo plus enzalutamid u účastníků s metastatickým kastračně rezistentním karcinomem prostaty (mCRPC) (KEYNOTE-641)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MK-3475-641-04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2018-004117-40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9" w:name="_Hlk104187151"/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95/21 MEK 14</w:t>
      </w:r>
    </w:p>
    <w:p w:rsidR="008A4870" w:rsidRPr="00160D24" w:rsidRDefault="008A4870" w:rsidP="008A4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160D24">
        <w:rPr>
          <w:rFonts w:ascii="Times New Roman" w:hAnsi="Times New Roman"/>
          <w:b/>
          <w:bCs/>
          <w:color w:val="000000"/>
          <w:sz w:val="18"/>
          <w:szCs w:val="18"/>
        </w:rPr>
        <w:t>Název KH/</w:t>
      </w:r>
      <w:r w:rsidRPr="00160D24">
        <w:rPr>
          <w:rFonts w:ascii="Times New Roman" w:hAnsi="Times New Roman"/>
          <w:i/>
          <w:color w:val="000000"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color w:val="000000"/>
          <w:sz w:val="18"/>
          <w:szCs w:val="18"/>
        </w:rPr>
        <w:t>: Multicentrické, otevřené klinické hodnocení fáze I/Ib k posouzení bezpečnosti, farmakokinetiky a protinádorové aktivity přípravku RP12146, inhibitoru  Poly (ADP- ribózy) Polymerázy (PARP), u pacientů s lokálně pokročilými nebo metastázujícími solidními nádory.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RP12146-2101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2021-001505-78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19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96/21</w:t>
      </w:r>
    </w:p>
    <w:p w:rsidR="008A4870" w:rsidRPr="00160D24" w:rsidRDefault="008A4870" w:rsidP="008A48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fldChar w:fldCharType="begin"/>
      </w:r>
      <w:r w:rsidRPr="00160D24">
        <w:rPr>
          <w:rFonts w:ascii="Times New Roman" w:hAnsi="Times New Roman"/>
          <w:sz w:val="18"/>
          <w:szCs w:val="18"/>
        </w:rPr>
        <w:instrText xml:space="preserve"> DOCVARIABLE "[Title]" \* MERGEFORMAT </w:instrText>
      </w:r>
      <w:r w:rsidRPr="00160D24">
        <w:rPr>
          <w:rFonts w:ascii="Times New Roman" w:hAnsi="Times New Roman"/>
          <w:sz w:val="18"/>
          <w:szCs w:val="18"/>
        </w:rPr>
        <w:fldChar w:fldCharType="separate"/>
      </w:r>
      <w:r w:rsidRPr="00160D24">
        <w:rPr>
          <w:rFonts w:ascii="Times New Roman" w:hAnsi="Times New Roman"/>
          <w:sz w:val="18"/>
          <w:szCs w:val="18"/>
        </w:rPr>
        <w:t xml:space="preserve">Randomizovaná studie fáze 3 hodnotící přípravek MRTX849 v porovnání s docetaxelem u pacientů s </w:t>
      </w:r>
      <w:r w:rsidRPr="00160D24">
        <w:rPr>
          <w:rFonts w:ascii="Times New Roman" w:hAnsi="Times New Roman"/>
          <w:sz w:val="18"/>
          <w:szCs w:val="18"/>
        </w:rPr>
        <w:fldChar w:fldCharType="end"/>
      </w:r>
      <w:r w:rsidRPr="00160D24">
        <w:rPr>
          <w:rFonts w:ascii="Times New Roman" w:hAnsi="Times New Roman"/>
          <w:sz w:val="18"/>
          <w:szCs w:val="18"/>
        </w:rPr>
        <w:t>dříve léčeným nemalobuněčným karcinomem plic s mutací KRAS G12C</w:t>
      </w:r>
      <w:bookmarkStart w:id="20" w:name="_Hlk69748769"/>
      <w:r w:rsidRPr="00160D24">
        <w:rPr>
          <w:rFonts w:ascii="Times New Roman" w:hAnsi="Times New Roman"/>
          <w:sz w:val="18"/>
          <w:szCs w:val="18"/>
        </w:rPr>
        <w:t xml:space="preserve"> </w:t>
      </w:r>
      <w:bookmarkEnd w:id="20"/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849-012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2020-003645-11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0290" w:rsidRDefault="0095029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0290" w:rsidRDefault="0095029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95029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br/>
      </w:r>
      <w:r w:rsidR="008A4870"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="008A4870" w:rsidRPr="00160D24">
        <w:rPr>
          <w:rFonts w:ascii="Times New Roman" w:hAnsi="Times New Roman"/>
          <w:i/>
          <w:sz w:val="18"/>
          <w:szCs w:val="18"/>
        </w:rPr>
        <w:t>Reference number</w:t>
      </w:r>
      <w:r w:rsidR="008A4870" w:rsidRPr="00160D24">
        <w:rPr>
          <w:rFonts w:ascii="Times New Roman" w:hAnsi="Times New Roman"/>
          <w:sz w:val="18"/>
          <w:szCs w:val="18"/>
        </w:rPr>
        <w:t xml:space="preserve">: </w:t>
      </w:r>
      <w:r w:rsidR="008A4870" w:rsidRPr="00160D24">
        <w:rPr>
          <w:rFonts w:ascii="Times New Roman" w:hAnsi="Times New Roman"/>
          <w:b/>
          <w:sz w:val="18"/>
          <w:szCs w:val="18"/>
        </w:rPr>
        <w:t>147/21 MEK 15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Otevřená multicentrická randomizovaná  studie fáze 3 první linie léčby enkorafenibem plus cetuximabem s chemoterapií nebo bez ní oproti standardní péči s úvodní bezpečnostní léčbou enkorafenibem a cetuximabem plus chemoterapií u účastníků s metastatickým kolorektálním karcinomem s mutací BRAF V600E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C4221015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2020-001288-99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149/21</w:t>
      </w:r>
    </w:p>
    <w:p w:rsidR="00160D24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Randomizovaná, dvojitě zaslepená, multicentrická studie s více dávkami, dvěma rameny a paralelními skupinami hodnotící účinnost, farmakodynamiku, bezpečnost a imunogenicitu přípravku FKS518 - (navrhovaný biosimilární Denosumab) a přípravku Prolia® u postmenopauzálních žen s osteoporózou (studie LUMIADE-3)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FKS518-002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2020-004422-31</w:t>
      </w:r>
    </w:p>
    <w:p w:rsidR="008A4870" w:rsidRPr="00160D24" w:rsidRDefault="00160D24" w:rsidP="008A4870">
      <w:pPr>
        <w:spacing w:after="0" w:line="240" w:lineRule="auto"/>
        <w:rPr>
          <w:rFonts w:ascii="Times New Roman" w:hAnsi="Times New Roman"/>
          <w:b/>
          <w:bCs/>
          <w:i/>
          <w:sz w:val="18"/>
          <w:szCs w:val="18"/>
        </w:rPr>
      </w:pPr>
      <w:r w:rsidRPr="00160D24">
        <w:rPr>
          <w:rFonts w:ascii="Times New Roman" w:hAnsi="Times New Roman"/>
          <w:b/>
          <w:bCs/>
          <w:i/>
          <w:sz w:val="18"/>
          <w:szCs w:val="18"/>
        </w:rPr>
        <w:t xml:space="preserve"> </w:t>
      </w:r>
      <w:r w:rsidR="008A4870"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="008A4870"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="008A4870"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150/21</w:t>
      </w:r>
    </w:p>
    <w:p w:rsidR="00160D24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>Polatuzumab-vedotin v kombinaci s bendamustinem a rituximabem u pacientů s relapsem či progresi lymfomu z plášťových buněk po předchozí léčbě zahrnující inhibitor Brutonovy tyrozin</w:t>
      </w:r>
      <w:r w:rsidR="00950290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sz w:val="18"/>
          <w:szCs w:val="18"/>
        </w:rPr>
        <w:t>kinázy – otevřená studie, fáze II</w:t>
      </w:r>
      <w:r w:rsidRPr="00160D24">
        <w:rPr>
          <w:rFonts w:ascii="Times New Roman" w:hAnsi="Times New Roman"/>
          <w:sz w:val="18"/>
          <w:szCs w:val="18"/>
        </w:rPr>
        <w:tab/>
      </w:r>
      <w:r w:rsidRPr="00160D24">
        <w:rPr>
          <w:rFonts w:ascii="Times New Roman" w:hAnsi="Times New Roman"/>
          <w:i/>
          <w:sz w:val="18"/>
          <w:szCs w:val="18"/>
        </w:rPr>
        <w:tab/>
      </w:r>
      <w:r w:rsidRPr="00160D24">
        <w:rPr>
          <w:rFonts w:ascii="Times New Roman" w:hAnsi="Times New Roman"/>
          <w:i/>
          <w:sz w:val="18"/>
          <w:szCs w:val="18"/>
        </w:rPr>
        <w:tab/>
      </w:r>
      <w:r w:rsidRPr="00160D24">
        <w:rPr>
          <w:rFonts w:ascii="Times New Roman" w:hAnsi="Times New Roman"/>
          <w:i/>
          <w:sz w:val="18"/>
          <w:szCs w:val="18"/>
        </w:rPr>
        <w:tab/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CLSG-MCL-POLA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2021-000468-32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154/21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bCs/>
          <w:i/>
          <w:color w:val="0070C0"/>
          <w:sz w:val="18"/>
          <w:szCs w:val="18"/>
          <w:lang w:val="en-US" w:eastAsia="en-GB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bookmarkStart w:id="21" w:name="_Hlk63085575"/>
      <w:r w:rsidRPr="00160D24">
        <w:rPr>
          <w:rFonts w:ascii="Times New Roman" w:hAnsi="Times New Roman"/>
          <w:sz w:val="18"/>
          <w:szCs w:val="18"/>
        </w:rPr>
        <w:t xml:space="preserve">Randomizované, otevřené, multicentrické klinické hodnocení fáze III hodnotící účinnost a bezpečnost adjuvantní léčby giredestrantem ve srovnání s vybranou adjuvantní endokrinní monoterapií dle volby lékaře u pacientů s HER2 negativním časným karcinomem prsu s pozitivními estrogenovými receptory </w:t>
      </w:r>
      <w:bookmarkEnd w:id="21"/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GO42784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2021-000129-28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169/21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bCs/>
          <w:iCs/>
          <w:sz w:val="18"/>
          <w:szCs w:val="18"/>
        </w:rPr>
        <w:t>Randomizovaná studie fáze 3 přípravku MRTX849 v kombinaci s cetuximabem oproti chemoterapii u pacientů s pokročilým kolorektálním karcinomem s mutací KRAS G12C s progresí onemocnění při nebo po standardní léčbě první linie</w:t>
      </w:r>
      <w:r w:rsidRPr="00160D24">
        <w:rPr>
          <w:rFonts w:ascii="Times New Roman" w:hAnsi="Times New Roman"/>
          <w:bCs/>
          <w:i/>
          <w:iCs/>
          <w:sz w:val="18"/>
          <w:szCs w:val="18"/>
        </w:rPr>
        <w:tab/>
      </w:r>
      <w:r w:rsidRPr="00160D24">
        <w:rPr>
          <w:rFonts w:ascii="Times New Roman" w:hAnsi="Times New Roman"/>
          <w:bCs/>
          <w:i/>
          <w:iCs/>
          <w:sz w:val="18"/>
          <w:szCs w:val="18"/>
        </w:rPr>
        <w:tab/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849-010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2020-004048-27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172/21</w:t>
      </w:r>
    </w:p>
    <w:p w:rsidR="00950290" w:rsidRDefault="008A4870" w:rsidP="008A487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>: 3. fáze, randomizovaná, dvojitě zaslepená, adaptivní, placebo/paklitaxel kontrolovaný výzkum AVB S6 500 v kombinaci s paklitaxelem u pacientů s platina rezistentní rekurencí ovariálního karcinomu</w:t>
      </w:r>
      <w:r w:rsidRPr="00160D24">
        <w:rPr>
          <w:rFonts w:ascii="Times New Roman" w:hAnsi="Times New Roman"/>
          <w:bCs/>
          <w:sz w:val="18"/>
          <w:szCs w:val="18"/>
        </w:rPr>
        <w:tab/>
      </w:r>
    </w:p>
    <w:p w:rsidR="008A4870" w:rsidRPr="00950290" w:rsidRDefault="008A4870" w:rsidP="008A487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AVB500-OC-004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2021-000293-28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160D24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197/21</w:t>
      </w:r>
    </w:p>
    <w:p w:rsidR="00160D24" w:rsidRPr="00160D24" w:rsidRDefault="008A4870" w:rsidP="008A4870">
      <w:pPr>
        <w:spacing w:after="0" w:line="240" w:lineRule="auto"/>
        <w:rPr>
          <w:rFonts w:ascii="Times New Roman" w:eastAsia="Arial" w:hAnsi="Times New Roman"/>
          <w:sz w:val="18"/>
          <w:szCs w:val="18"/>
          <w:bdr w:val="nil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eastAsia="Arial" w:hAnsi="Times New Roman"/>
          <w:sz w:val="18"/>
          <w:szCs w:val="18"/>
          <w:bdr w:val="nil"/>
        </w:rPr>
        <w:t xml:space="preserve">Pivotní klinická studie fáze 3 pro hodnocení bezpečnosti a účinnosti přípravku clazakizumab při léčbě chronické aktivními protilátkami zprostředkované rejekce u příjemců transplantované ledviny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CSL300_3001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2018-003682-34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lastRenderedPageBreak/>
        <w:t xml:space="preserve">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208/21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>: Randomizovaná, dvojitě zaslepená multicentrická klinická studie s paralelní skupinou k porovnání účinnosti a bezpečnosti přípravku Intas Ranibizumab s přípravkem Lucentis® u pacientů s neovaskulární ("vlhkou"), věkem podmíněnou makulární degenerací (VPMD)”</w:t>
      </w:r>
      <w:r w:rsidR="00160D24" w:rsidRPr="00160D24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0504-19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2021-001970-41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 xml:space="preserve">211/21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>Randomizované, multicentrické, dvojitě zaslepené, placebem kontrolované klinické hodnocení fáze III k vyhodnocení bemarituzumabu s chemoterapií oproti placebu s chemoterapií u pacientů s dosud neléčeným, pokročilým karcinomem žaludku nebo gastroezofageální junkce s overexpresí FGFR2b (FORTITUDE-101))</w:t>
      </w:r>
      <w:r w:rsidRPr="00160D24">
        <w:rPr>
          <w:rFonts w:ascii="Times New Roman" w:hAnsi="Times New Roman"/>
          <w:bCs/>
          <w:sz w:val="18"/>
          <w:szCs w:val="18"/>
        </w:rPr>
        <w:t xml:space="preserve">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20210096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2021-003461-35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5/22 MEK 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Multicentrická, randomizovaná, dvojitě zaslepená, placebem kontrolovaná studie fáze 3 hodnotící účinnost a bezpečnost mitapivatu u pediatrických pacientů s deficitem pyruvátkinázy, kteří podstupují pravidelnou transfúzi, následovaná pětiletým otevřeným prodlouženým obdobím (studie AG348-C-.022)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AG348-C-022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2021-003265-36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15/22 MEK 4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Otevřené, randomizované klinické hodnocení fáze 3 přípravku IO102-IO103 podávaného v kombinaci s pembrolizumabem oproti samotnému pembrolizumabu u pacientů s dříve neléčeným, neresekovatelným nebo metastazujícím (pokročilým) melanomem 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IO102-IO103-013 (IOB-013) / MK3475-D18 (KN-D18)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2021-004594-32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2" w:name="_Hlk105655288"/>
      <w:bookmarkStart w:id="23" w:name="_Hlk105661412"/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4" w:name="_Hlk97559014"/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32/22 MEK 8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>: Nezaslepená jednoramenná multicentrická studie fáze 2 hodnotící přípravek SOT101 v kombinaci s pembrolizumabem k posouzení účinnosti a bezpečnosti u pacientů se vybranými pokročilými/refrakterními solidními nádory</w:t>
      </w:r>
      <w:r w:rsidRPr="00160D24">
        <w:rPr>
          <w:rFonts w:ascii="Times New Roman" w:hAnsi="Times New Roman"/>
          <w:bCs/>
          <w:sz w:val="18"/>
          <w:szCs w:val="18"/>
          <w:lang w:val="en-US"/>
        </w:rPr>
        <w:t xml:space="preserve"> 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  <w:lang w:val="en-GB"/>
        </w:rPr>
        <w:t>SC104</w:t>
      </w:r>
      <w:r w:rsidRPr="00160D24">
        <w:rPr>
          <w:rFonts w:ascii="Times New Roman" w:hAnsi="Times New Roman"/>
          <w:i/>
          <w:sz w:val="18"/>
          <w:szCs w:val="18"/>
        </w:rPr>
        <w:t xml:space="preserve">  (AURELIO-04)                             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Cs/>
          <w:sz w:val="18"/>
          <w:szCs w:val="18"/>
          <w:lang w:val="en-US"/>
        </w:rPr>
        <w:t>2021-005774-25</w:t>
      </w:r>
    </w:p>
    <w:bookmarkEnd w:id="24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22"/>
    <w:bookmarkEnd w:id="23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5" w:name="_Hlk99955803"/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51/22</w:t>
      </w:r>
    </w:p>
    <w:p w:rsidR="00950290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Multicentrické, otevřené klinické hodnocení fáze 1b/2 zaměřené na genetické mutace v nádorech bez ohledu na jejich lokalitu (tzv. „basket study“) k vyhodnocení bezpečnosti a účinnosti monoterapie bemarituzumabem u solidních nádorů s overexpresí FGFR2b (FORTITUDE-301) </w:t>
      </w:r>
      <w:r w:rsidRPr="00160D24">
        <w:rPr>
          <w:rFonts w:ascii="Times New Roman" w:hAnsi="Times New Roman"/>
          <w:sz w:val="18"/>
          <w:szCs w:val="18"/>
        </w:rPr>
        <w:tab/>
      </w:r>
      <w:r w:rsidRPr="00160D24">
        <w:rPr>
          <w:rFonts w:ascii="Times New Roman" w:hAnsi="Times New Roman"/>
          <w:sz w:val="18"/>
          <w:szCs w:val="18"/>
        </w:rPr>
        <w:tab/>
      </w:r>
      <w:r w:rsidRPr="00160D24">
        <w:rPr>
          <w:rFonts w:ascii="Times New Roman" w:hAnsi="Times New Roman"/>
          <w:sz w:val="18"/>
          <w:szCs w:val="18"/>
        </w:rPr>
        <w:tab/>
      </w:r>
      <w:r w:rsidRPr="00160D24">
        <w:rPr>
          <w:rFonts w:ascii="Times New Roman" w:hAnsi="Times New Roman"/>
          <w:sz w:val="18"/>
          <w:szCs w:val="18"/>
        </w:rPr>
        <w:tab/>
      </w:r>
    </w:p>
    <w:p w:rsidR="008A4870" w:rsidRPr="00950290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20210104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2021-006386-38</w:t>
      </w:r>
    </w:p>
    <w:bookmarkEnd w:id="25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6" w:name="_Hlk99955865"/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52/22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>Multicentrické, randomizované, dvojitě zaslepené, placebem kontrolované klinické hodnocení fáze 3 s paralelními skupinami, jehož cílem je vyhodnotit účinnost a bezpečnost dvou režimů dávkování MEDI3506 jako dlouhodobé léčby u pacientů se symptomatickou chronickou obstrukční plicní nemocí (CHOPN), kteří mají v anamnéze CHOPN exacerbace (studie OBERON)</w:t>
      </w:r>
      <w:r w:rsidRPr="00160D24">
        <w:rPr>
          <w:rFonts w:ascii="Times New Roman" w:hAnsi="Times New Roman"/>
          <w:sz w:val="18"/>
          <w:szCs w:val="18"/>
        </w:rPr>
        <w:tab/>
      </w:r>
      <w:r w:rsidRPr="00160D24">
        <w:rPr>
          <w:rFonts w:ascii="Times New Roman" w:hAnsi="Times New Roman"/>
          <w:sz w:val="18"/>
          <w:szCs w:val="18"/>
        </w:rPr>
        <w:tab/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lastRenderedPageBreak/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D9180C00003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2021-003797-30</w:t>
      </w:r>
    </w:p>
    <w:bookmarkEnd w:id="26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63/22</w:t>
      </w:r>
    </w:p>
    <w:p w:rsidR="008A4870" w:rsidRPr="00160D24" w:rsidRDefault="008A4870" w:rsidP="00160D24">
      <w:pPr>
        <w:pStyle w:val="Body"/>
        <w:spacing w:after="0"/>
        <w:jc w:val="both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 w:cs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 w:cs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 w:cs="Times New Roman"/>
          <w:bCs/>
          <w:sz w:val="18"/>
          <w:szCs w:val="18"/>
        </w:rPr>
        <w:t xml:space="preserve">: </w:t>
      </w:r>
      <w:r w:rsidRPr="00160D24">
        <w:rPr>
          <w:rFonts w:ascii="Times New Roman" w:eastAsia="Times New Roman" w:hAnsi="Times New Roman" w:cs="Times New Roman"/>
          <w:sz w:val="18"/>
          <w:szCs w:val="18"/>
          <w:lang w:val="cs-CZ" w:eastAsia="cs-CZ"/>
        </w:rPr>
        <w:t xml:space="preserve">Studie fáze 3 hepcidin-mimetika rusfertidu (PTG-300) u pacientů s polycytemia vera 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PTG-300-11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2021-004732-29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7" w:name="_Hlk103001676"/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66/22 MEK 11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Brightline-1: Randomizované, otevřené, multicentrické klinické hodnocení fáze II/III přípravku BI 907828 v porovnání s doxorubicinem jako léčby první linie u pacientů s pokročilým dediferencovaným liposarkomem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1403-0008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2021-002392-20</w:t>
      </w:r>
    </w:p>
    <w:bookmarkEnd w:id="27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8" w:name="_Hlk103002671"/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68/22 MEK 13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Randomizovaná, otevřená studie fáze 3 srovnávající sacituzumab govitecan a léčbu zvolenou lékařem u pacientů s dosud neléčeným, lokálně pokročilým, inoperabilním nebo metastazujícím triple negativním karcinomem prsu s nádory bez exprese PD-L nebo u pacientů v raném stádiu léčených protilátkami anti-PD-(L)1 s nádory s expresí PD-L1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GS-US-592-6238 (ASCENT 03)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2021-005743-79</w:t>
      </w:r>
    </w:p>
    <w:bookmarkEnd w:id="28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9" w:name="_Hlk105052843"/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79/22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bCs/>
          <w:iCs/>
          <w:sz w:val="18"/>
          <w:szCs w:val="18"/>
        </w:rPr>
        <w:t xml:space="preserve">Klinické hodnocení fáze Ib/III k vyhodnocení bemarituzumabu s chemoterapií a nivolumabem oproti samotné chemoterapií s nivolumabem u pacientů s dosud neléčeným, pokročilým karcinomem žaludku nebo gastroezofageální junkce s overexpresí FGFR2b (FORTITUDE-102)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20210098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2021-003477-61</w:t>
      </w:r>
    </w:p>
    <w:bookmarkEnd w:id="29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3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30" w:name="_Hlk105052863"/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80/22 MEK 14</w:t>
      </w:r>
    </w:p>
    <w:p w:rsidR="008A4870" w:rsidRPr="00160D24" w:rsidRDefault="008A4870" w:rsidP="008A4870">
      <w:pPr>
        <w:spacing w:after="0" w:line="240" w:lineRule="auto"/>
        <w:ind w:left="33"/>
        <w:jc w:val="both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PSMAddition: Mezinárodní, prospektivní, otevřené, randomizované klinické hodnocení fáze III porovnávající </w:t>
      </w:r>
      <w:r w:rsidRPr="00160D24">
        <w:rPr>
          <w:rFonts w:ascii="Times New Roman" w:hAnsi="Times New Roman"/>
          <w:sz w:val="18"/>
          <w:szCs w:val="18"/>
          <w:vertAlign w:val="superscript"/>
        </w:rPr>
        <w:t>177</w:t>
      </w:r>
      <w:r w:rsidRPr="00160D24">
        <w:rPr>
          <w:rFonts w:ascii="Times New Roman" w:hAnsi="Times New Roman"/>
          <w:sz w:val="18"/>
          <w:szCs w:val="18"/>
        </w:rPr>
        <w:t xml:space="preserve">Lu-PSMA-617 v kombinaci se standardní léčbou oproti samotné standardní léčbě u dospělých pacientů s metastatickým hormonálně senzitivním karcinomem prostaty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CAAA617C12301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2020-003968-56</w:t>
      </w:r>
    </w:p>
    <w:bookmarkEnd w:id="30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143/22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>: Multicentrické, dvojitě zaslepené, placebem kontrolované klinické hodnocení s randomizovaným vysazením léčby a otevřeným prodloužením, následované cykly v rámci dlouhodobé otevřené léčby, k vyhodnocení účinnosti, bezpečnosti a snášenlivosti remibrutinibu (přípravku LOU064) u dospělých pacientů s chronickou spontánní kopřivkou, kteří dokončili předchozí klinická hodnocení fáze III s remibrutinibem)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CLOU064A2303B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2022-001034-11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160D2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>:</w:t>
      </w:r>
      <w:r w:rsidRPr="00160D24">
        <w:rPr>
          <w:rFonts w:ascii="Times New Roman" w:hAnsi="Times New Roman"/>
          <w:b/>
          <w:sz w:val="18"/>
          <w:szCs w:val="18"/>
        </w:rPr>
        <w:t xml:space="preserve"> 147/22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>MOlnupiravir REal world utilization among COVID-19 patients in the Czech Republic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NIS102371/IBA1199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N/A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31" w:name="_Hlk116913274"/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155/22 MEK 24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bookmarkStart w:id="32" w:name="_Hlk525132784"/>
      <w:r w:rsidRPr="00160D24">
        <w:rPr>
          <w:rFonts w:ascii="Times New Roman" w:hAnsi="Times New Roman"/>
          <w:sz w:val="18"/>
          <w:szCs w:val="18"/>
        </w:rPr>
        <w:t>Multicentrické otevřené klinické hodnocení fáze 1/1b eskalace a expanze dávkování monoterapie RMC-6291 u subjektů s mutací KRAS</w:t>
      </w:r>
      <w:r w:rsidRPr="00160D24">
        <w:rPr>
          <w:rFonts w:ascii="Times New Roman" w:hAnsi="Times New Roman"/>
          <w:bCs/>
          <w:i/>
          <w:sz w:val="18"/>
          <w:szCs w:val="18"/>
          <w:vertAlign w:val="superscript"/>
        </w:rPr>
        <w:t>G12C</w:t>
      </w:r>
      <w:r w:rsidRPr="00160D24">
        <w:rPr>
          <w:rFonts w:ascii="Times New Roman" w:hAnsi="Times New Roman"/>
          <w:sz w:val="18"/>
          <w:szCs w:val="18"/>
        </w:rPr>
        <w:t xml:space="preserve"> solidních nádorů v pokročilém stádiu. </w:t>
      </w:r>
      <w:bookmarkEnd w:id="32"/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RMC-6291-001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2022-000388-35</w:t>
      </w:r>
    </w:p>
    <w:bookmarkEnd w:id="31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33" w:name="_Hlk119659361"/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 </w:t>
      </w:r>
      <w:r w:rsidRPr="00160D24">
        <w:rPr>
          <w:rFonts w:ascii="Times New Roman" w:hAnsi="Times New Roman"/>
          <w:b/>
          <w:sz w:val="18"/>
          <w:szCs w:val="18"/>
        </w:rPr>
        <w:t>171/22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hAnsi="Times New Roman"/>
          <w:sz w:val="18"/>
          <w:szCs w:val="18"/>
        </w:rPr>
        <w:t xml:space="preserve">Multicentrické, mezinárodní, randomizované, aktivním komparátorem kontrolované, dvojitě zaslepené, dvojitě matoucí, paralelně uspořádané, dvouramenné klinické hodnocení fáze 3 srovnávající účinnost a bezpečnost perorálního inhibitoru FXIa asundexianu (BAY 2433334) s apixabanem v prevenci cévní mozkové příhody nebo systémové embolizace u mužů a žen od 18let s atriální fibrilací s rizikem cévní mozkové příhody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19767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2022-000758-28</w:t>
      </w:r>
    </w:p>
    <w:bookmarkEnd w:id="33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34" w:name="_Hlk121816376"/>
      <w:r w:rsidRPr="00160D24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160D24">
        <w:rPr>
          <w:rFonts w:ascii="Times New Roman" w:hAnsi="Times New Roman"/>
          <w:i/>
          <w:sz w:val="18"/>
          <w:szCs w:val="18"/>
        </w:rPr>
        <w:t>Reference number</w:t>
      </w:r>
      <w:r w:rsidRPr="00160D24">
        <w:rPr>
          <w:rFonts w:ascii="Times New Roman" w:hAnsi="Times New Roman"/>
          <w:sz w:val="18"/>
          <w:szCs w:val="18"/>
        </w:rPr>
        <w:t xml:space="preserve">: </w:t>
      </w:r>
      <w:r w:rsidRPr="00160D24">
        <w:rPr>
          <w:rFonts w:ascii="Times New Roman" w:hAnsi="Times New Roman"/>
          <w:b/>
          <w:sz w:val="18"/>
          <w:szCs w:val="18"/>
        </w:rPr>
        <w:t>183/22 MEK 28</w:t>
      </w:r>
    </w:p>
    <w:p w:rsidR="008A4870" w:rsidRPr="00160D24" w:rsidRDefault="008A4870" w:rsidP="008A4870">
      <w:pPr>
        <w:spacing w:after="0" w:line="240" w:lineRule="auto"/>
        <w:jc w:val="both"/>
        <w:rPr>
          <w:rFonts w:ascii="Times New Roman" w:eastAsia="Arial" w:hAnsi="Times New Roman"/>
          <w:sz w:val="18"/>
          <w:szCs w:val="18"/>
          <w:bdr w:val="none" w:sz="0" w:space="0" w:color="auto" w:frame="1"/>
          <w:lang w:bidi="cs-CZ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>Název KH/</w:t>
      </w:r>
      <w:r w:rsidRPr="00160D24">
        <w:rPr>
          <w:rFonts w:ascii="Times New Roman" w:hAnsi="Times New Roman"/>
          <w:i/>
          <w:sz w:val="18"/>
          <w:szCs w:val="18"/>
        </w:rPr>
        <w:t>Full Title of Clinical Trial</w:t>
      </w:r>
      <w:r w:rsidRPr="00160D24">
        <w:rPr>
          <w:rFonts w:ascii="Times New Roman" w:hAnsi="Times New Roman"/>
          <w:bCs/>
          <w:sz w:val="18"/>
          <w:szCs w:val="18"/>
        </w:rPr>
        <w:t xml:space="preserve">: </w:t>
      </w:r>
      <w:r w:rsidRPr="00160D24">
        <w:rPr>
          <w:rFonts w:ascii="Times New Roman" w:eastAsia="Arial" w:hAnsi="Times New Roman"/>
          <w:sz w:val="18"/>
          <w:szCs w:val="18"/>
          <w:bdr w:val="none" w:sz="0" w:space="0" w:color="auto" w:frame="1"/>
          <w:lang w:bidi="cs-CZ"/>
        </w:rPr>
        <w:t xml:space="preserve">Multicentrické, otevřené klinické hodnocení fáze 2 pro stanovení dávky posuzující THIO následované cemiplimabem (LIBTAYO®) u subjektů s pokročilým nemalobuněčným karcinomem plic (NSCLC) 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160D24">
        <w:rPr>
          <w:rFonts w:ascii="Times New Roman" w:hAnsi="Times New Roman"/>
          <w:i/>
          <w:sz w:val="18"/>
          <w:szCs w:val="18"/>
        </w:rPr>
        <w:t>Protocol Code Number</w:t>
      </w:r>
      <w:r w:rsidRPr="00160D24">
        <w:rPr>
          <w:rFonts w:ascii="Times New Roman" w:hAnsi="Times New Roman"/>
          <w:sz w:val="18"/>
          <w:szCs w:val="18"/>
        </w:rPr>
        <w:t>: THIO-101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160D24">
        <w:rPr>
          <w:rFonts w:ascii="Times New Roman" w:hAnsi="Times New Roman"/>
          <w:i/>
          <w:sz w:val="18"/>
          <w:szCs w:val="18"/>
        </w:rPr>
        <w:t>EudraCT number</w:t>
      </w:r>
      <w:r w:rsidRPr="00160D24">
        <w:rPr>
          <w:rFonts w:ascii="Times New Roman" w:hAnsi="Times New Roman"/>
          <w:sz w:val="18"/>
          <w:szCs w:val="18"/>
        </w:rPr>
        <w:t>: 2021-005136-34</w:t>
      </w:r>
    </w:p>
    <w:bookmarkEnd w:id="34"/>
    <w:p w:rsidR="008A4870" w:rsidRPr="00160D24" w:rsidRDefault="008A4870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60D24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160D24">
        <w:rPr>
          <w:rFonts w:ascii="Times New Roman" w:hAnsi="Times New Roman"/>
          <w:i/>
          <w:sz w:val="18"/>
          <w:szCs w:val="18"/>
        </w:rPr>
        <w:t>Ethics Committe´s opinion</w:t>
      </w:r>
      <w:r w:rsidRPr="00160D24">
        <w:rPr>
          <w:rFonts w:ascii="Times New Roman" w:hAnsi="Times New Roman"/>
          <w:sz w:val="18"/>
          <w:szCs w:val="18"/>
        </w:rPr>
        <w:t>: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60D24">
        <w:rPr>
          <w:rFonts w:ascii="Times New Roman" w:hAnsi="Times New Roman"/>
          <w:sz w:val="18"/>
          <w:szCs w:val="18"/>
        </w:rPr>
        <w:sym w:font="Wingdings 2" w:char="F0A3"/>
      </w:r>
      <w:r w:rsidRPr="00160D24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160D24">
        <w:rPr>
          <w:rFonts w:ascii="Times New Roman" w:hAnsi="Times New Roman"/>
          <w:i/>
          <w:sz w:val="18"/>
          <w:szCs w:val="18"/>
        </w:rPr>
        <w:t>EC issued</w:t>
      </w:r>
      <w:r w:rsidRPr="00160D24">
        <w:rPr>
          <w:rFonts w:ascii="Times New Roman" w:hAnsi="Times New Roman"/>
          <w:sz w:val="18"/>
          <w:szCs w:val="18"/>
        </w:rPr>
        <w:t xml:space="preserve"> </w:t>
      </w:r>
      <w:r w:rsidRPr="00160D24">
        <w:rPr>
          <w:rFonts w:ascii="Times New Roman" w:hAnsi="Times New Roman"/>
          <w:i/>
          <w:sz w:val="18"/>
          <w:szCs w:val="18"/>
        </w:rPr>
        <w:t>favourable opinion</w:t>
      </w:r>
    </w:p>
    <w:p w:rsidR="008A4870" w:rsidRPr="00160D24" w:rsidRDefault="008A4870" w:rsidP="008A487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160D24">
        <w:rPr>
          <w:rFonts w:ascii="Times New Roman" w:hAnsi="Times New Roman"/>
          <w:bCs/>
          <w:sz w:val="18"/>
          <w:szCs w:val="18"/>
        </w:rPr>
        <w:sym w:font="Wingdings 2" w:char="F054"/>
      </w:r>
      <w:r w:rsidRPr="00160D24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160D24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8A14CC" w:rsidRPr="00160D24" w:rsidRDefault="008A14CC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A14CC" w:rsidRPr="00160D24" w:rsidRDefault="008A14CC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A14CC" w:rsidRPr="00160D24" w:rsidRDefault="008A14CC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A14CC" w:rsidRPr="00160D24" w:rsidRDefault="008A14CC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A14CC" w:rsidRPr="00160D24" w:rsidRDefault="008A14CC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A14CC" w:rsidRPr="00160D24" w:rsidRDefault="008A14CC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35" w:name="_Hlk135289284"/>
    </w:p>
    <w:p w:rsidR="008A14CC" w:rsidRPr="00160D24" w:rsidRDefault="008A14CC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A14CC" w:rsidRPr="00160D24" w:rsidRDefault="008A14CC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bookmarkStart w:id="36" w:name="_Hlk108440637"/>
      <w:bookmarkStart w:id="37" w:name="_Hlk127438360"/>
      <w:r w:rsidRPr="00160D24">
        <w:rPr>
          <w:rFonts w:ascii="Times New Roman" w:eastAsia="Times New Roman" w:hAnsi="Times New Roman"/>
          <w:bCs/>
          <w:sz w:val="18"/>
          <w:szCs w:val="18"/>
          <w:lang w:eastAsia="cs-CZ"/>
        </w:rPr>
        <w:t>Termín a místo konání dalšího jednání komise: 1</w:t>
      </w:r>
      <w:r w:rsidR="008A4870" w:rsidRPr="00160D24">
        <w:rPr>
          <w:rFonts w:ascii="Times New Roman" w:eastAsia="Times New Roman" w:hAnsi="Times New Roman"/>
          <w:bCs/>
          <w:sz w:val="18"/>
          <w:szCs w:val="18"/>
          <w:lang w:eastAsia="cs-CZ"/>
        </w:rPr>
        <w:t>2.6.</w:t>
      </w:r>
      <w:r w:rsidRPr="00160D24">
        <w:rPr>
          <w:rFonts w:ascii="Times New Roman" w:eastAsia="Times New Roman" w:hAnsi="Times New Roman"/>
          <w:bCs/>
          <w:sz w:val="18"/>
          <w:szCs w:val="18"/>
          <w:lang w:eastAsia="cs-CZ"/>
        </w:rPr>
        <w:t>2023, 13.30 hod.,  kancelář EK v budově K FNOL.</w:t>
      </w:r>
    </w:p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</w:p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160D24">
        <w:rPr>
          <w:rFonts w:ascii="Times New Roman" w:eastAsia="Times New Roman" w:hAnsi="Times New Roman"/>
          <w:bCs/>
          <w:sz w:val="18"/>
          <w:szCs w:val="18"/>
          <w:lang w:eastAsia="cs-CZ"/>
        </w:rPr>
        <w:t>Zapsal</w:t>
      </w:r>
      <w:r w:rsidR="008A4870" w:rsidRPr="00160D24">
        <w:rPr>
          <w:rFonts w:ascii="Times New Roman" w:eastAsia="Times New Roman" w:hAnsi="Times New Roman"/>
          <w:bCs/>
          <w:sz w:val="18"/>
          <w:szCs w:val="18"/>
          <w:lang w:eastAsia="cs-CZ"/>
        </w:rPr>
        <w:t>: doc. MUDr. et Mgr. Jiří Minařík, Ph.D.</w:t>
      </w:r>
    </w:p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8A14CC" w:rsidRPr="00160D24" w:rsidRDefault="008A14CC" w:rsidP="008A4870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160D24">
        <w:rPr>
          <w:rFonts w:ascii="Times New Roman" w:eastAsia="Times New Roman" w:hAnsi="Times New Roman"/>
          <w:bCs/>
          <w:sz w:val="18"/>
          <w:szCs w:val="18"/>
          <w:lang w:eastAsia="cs-CZ"/>
        </w:rPr>
        <w:t>…………………………………………..</w:t>
      </w:r>
    </w:p>
    <w:p w:rsidR="008A4870" w:rsidRPr="00160D24" w:rsidRDefault="008A14CC" w:rsidP="008A487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160D24">
        <w:rPr>
          <w:rFonts w:ascii="Times New Roman" w:eastAsia="Times New Roman" w:hAnsi="Times New Roman"/>
          <w:bCs/>
          <w:sz w:val="18"/>
          <w:szCs w:val="18"/>
          <w:lang w:eastAsia="cs-CZ"/>
        </w:rPr>
        <w:t>Datum:  1</w:t>
      </w:r>
      <w:r w:rsidR="008A4870" w:rsidRPr="00160D24">
        <w:rPr>
          <w:rFonts w:ascii="Times New Roman" w:eastAsia="Times New Roman" w:hAnsi="Times New Roman"/>
          <w:bCs/>
          <w:sz w:val="18"/>
          <w:szCs w:val="18"/>
          <w:lang w:eastAsia="cs-CZ"/>
        </w:rPr>
        <w:t>7.5.</w:t>
      </w:r>
      <w:r w:rsidRPr="00160D24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2023                                                                                  </w:t>
      </w:r>
      <w:r w:rsidR="008A4870" w:rsidRPr="00160D24">
        <w:rPr>
          <w:rFonts w:ascii="Times New Roman" w:eastAsia="Times New Roman" w:hAnsi="Times New Roman"/>
          <w:bCs/>
          <w:sz w:val="18"/>
          <w:szCs w:val="18"/>
          <w:lang w:eastAsia="cs-CZ"/>
        </w:rPr>
        <w:t>doc. MUDr. et Mgr. Jiří Minařík, Ph.D.</w:t>
      </w:r>
    </w:p>
    <w:p w:rsidR="008A14CC" w:rsidRPr="00160D24" w:rsidRDefault="008A14CC" w:rsidP="008A4870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</w:p>
    <w:bookmarkEnd w:id="36"/>
    <w:bookmarkEnd w:id="37"/>
    <w:p w:rsidR="008A14CC" w:rsidRPr="00160D24" w:rsidRDefault="008A14CC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bookmarkEnd w:id="35"/>
    <w:p w:rsidR="008A14CC" w:rsidRPr="00160D24" w:rsidRDefault="008A14CC" w:rsidP="008A48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8A14CC" w:rsidRPr="00160D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290" w:rsidRDefault="00950290" w:rsidP="008A14CC">
      <w:pPr>
        <w:spacing w:after="0" w:line="240" w:lineRule="auto"/>
      </w:pPr>
      <w:r>
        <w:separator/>
      </w:r>
    </w:p>
  </w:endnote>
  <w:endnote w:type="continuationSeparator" w:id="0">
    <w:p w:rsidR="00950290" w:rsidRDefault="00950290" w:rsidP="008A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998055"/>
      <w:docPartObj>
        <w:docPartGallery w:val="Page Numbers (Bottom of Page)"/>
        <w:docPartUnique/>
      </w:docPartObj>
    </w:sdtPr>
    <w:sdtContent>
      <w:p w:rsidR="00950290" w:rsidRDefault="0095029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0290" w:rsidRDefault="009502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290" w:rsidRDefault="00950290" w:rsidP="008A14CC">
      <w:pPr>
        <w:spacing w:after="0" w:line="240" w:lineRule="auto"/>
      </w:pPr>
      <w:r>
        <w:separator/>
      </w:r>
    </w:p>
  </w:footnote>
  <w:footnote w:type="continuationSeparator" w:id="0">
    <w:p w:rsidR="00950290" w:rsidRDefault="00950290" w:rsidP="008A1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D6890"/>
    <w:multiLevelType w:val="hybridMultilevel"/>
    <w:tmpl w:val="9304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1154"/>
    <w:multiLevelType w:val="hybridMultilevel"/>
    <w:tmpl w:val="599871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7F8E"/>
    <w:multiLevelType w:val="hybridMultilevel"/>
    <w:tmpl w:val="02C20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1A3230"/>
    <w:multiLevelType w:val="multilevel"/>
    <w:tmpl w:val="121278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0EBC73DB"/>
    <w:multiLevelType w:val="hybridMultilevel"/>
    <w:tmpl w:val="DBD0718A"/>
    <w:lvl w:ilvl="0" w:tplc="80EE873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B026584E">
      <w:start w:val="1"/>
      <w:numFmt w:val="upperLetter"/>
      <w:lvlText w:val="%2."/>
      <w:lvlJc w:val="left"/>
      <w:pPr>
        <w:ind w:left="1080" w:hanging="360"/>
      </w:pPr>
      <w:rPr>
        <w:sz w:val="20"/>
        <w:szCs w:val="2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90530"/>
    <w:multiLevelType w:val="hybridMultilevel"/>
    <w:tmpl w:val="58180E3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50777D"/>
    <w:multiLevelType w:val="hybridMultilevel"/>
    <w:tmpl w:val="99E8DCA2"/>
    <w:lvl w:ilvl="0" w:tplc="6A4ED3D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42F8F"/>
    <w:multiLevelType w:val="hybridMultilevel"/>
    <w:tmpl w:val="16480516"/>
    <w:lvl w:ilvl="0" w:tplc="CAD4D5C8">
      <w:start w:val="148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1CEE1182"/>
    <w:multiLevelType w:val="hybridMultilevel"/>
    <w:tmpl w:val="E96C9210"/>
    <w:lvl w:ilvl="0" w:tplc="D1A2EF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24DDA"/>
    <w:multiLevelType w:val="hybridMultilevel"/>
    <w:tmpl w:val="D6760D6C"/>
    <w:lvl w:ilvl="0" w:tplc="77464C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D601C"/>
    <w:multiLevelType w:val="hybridMultilevel"/>
    <w:tmpl w:val="C3E24E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A5FAF"/>
    <w:multiLevelType w:val="hybridMultilevel"/>
    <w:tmpl w:val="0AA84744"/>
    <w:lvl w:ilvl="0" w:tplc="2F90FAF0">
      <w:start w:val="9"/>
      <w:numFmt w:val="decimalZero"/>
      <w:lvlText w:val="%1."/>
      <w:lvlJc w:val="left"/>
      <w:pPr>
        <w:ind w:left="828" w:firstLine="0"/>
      </w:pPr>
      <w:rPr>
        <w:rFonts w:ascii="Calibri" w:eastAsia="Calibri" w:hAnsi="Calibri" w:cs="Calibri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42B2A0">
      <w:start w:val="1"/>
      <w:numFmt w:val="lowerLetter"/>
      <w:lvlText w:val="%2"/>
      <w:lvlJc w:val="left"/>
      <w:pPr>
        <w:ind w:left="152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F0AA40">
      <w:start w:val="1"/>
      <w:numFmt w:val="lowerRoman"/>
      <w:lvlText w:val="%3"/>
      <w:lvlJc w:val="left"/>
      <w:pPr>
        <w:ind w:left="224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2EC2A6">
      <w:start w:val="1"/>
      <w:numFmt w:val="decimal"/>
      <w:lvlText w:val="%4"/>
      <w:lvlJc w:val="left"/>
      <w:pPr>
        <w:ind w:left="296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A62636">
      <w:start w:val="1"/>
      <w:numFmt w:val="lowerLetter"/>
      <w:lvlText w:val="%5"/>
      <w:lvlJc w:val="left"/>
      <w:pPr>
        <w:ind w:left="368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F62DC2A">
      <w:start w:val="1"/>
      <w:numFmt w:val="lowerRoman"/>
      <w:lvlText w:val="%6"/>
      <w:lvlJc w:val="left"/>
      <w:pPr>
        <w:ind w:left="440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32EE16">
      <w:start w:val="1"/>
      <w:numFmt w:val="decimal"/>
      <w:lvlText w:val="%7"/>
      <w:lvlJc w:val="left"/>
      <w:pPr>
        <w:ind w:left="512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39E4314">
      <w:start w:val="1"/>
      <w:numFmt w:val="lowerLetter"/>
      <w:lvlText w:val="%8"/>
      <w:lvlJc w:val="left"/>
      <w:pPr>
        <w:ind w:left="584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6F66ABE">
      <w:start w:val="1"/>
      <w:numFmt w:val="lowerRoman"/>
      <w:lvlText w:val="%9"/>
      <w:lvlJc w:val="left"/>
      <w:pPr>
        <w:ind w:left="656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F70105E"/>
    <w:multiLevelType w:val="hybridMultilevel"/>
    <w:tmpl w:val="31F296A8"/>
    <w:lvl w:ilvl="0" w:tplc="BADAD0B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17347DD"/>
    <w:multiLevelType w:val="hybridMultilevel"/>
    <w:tmpl w:val="440CD9B2"/>
    <w:lvl w:ilvl="0" w:tplc="EC8AF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52449"/>
    <w:multiLevelType w:val="hybridMultilevel"/>
    <w:tmpl w:val="0AA84744"/>
    <w:lvl w:ilvl="0" w:tplc="2F90FAF0">
      <w:start w:val="9"/>
      <w:numFmt w:val="decimalZero"/>
      <w:lvlText w:val="%1."/>
      <w:lvlJc w:val="left"/>
      <w:pPr>
        <w:ind w:left="828" w:firstLine="0"/>
      </w:pPr>
      <w:rPr>
        <w:rFonts w:ascii="Calibri" w:eastAsia="Calibri" w:hAnsi="Calibri" w:cs="Calibri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42B2A0">
      <w:start w:val="1"/>
      <w:numFmt w:val="lowerLetter"/>
      <w:lvlText w:val="%2"/>
      <w:lvlJc w:val="left"/>
      <w:pPr>
        <w:ind w:left="152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F0AA40">
      <w:start w:val="1"/>
      <w:numFmt w:val="lowerRoman"/>
      <w:lvlText w:val="%3"/>
      <w:lvlJc w:val="left"/>
      <w:pPr>
        <w:ind w:left="224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2EC2A6">
      <w:start w:val="1"/>
      <w:numFmt w:val="decimal"/>
      <w:lvlText w:val="%4"/>
      <w:lvlJc w:val="left"/>
      <w:pPr>
        <w:ind w:left="296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A62636">
      <w:start w:val="1"/>
      <w:numFmt w:val="lowerLetter"/>
      <w:lvlText w:val="%5"/>
      <w:lvlJc w:val="left"/>
      <w:pPr>
        <w:ind w:left="368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F62DC2A">
      <w:start w:val="1"/>
      <w:numFmt w:val="lowerRoman"/>
      <w:lvlText w:val="%6"/>
      <w:lvlJc w:val="left"/>
      <w:pPr>
        <w:ind w:left="440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32EE16">
      <w:start w:val="1"/>
      <w:numFmt w:val="decimal"/>
      <w:lvlText w:val="%7"/>
      <w:lvlJc w:val="left"/>
      <w:pPr>
        <w:ind w:left="512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39E4314">
      <w:start w:val="1"/>
      <w:numFmt w:val="lowerLetter"/>
      <w:lvlText w:val="%8"/>
      <w:lvlJc w:val="left"/>
      <w:pPr>
        <w:ind w:left="584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6F66ABE">
      <w:start w:val="1"/>
      <w:numFmt w:val="lowerRoman"/>
      <w:lvlText w:val="%9"/>
      <w:lvlJc w:val="left"/>
      <w:pPr>
        <w:ind w:left="656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7492791"/>
    <w:multiLevelType w:val="hybridMultilevel"/>
    <w:tmpl w:val="D25A4DC6"/>
    <w:lvl w:ilvl="0" w:tplc="74EAAB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30B35"/>
    <w:multiLevelType w:val="multilevel"/>
    <w:tmpl w:val="121278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39A47570"/>
    <w:multiLevelType w:val="hybridMultilevel"/>
    <w:tmpl w:val="5010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F6CC7"/>
    <w:multiLevelType w:val="hybridMultilevel"/>
    <w:tmpl w:val="42A8B0A4"/>
    <w:lvl w:ilvl="0" w:tplc="7DF0C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6DD4DD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12677B"/>
    <w:multiLevelType w:val="multilevel"/>
    <w:tmpl w:val="B1F2104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i w:val="0"/>
      </w:rPr>
    </w:lvl>
  </w:abstractNum>
  <w:abstractNum w:abstractNumId="20" w15:restartNumberingAfterBreak="0">
    <w:nsid w:val="4B3B6DAD"/>
    <w:multiLevelType w:val="hybridMultilevel"/>
    <w:tmpl w:val="6BCAB0A8"/>
    <w:lvl w:ilvl="0" w:tplc="B15A4412">
      <w:start w:val="1"/>
      <w:numFmt w:val="lowerLetter"/>
      <w:lvlText w:val="%1."/>
      <w:lvlJc w:val="left"/>
      <w:pPr>
        <w:ind w:left="1167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887" w:hanging="360"/>
      </w:pPr>
    </w:lvl>
    <w:lvl w:ilvl="2" w:tplc="FFFFFFFF">
      <w:start w:val="1"/>
      <w:numFmt w:val="lowerRoman"/>
      <w:lvlText w:val="%3."/>
      <w:lvlJc w:val="right"/>
      <w:pPr>
        <w:ind w:left="2607" w:hanging="180"/>
      </w:pPr>
    </w:lvl>
    <w:lvl w:ilvl="3" w:tplc="FFFFFFFF">
      <w:start w:val="1"/>
      <w:numFmt w:val="decimal"/>
      <w:lvlText w:val="%4."/>
      <w:lvlJc w:val="left"/>
      <w:pPr>
        <w:ind w:left="3327" w:hanging="360"/>
      </w:pPr>
    </w:lvl>
    <w:lvl w:ilvl="4" w:tplc="FFFFFFFF">
      <w:start w:val="1"/>
      <w:numFmt w:val="lowerLetter"/>
      <w:lvlText w:val="%5."/>
      <w:lvlJc w:val="left"/>
      <w:pPr>
        <w:ind w:left="4047" w:hanging="360"/>
      </w:pPr>
    </w:lvl>
    <w:lvl w:ilvl="5" w:tplc="FFFFFFFF">
      <w:start w:val="1"/>
      <w:numFmt w:val="lowerRoman"/>
      <w:lvlText w:val="%6."/>
      <w:lvlJc w:val="right"/>
      <w:pPr>
        <w:ind w:left="4767" w:hanging="180"/>
      </w:pPr>
    </w:lvl>
    <w:lvl w:ilvl="6" w:tplc="FFFFFFFF">
      <w:start w:val="1"/>
      <w:numFmt w:val="decimal"/>
      <w:lvlText w:val="%7."/>
      <w:lvlJc w:val="left"/>
      <w:pPr>
        <w:ind w:left="5487" w:hanging="360"/>
      </w:pPr>
    </w:lvl>
    <w:lvl w:ilvl="7" w:tplc="FFFFFFFF">
      <w:start w:val="1"/>
      <w:numFmt w:val="lowerLetter"/>
      <w:lvlText w:val="%8."/>
      <w:lvlJc w:val="left"/>
      <w:pPr>
        <w:ind w:left="6207" w:hanging="360"/>
      </w:pPr>
    </w:lvl>
    <w:lvl w:ilvl="8" w:tplc="FFFFFFFF">
      <w:start w:val="1"/>
      <w:numFmt w:val="lowerRoman"/>
      <w:lvlText w:val="%9."/>
      <w:lvlJc w:val="right"/>
      <w:pPr>
        <w:ind w:left="6927" w:hanging="180"/>
      </w:pPr>
    </w:lvl>
  </w:abstractNum>
  <w:abstractNum w:abstractNumId="21" w15:restartNumberingAfterBreak="0">
    <w:nsid w:val="4E9B5239"/>
    <w:multiLevelType w:val="hybridMultilevel"/>
    <w:tmpl w:val="0AA84744"/>
    <w:lvl w:ilvl="0" w:tplc="2F90FAF0">
      <w:start w:val="9"/>
      <w:numFmt w:val="decimalZero"/>
      <w:lvlText w:val="%1."/>
      <w:lvlJc w:val="left"/>
      <w:pPr>
        <w:ind w:left="828" w:firstLine="0"/>
      </w:pPr>
      <w:rPr>
        <w:rFonts w:ascii="Calibri" w:eastAsia="Calibri" w:hAnsi="Calibri" w:cs="Calibri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42B2A0">
      <w:start w:val="1"/>
      <w:numFmt w:val="lowerLetter"/>
      <w:lvlText w:val="%2"/>
      <w:lvlJc w:val="left"/>
      <w:pPr>
        <w:ind w:left="152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F0AA40">
      <w:start w:val="1"/>
      <w:numFmt w:val="lowerRoman"/>
      <w:lvlText w:val="%3"/>
      <w:lvlJc w:val="left"/>
      <w:pPr>
        <w:ind w:left="224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2EC2A6">
      <w:start w:val="1"/>
      <w:numFmt w:val="decimal"/>
      <w:lvlText w:val="%4"/>
      <w:lvlJc w:val="left"/>
      <w:pPr>
        <w:ind w:left="296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A62636">
      <w:start w:val="1"/>
      <w:numFmt w:val="lowerLetter"/>
      <w:lvlText w:val="%5"/>
      <w:lvlJc w:val="left"/>
      <w:pPr>
        <w:ind w:left="368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F62DC2A">
      <w:start w:val="1"/>
      <w:numFmt w:val="lowerRoman"/>
      <w:lvlText w:val="%6"/>
      <w:lvlJc w:val="left"/>
      <w:pPr>
        <w:ind w:left="440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32EE16">
      <w:start w:val="1"/>
      <w:numFmt w:val="decimal"/>
      <w:lvlText w:val="%7"/>
      <w:lvlJc w:val="left"/>
      <w:pPr>
        <w:ind w:left="512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39E4314">
      <w:start w:val="1"/>
      <w:numFmt w:val="lowerLetter"/>
      <w:lvlText w:val="%8"/>
      <w:lvlJc w:val="left"/>
      <w:pPr>
        <w:ind w:left="584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6F66ABE">
      <w:start w:val="1"/>
      <w:numFmt w:val="lowerRoman"/>
      <w:lvlText w:val="%9"/>
      <w:lvlJc w:val="left"/>
      <w:pPr>
        <w:ind w:left="656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2887B9E"/>
    <w:multiLevelType w:val="hybridMultilevel"/>
    <w:tmpl w:val="D372533A"/>
    <w:lvl w:ilvl="0" w:tplc="45A2D28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21F06"/>
    <w:multiLevelType w:val="hybridMultilevel"/>
    <w:tmpl w:val="B8341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C5E74"/>
    <w:multiLevelType w:val="hybridMultilevel"/>
    <w:tmpl w:val="025E4B2E"/>
    <w:lvl w:ilvl="0" w:tplc="E87EBE46">
      <w:start w:val="140"/>
      <w:numFmt w:val="bullet"/>
      <w:lvlText w:val=""/>
      <w:lvlJc w:val="left"/>
      <w:pPr>
        <w:ind w:left="1068" w:hanging="360"/>
      </w:pPr>
      <w:rPr>
        <w:rFonts w:ascii="Wingdings 2" w:eastAsia="Times New Roman" w:hAnsi="Wingdings 2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9DE3DC5"/>
    <w:multiLevelType w:val="hybridMultilevel"/>
    <w:tmpl w:val="BF94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24BA3"/>
    <w:multiLevelType w:val="hybridMultilevel"/>
    <w:tmpl w:val="C82A6C86"/>
    <w:lvl w:ilvl="0" w:tplc="195AD5F6">
      <w:start w:val="2"/>
      <w:numFmt w:val="bullet"/>
      <w:lvlText w:val="-"/>
      <w:lvlJc w:val="left"/>
      <w:pPr>
        <w:ind w:left="1080" w:hanging="360"/>
      </w:pPr>
      <w:rPr>
        <w:rFonts w:ascii="Calibri" w:eastAsia="MS PGothic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1170DD"/>
    <w:multiLevelType w:val="hybridMultilevel"/>
    <w:tmpl w:val="3C120AE6"/>
    <w:lvl w:ilvl="0" w:tplc="80EE873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AA2CE178">
      <w:start w:val="1"/>
      <w:numFmt w:val="lowerLetter"/>
      <w:pStyle w:val="ListLetter"/>
      <w:lvlText w:val="%2"/>
      <w:lvlJc w:val="left"/>
      <w:pPr>
        <w:ind w:left="1080" w:hanging="360"/>
      </w:pPr>
      <w:rPr>
        <w:sz w:val="20"/>
        <w:szCs w:val="2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DA5E0A"/>
    <w:multiLevelType w:val="hybridMultilevel"/>
    <w:tmpl w:val="A3543DAE"/>
    <w:lvl w:ilvl="0" w:tplc="C30C15FC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0A7D7A"/>
    <w:multiLevelType w:val="hybridMultilevel"/>
    <w:tmpl w:val="7A707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24FE8"/>
    <w:multiLevelType w:val="hybridMultilevel"/>
    <w:tmpl w:val="14A099D6"/>
    <w:lvl w:ilvl="0" w:tplc="E098ACD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E1F73"/>
    <w:multiLevelType w:val="hybridMultilevel"/>
    <w:tmpl w:val="5FFCE1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0311E"/>
    <w:multiLevelType w:val="hybridMultilevel"/>
    <w:tmpl w:val="0DFE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D7022"/>
    <w:multiLevelType w:val="hybridMultilevel"/>
    <w:tmpl w:val="533801C6"/>
    <w:lvl w:ilvl="0" w:tplc="821C02D0">
      <w:start w:val="1"/>
      <w:numFmt w:val="decimal"/>
      <w:lvlText w:val="%1."/>
      <w:lvlJc w:val="left"/>
      <w:pPr>
        <w:ind w:left="720" w:hanging="360"/>
      </w:pPr>
      <w:rPr>
        <w:rFonts w:ascii="Calibri" w:eastAsia="MS PGothic" w:hAnsi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67800"/>
    <w:multiLevelType w:val="hybridMultilevel"/>
    <w:tmpl w:val="B3321D6E"/>
    <w:lvl w:ilvl="0" w:tplc="1A54750C">
      <w:start w:val="1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E6A2B"/>
    <w:multiLevelType w:val="multilevel"/>
    <w:tmpl w:val="5A108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8441" w:hanging="360"/>
      </w:pPr>
      <w:rPr>
        <w:b w:val="0"/>
        <w:bCs/>
        <w:i w:val="0"/>
      </w:rPr>
    </w:lvl>
    <w:lvl w:ilvl="2">
      <w:start w:val="1"/>
      <w:numFmt w:val="decimal"/>
      <w:lvlText w:val="%3."/>
      <w:lvlJc w:val="left"/>
      <w:pPr>
        <w:ind w:left="216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6" w15:restartNumberingAfterBreak="0">
    <w:nsid w:val="7A904831"/>
    <w:multiLevelType w:val="hybridMultilevel"/>
    <w:tmpl w:val="A658F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7E70DD"/>
    <w:multiLevelType w:val="hybridMultilevel"/>
    <w:tmpl w:val="5AB683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31F14"/>
    <w:multiLevelType w:val="hybridMultilevel"/>
    <w:tmpl w:val="74D8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B2121"/>
    <w:multiLevelType w:val="hybridMultilevel"/>
    <w:tmpl w:val="D7E89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44288"/>
    <w:multiLevelType w:val="hybridMultilevel"/>
    <w:tmpl w:val="35B2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9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8"/>
  </w:num>
  <w:num w:numId="11">
    <w:abstractNumId w:val="12"/>
  </w:num>
  <w:num w:numId="12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11"/>
  </w:num>
  <w:num w:numId="16">
    <w:abstractNumId w:val="21"/>
  </w:num>
  <w:num w:numId="17">
    <w:abstractNumId w:val="32"/>
  </w:num>
  <w:num w:numId="18">
    <w:abstractNumId w:val="6"/>
  </w:num>
  <w:num w:numId="19">
    <w:abstractNumId w:val="17"/>
  </w:num>
  <w:num w:numId="20">
    <w:abstractNumId w:val="40"/>
  </w:num>
  <w:num w:numId="21">
    <w:abstractNumId w:val="25"/>
  </w:num>
  <w:num w:numId="2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34"/>
  </w:num>
  <w:num w:numId="28">
    <w:abstractNumId w:val="37"/>
  </w:num>
  <w:num w:numId="29">
    <w:abstractNumId w:val="31"/>
  </w:num>
  <w:num w:numId="30">
    <w:abstractNumId w:val="1"/>
  </w:num>
  <w:num w:numId="31">
    <w:abstractNumId w:val="5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</w:num>
  <w:num w:numId="39">
    <w:abstractNumId w:val="26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2"/>
  </w:num>
  <w:num w:numId="43">
    <w:abstractNumId w:val="39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CC"/>
    <w:rsid w:val="00037077"/>
    <w:rsid w:val="00085810"/>
    <w:rsid w:val="00160D24"/>
    <w:rsid w:val="00260FF4"/>
    <w:rsid w:val="008A14CC"/>
    <w:rsid w:val="008A4870"/>
    <w:rsid w:val="00950290"/>
    <w:rsid w:val="00AD0E1B"/>
    <w:rsid w:val="00F3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1493"/>
  <w15:chartTrackingRefBased/>
  <w15:docId w15:val="{57129DF2-FD47-4EA4-BF5C-9D304E92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4C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A4870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48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4870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A487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Zhlav">
    <w:name w:val="header"/>
    <w:aliases w:val="enter name here,Page Header,Even Header"/>
    <w:basedOn w:val="Normln"/>
    <w:link w:val="ZhlavChar"/>
    <w:uiPriority w:val="99"/>
    <w:unhideWhenUsed/>
    <w:rsid w:val="008A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enter name here Char,Page Header Char,Even Header Char"/>
    <w:basedOn w:val="Standardnpsmoodstavce"/>
    <w:link w:val="Zhlav"/>
    <w:uiPriority w:val="99"/>
    <w:rsid w:val="008A14CC"/>
    <w:rPr>
      <w:rFonts w:ascii="Calibri" w:eastAsia="Calibri" w:hAnsi="Calibri" w:cs="Times New Roman"/>
    </w:rPr>
  </w:style>
  <w:style w:type="paragraph" w:styleId="Zpat">
    <w:name w:val="footer"/>
    <w:aliases w:val="Page Footer,Footnote"/>
    <w:basedOn w:val="Normln"/>
    <w:link w:val="ZpatChar"/>
    <w:uiPriority w:val="99"/>
    <w:unhideWhenUsed/>
    <w:rsid w:val="008A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aliases w:val="Page Footer Char,Footnote Char"/>
    <w:basedOn w:val="Standardnpsmoodstavce"/>
    <w:link w:val="Zpat"/>
    <w:uiPriority w:val="99"/>
    <w:qFormat/>
    <w:rsid w:val="008A14CC"/>
    <w:rPr>
      <w:rFonts w:ascii="Calibri" w:eastAsia="Calibri" w:hAnsi="Calibri" w:cs="Times New Roman"/>
    </w:rPr>
  </w:style>
  <w:style w:type="paragraph" w:styleId="Nzev">
    <w:name w:val="Title"/>
    <w:aliases w:val="@ SIS-ICF title"/>
    <w:basedOn w:val="Normln"/>
    <w:link w:val="NzevChar"/>
    <w:qFormat/>
    <w:rsid w:val="008A487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aliases w:val="@ SIS-ICF title Char"/>
    <w:basedOn w:val="Standardnpsmoodstavce"/>
    <w:link w:val="Nzev"/>
    <w:rsid w:val="008A487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8A4870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8A48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aliases w:val="Odstavec_muj,Nad,Odstavec_muj1,Odstavec_muj2,Odstavec_muj3,Nad1,List Paragraph1,Odstavec_muj4,Nad2,List Paragraph2,Odstavec_muj5,Odstavec_muj6,Odstavec_muj7,Odstavec_muj8,Odstavec_muj9,Odstavec_muj10,Odstavec_muj11,Seznam odrážkový"/>
    <w:basedOn w:val="Normln"/>
    <w:link w:val="OdstavecseseznamemChar"/>
    <w:uiPriority w:val="34"/>
    <w:qFormat/>
    <w:rsid w:val="008A48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link w:val="Odstavecseseznamem"/>
    <w:uiPriority w:val="34"/>
    <w:locked/>
    <w:rsid w:val="008A48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Letter">
    <w:name w:val="List Letter"/>
    <w:basedOn w:val="Normln"/>
    <w:rsid w:val="008A4870"/>
    <w:pPr>
      <w:numPr>
        <w:ilvl w:val="1"/>
        <w:numId w:val="7"/>
      </w:numPr>
      <w:autoSpaceDE w:val="0"/>
      <w:autoSpaceDN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 w:bidi="he-IL"/>
    </w:rPr>
  </w:style>
  <w:style w:type="paragraph" w:customStyle="1" w:styleId="LO-Normal">
    <w:name w:val="LO-Normal"/>
    <w:rsid w:val="008A487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character" w:styleId="Hypertextovodkaz">
    <w:name w:val="Hyperlink"/>
    <w:uiPriority w:val="99"/>
    <w:unhideWhenUsed/>
    <w:rsid w:val="008A4870"/>
    <w:rPr>
      <w:color w:val="0000FF"/>
      <w:u w:val="single"/>
    </w:rPr>
  </w:style>
  <w:style w:type="paragraph" w:customStyle="1" w:styleId="western">
    <w:name w:val="western"/>
    <w:basedOn w:val="Normln"/>
    <w:rsid w:val="008A4870"/>
    <w:pPr>
      <w:spacing w:before="100" w:after="119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styleId="Normlnweb">
    <w:name w:val="Normal (Web)"/>
    <w:basedOn w:val="Normln"/>
    <w:uiPriority w:val="99"/>
    <w:unhideWhenUsed/>
    <w:rsid w:val="008A4870"/>
    <w:pPr>
      <w:spacing w:before="100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hps">
    <w:name w:val="hps"/>
    <w:rsid w:val="008A4870"/>
  </w:style>
  <w:style w:type="table" w:styleId="Mkatabulky">
    <w:name w:val="Table Grid"/>
    <w:basedOn w:val="Normlntabulka"/>
    <w:uiPriority w:val="59"/>
    <w:rsid w:val="008A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8A4870"/>
  </w:style>
  <w:style w:type="character" w:customStyle="1" w:styleId="eop">
    <w:name w:val="eop"/>
    <w:basedOn w:val="Standardnpsmoodstavce"/>
    <w:rsid w:val="008A4870"/>
  </w:style>
  <w:style w:type="character" w:customStyle="1" w:styleId="C-BodyTextChar">
    <w:name w:val="C-Body Text Char"/>
    <w:link w:val="C-BodyText"/>
    <w:locked/>
    <w:rsid w:val="008A4870"/>
    <w:rPr>
      <w:sz w:val="24"/>
      <w:lang w:val="en-US"/>
    </w:rPr>
  </w:style>
  <w:style w:type="paragraph" w:customStyle="1" w:styleId="C-BodyText">
    <w:name w:val="C-Body Text"/>
    <w:link w:val="C-BodyTextChar"/>
    <w:rsid w:val="008A4870"/>
    <w:pPr>
      <w:spacing w:before="120" w:after="120" w:line="280" w:lineRule="atLeast"/>
    </w:pPr>
    <w:rPr>
      <w:sz w:val="24"/>
      <w:lang w:val="en-US"/>
    </w:rPr>
  </w:style>
  <w:style w:type="paragraph" w:styleId="Bezmezer">
    <w:name w:val="No Spacing"/>
    <w:uiPriority w:val="1"/>
    <w:qFormat/>
    <w:rsid w:val="008A487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aragraph">
    <w:name w:val="Paragraph"/>
    <w:aliases w:val="p"/>
    <w:link w:val="ParagraphChar"/>
    <w:qFormat/>
    <w:rsid w:val="008A4870"/>
    <w:pPr>
      <w:spacing w:before="60" w:after="240" w:line="240" w:lineRule="auto"/>
    </w:pPr>
    <w:rPr>
      <w:rFonts w:ascii="Times New Roman" w:eastAsia="MS Gothic" w:hAnsi="Times New Roman" w:cs="Times New Roman"/>
      <w:sz w:val="24"/>
      <w:szCs w:val="24"/>
      <w:lang w:val="en-US"/>
    </w:rPr>
  </w:style>
  <w:style w:type="character" w:customStyle="1" w:styleId="ParagraphChar">
    <w:name w:val="Paragraph Char"/>
    <w:link w:val="Paragraph"/>
    <w:qFormat/>
    <w:rsid w:val="008A4870"/>
    <w:rPr>
      <w:rFonts w:ascii="Times New Roman" w:eastAsia="MS Gothic" w:hAnsi="Times New Roman" w:cs="Times New Roman"/>
      <w:sz w:val="24"/>
      <w:szCs w:val="24"/>
      <w:lang w:val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A487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A487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BodyChar">
    <w:name w:val="Body Char"/>
    <w:link w:val="Body"/>
    <w:uiPriority w:val="3"/>
    <w:locked/>
    <w:rsid w:val="008A4870"/>
    <w:rPr>
      <w:rFonts w:ascii="Century Gothic" w:eastAsia="MS Mincho" w:hAnsi="Century Gothic" w:cs="Arial"/>
      <w:sz w:val="19"/>
      <w:lang w:val="en-US" w:eastAsia="ja-JP"/>
    </w:rPr>
  </w:style>
  <w:style w:type="paragraph" w:customStyle="1" w:styleId="Body">
    <w:name w:val="Body"/>
    <w:basedOn w:val="Normln"/>
    <w:link w:val="BodyChar"/>
    <w:uiPriority w:val="3"/>
    <w:qFormat/>
    <w:rsid w:val="008A4870"/>
    <w:pPr>
      <w:spacing w:after="240" w:line="240" w:lineRule="auto"/>
    </w:pPr>
    <w:rPr>
      <w:rFonts w:ascii="Century Gothic" w:eastAsia="MS Mincho" w:hAnsi="Century Gothic" w:cs="Arial"/>
      <w:sz w:val="19"/>
      <w:lang w:val="en-US" w:eastAsia="ja-JP"/>
    </w:rPr>
  </w:style>
  <w:style w:type="paragraph" w:customStyle="1" w:styleId="TableTextSpace">
    <w:name w:val="TableText Space"/>
    <w:rsid w:val="008A487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ableText12">
    <w:name w:val="TableText 12"/>
    <w:rsid w:val="008A4870"/>
    <w:rPr>
      <w:rFonts w:ascii="Times New Roman" w:hAnsi="Times New Roman" w:cs="Times New Roman" w:hint="default"/>
      <w:sz w:val="24"/>
    </w:rPr>
  </w:style>
  <w:style w:type="paragraph" w:customStyle="1" w:styleId="Default">
    <w:name w:val="Default"/>
    <w:rsid w:val="008A48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bidi="bn-IN"/>
    </w:rPr>
  </w:style>
  <w:style w:type="character" w:customStyle="1" w:styleId="BMSBodyTextChar">
    <w:name w:val="BMS Body Text Char"/>
    <w:link w:val="BMSBodyText"/>
    <w:locked/>
    <w:rsid w:val="008A4870"/>
    <w:rPr>
      <w:rFonts w:ascii="Times New Roman" w:eastAsia="MS Mincho" w:hAnsi="Times New Roman"/>
      <w:color w:val="000000"/>
      <w:sz w:val="24"/>
    </w:rPr>
  </w:style>
  <w:style w:type="paragraph" w:customStyle="1" w:styleId="BMSBodyText">
    <w:name w:val="BMS Body Text"/>
    <w:link w:val="BMSBodyTextChar"/>
    <w:qFormat/>
    <w:rsid w:val="008A4870"/>
    <w:pPr>
      <w:spacing w:after="120" w:line="264" w:lineRule="auto"/>
      <w:jc w:val="both"/>
    </w:pPr>
    <w:rPr>
      <w:rFonts w:ascii="Times New Roman" w:eastAsia="MS Mincho" w:hAnsi="Times New Roman"/>
      <w:color w:val="000000"/>
      <w:sz w:val="24"/>
    </w:rPr>
  </w:style>
  <w:style w:type="paragraph" w:customStyle="1" w:styleId="C-Footer">
    <w:name w:val="C-Footer"/>
    <w:rsid w:val="008A48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znamsodrkami2">
    <w:name w:val="List Bullet 2"/>
    <w:basedOn w:val="Normln"/>
    <w:rsid w:val="008A4870"/>
    <w:pPr>
      <w:spacing w:after="240" w:line="240" w:lineRule="auto"/>
    </w:pPr>
    <w:rPr>
      <w:rFonts w:ascii="Times New Roman" w:eastAsia="Times New Roman" w:hAnsi="Times New Roman"/>
      <w:snapToGrid w:val="0"/>
      <w:sz w:val="24"/>
      <w:szCs w:val="24"/>
      <w:lang w:val="es-ES_tradnl"/>
    </w:rPr>
  </w:style>
  <w:style w:type="paragraph" w:styleId="Textkomente">
    <w:name w:val="annotation text"/>
    <w:basedOn w:val="Normln"/>
    <w:link w:val="TextkomenteChar"/>
    <w:uiPriority w:val="99"/>
    <w:unhideWhenUsed/>
    <w:rsid w:val="008A4870"/>
    <w:pPr>
      <w:spacing w:after="0" w:line="240" w:lineRule="auto"/>
    </w:pPr>
    <w:rPr>
      <w:rFonts w:ascii="Tahoma" w:eastAsia="SimSun" w:hAnsi="Tahom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4870"/>
    <w:rPr>
      <w:rFonts w:ascii="Tahoma" w:eastAsia="SimSun" w:hAnsi="Tahoma" w:cs="Times New Roman"/>
      <w:sz w:val="20"/>
      <w:szCs w:val="20"/>
    </w:rPr>
  </w:style>
  <w:style w:type="character" w:customStyle="1" w:styleId="SynopsisChar">
    <w:name w:val="Synopsis Char"/>
    <w:link w:val="Synopsis"/>
    <w:semiHidden/>
    <w:locked/>
    <w:rsid w:val="008A4870"/>
    <w:rPr>
      <w:rFonts w:ascii="Arial" w:hAnsi="Arial" w:cs="Arial"/>
    </w:rPr>
  </w:style>
  <w:style w:type="paragraph" w:customStyle="1" w:styleId="Synopsis">
    <w:name w:val="Synopsis"/>
    <w:link w:val="SynopsisChar"/>
    <w:semiHidden/>
    <w:rsid w:val="008A4870"/>
    <w:pPr>
      <w:spacing w:before="40" w:after="40" w:line="240" w:lineRule="auto"/>
      <w:jc w:val="both"/>
    </w:pPr>
    <w:rPr>
      <w:rFonts w:ascii="Arial" w:hAnsi="Arial" w:cs="Arial"/>
    </w:rPr>
  </w:style>
  <w:style w:type="paragraph" w:customStyle="1" w:styleId="TableParagraph">
    <w:name w:val="Table Paragraph"/>
    <w:basedOn w:val="Normln"/>
    <w:uiPriority w:val="1"/>
    <w:qFormat/>
    <w:rsid w:val="008A4870"/>
    <w:pPr>
      <w:widowControl w:val="0"/>
      <w:autoSpaceDE w:val="0"/>
      <w:autoSpaceDN w:val="0"/>
      <w:spacing w:after="0" w:line="210" w:lineRule="exact"/>
      <w:ind w:left="107"/>
    </w:pPr>
    <w:rPr>
      <w:rFonts w:ascii="Arial" w:eastAsia="Arial" w:hAnsi="Arial" w:cs="Arial"/>
      <w:lang w:val="en-US" w:bidi="en-US"/>
    </w:rPr>
  </w:style>
  <w:style w:type="character" w:styleId="Siln">
    <w:name w:val="Strong"/>
    <w:uiPriority w:val="22"/>
    <w:qFormat/>
    <w:rsid w:val="008A4870"/>
    <w:rPr>
      <w:b/>
      <w:bCs/>
    </w:rPr>
  </w:style>
  <w:style w:type="character" w:customStyle="1" w:styleId="YourNameTitleChar">
    <w:name w:val="YourName/Title Char"/>
    <w:basedOn w:val="Standardnpsmoodstavce"/>
    <w:link w:val="YourNameTitle"/>
    <w:uiPriority w:val="7"/>
    <w:locked/>
    <w:rsid w:val="008A4870"/>
    <w:rPr>
      <w:rFonts w:ascii="Century Gothic" w:hAnsi="Century Gothic" w:cs="Arial"/>
      <w:sz w:val="19"/>
      <w:lang w:eastAsia="ja-JP"/>
    </w:rPr>
  </w:style>
  <w:style w:type="paragraph" w:customStyle="1" w:styleId="YourNameTitle">
    <w:name w:val="YourName/Title"/>
    <w:basedOn w:val="Normln"/>
    <w:link w:val="YourNameTitleChar"/>
    <w:uiPriority w:val="7"/>
    <w:qFormat/>
    <w:rsid w:val="008A4870"/>
    <w:pPr>
      <w:spacing w:after="240" w:line="240" w:lineRule="auto"/>
      <w:contextualSpacing/>
    </w:pPr>
    <w:rPr>
      <w:rFonts w:ascii="Century Gothic" w:eastAsiaTheme="minorHAnsi" w:hAnsi="Century Gothic" w:cs="Arial"/>
      <w:sz w:val="19"/>
      <w:lang w:eastAsia="ja-JP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870"/>
    <w:rPr>
      <w:rFonts w:ascii="Segoe UI" w:eastAsia="Times New Roman" w:hAnsi="Segoe UI" w:cs="Segoe UI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87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8629</Words>
  <Characters>50914</Characters>
  <Application>Microsoft Office Word</Application>
  <DocSecurity>0</DocSecurity>
  <Lines>424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Sudolská Iveta</dc:creator>
  <cp:keywords/>
  <dc:description/>
  <cp:lastModifiedBy>Sudolská Iveta</cp:lastModifiedBy>
  <cp:revision>3</cp:revision>
  <cp:lastPrinted>2023-05-18T05:59:00Z</cp:lastPrinted>
  <dcterms:created xsi:type="dcterms:W3CDTF">2023-05-17T11:53:00Z</dcterms:created>
  <dcterms:modified xsi:type="dcterms:W3CDTF">2023-05-18T06:21:00Z</dcterms:modified>
</cp:coreProperties>
</file>