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A7" w:rsidRPr="00EF484D" w:rsidRDefault="005258A7" w:rsidP="00EF48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bookmarkStart w:id="0" w:name="_Hlk108440196"/>
      <w:bookmarkStart w:id="1" w:name="_Hlk145938778"/>
      <w:bookmarkStart w:id="2" w:name="_Hlk145401212"/>
      <w:bookmarkStart w:id="3" w:name="_Hlk97883088"/>
      <w:bookmarkStart w:id="4" w:name="_Hlk137630189"/>
      <w:r w:rsidRPr="00EF484D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5258A7" w:rsidRPr="00EF484D" w:rsidRDefault="005258A7" w:rsidP="00EF484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EF484D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č.1/202</w:t>
      </w:r>
      <w:r w:rsidR="00EF484D" w:rsidRPr="00EF484D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4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1</w:t>
      </w:r>
      <w:r w:rsidR="00EF484D"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5.1.2024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-  od  13.30 hod. –  16.</w:t>
      </w:r>
      <w:r w:rsidR="00641440">
        <w:rPr>
          <w:rFonts w:ascii="Times New Roman" w:eastAsia="Times New Roman" w:hAnsi="Times New Roman"/>
          <w:sz w:val="18"/>
          <w:szCs w:val="18"/>
          <w:lang w:eastAsia="cs-CZ"/>
        </w:rPr>
        <w:t>3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>0 hod.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K, FNOL  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EF484D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MUDr.J.Burešová, </w:t>
      </w:r>
      <w:r w:rsidR="00EF484D"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doc.MUDr.J.Zapletalová,Ph.D., doc.MUDr.et Mgr. Jiří  </w:t>
      </w:r>
    </w:p>
    <w:p w:rsidR="00EF484D" w:rsidRPr="00EF484D" w:rsidRDefault="00EF484D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Minařík,Ph.D.</w:t>
      </w:r>
      <w:r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,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>MUDr.L.Kvapil, MUDr. Josef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>Srovnal, Ph.D.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>,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Iveta Sudolská, Věra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>Bartlová,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PharmDr.T.Anděl, Ph.D., A..Holá, </w:t>
      </w:r>
      <w:r w:rsidR="005258A7"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prof. MUDr.Karel Indrák, Dr.Sc.,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 </w:t>
      </w:r>
    </w:p>
    <w:p w:rsidR="00EF484D" w:rsidRPr="00EF484D" w:rsidRDefault="00EF484D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>MUDr.Karel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>Cwiertka,Ph.D</w:t>
      </w:r>
      <w:r w:rsidR="00950FA6">
        <w:rPr>
          <w:rFonts w:ascii="Times New Roman" w:eastAsia="Times New Roman" w:hAnsi="Times New Roman"/>
          <w:sz w:val="18"/>
          <w:szCs w:val="18"/>
          <w:lang w:eastAsia="cs-CZ"/>
        </w:rPr>
        <w:t xml:space="preserve">.,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Pavel Stuška, ThLic, Ph.D., doc.MUDr.L.Stárková, </w:t>
      </w:r>
    </w:p>
    <w:p w:rsidR="005258A7" w:rsidRPr="00EF484D" w:rsidRDefault="00EF484D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="005258A7" w:rsidRPr="00EF484D">
        <w:rPr>
          <w:rFonts w:ascii="Times New Roman" w:eastAsia="Times New Roman" w:hAnsi="Times New Roman"/>
          <w:sz w:val="18"/>
          <w:szCs w:val="18"/>
          <w:lang w:eastAsia="cs-CZ"/>
        </w:rPr>
        <w:t>CSc.</w:t>
      </w:r>
      <w:r w:rsidR="00950FA6"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="00950FA6" w:rsidRPr="00EF484D">
        <w:rPr>
          <w:rFonts w:ascii="Times New Roman" w:eastAsia="Times New Roman" w:hAnsi="Times New Roman"/>
          <w:sz w:val="18"/>
          <w:szCs w:val="18"/>
          <w:lang w:eastAsia="cs-CZ"/>
        </w:rPr>
        <w:t>MUDr. et PhDr.L.Hansmanová, Ph.D., MUDr.Jan Strojil,Ph.D.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</w:t>
      </w:r>
      <w:r w:rsidR="00950FA6">
        <w:rPr>
          <w:rFonts w:ascii="Times New Roman" w:eastAsia="Times New Roman" w:hAnsi="Times New Roman"/>
          <w:b/>
          <w:sz w:val="18"/>
          <w:szCs w:val="18"/>
          <w:lang w:eastAsia="cs-CZ"/>
        </w:rPr>
        <w:t>---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</w:t>
      </w:r>
    </w:p>
    <w:bookmarkEnd w:id="0"/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 MUDr.J.Burešová 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bookmarkEnd w:id="1"/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2"/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3"/>
    <w:bookmarkEnd w:id="4"/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EF484D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5" w:name="_Hlk153184763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>:</w:t>
      </w:r>
      <w:r w:rsidRPr="00EF484D">
        <w:rPr>
          <w:rFonts w:ascii="Times New Roman" w:hAnsi="Times New Roman"/>
          <w:b/>
          <w:sz w:val="18"/>
          <w:szCs w:val="18"/>
        </w:rPr>
        <w:t xml:space="preserve">  166/23</w:t>
      </w:r>
    </w:p>
    <w:p w:rsidR="00EF484D" w:rsidRDefault="00EF484D" w:rsidP="00EF484D">
      <w:pPr>
        <w:spacing w:after="0" w:line="240" w:lineRule="auto"/>
        <w:ind w:left="2880" w:hanging="2880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EF484D">
        <w:rPr>
          <w:rFonts w:ascii="Times New Roman" w:hAnsi="Times New Roman"/>
          <w:sz w:val="18"/>
          <w:szCs w:val="18"/>
        </w:rPr>
        <w:t>Genderová dysforie u dětí a dospívajících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ind w:left="2880" w:hanging="2880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1/24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Observační prospektivní, kohortová studie hodnotící bezpečnost přípravku Remsina®, podávaného subkutánně u pacientů s revmatoidní artritidou, ankylozující spondylitidou, psoriatrickou artritidou a psoriázou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CT-P13 4.8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N/A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2/24</w:t>
      </w:r>
      <w:r w:rsidR="00F908E0">
        <w:rPr>
          <w:rFonts w:ascii="Times New Roman" w:hAnsi="Times New Roman"/>
          <w:b/>
          <w:sz w:val="18"/>
          <w:szCs w:val="18"/>
        </w:rPr>
        <w:t xml:space="preserve"> / ZP 1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Otevřené, randomizované, kontrolované klinické hodnocení fáze 3 hodnotící disitamab vedotin v kombinaci s pembrolizumabem oproti chemoterapii u subjektů s dříve neléčeným lokálně pokročilým nebo metastatickým uroteliálním karcinomem, který exprimuje HER2 (IHC 1+ a vyšší)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SGNDV-001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sz w:val="18"/>
          <w:szCs w:val="18"/>
        </w:rPr>
        <w:t>EUDAMED (PS-ID):</w:t>
      </w:r>
      <w:r w:rsidRPr="00EF484D">
        <w:rPr>
          <w:rFonts w:ascii="Times New Roman" w:hAnsi="Times New Roman"/>
          <w:sz w:val="18"/>
          <w:szCs w:val="18"/>
        </w:rPr>
        <w:t xml:space="preserve"> CIV-23-08-043815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B14E1" w:rsidRDefault="002B14E1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>:</w:t>
      </w:r>
      <w:r w:rsidRPr="00EF484D">
        <w:rPr>
          <w:rFonts w:ascii="Times New Roman" w:hAnsi="Times New Roman"/>
          <w:b/>
          <w:sz w:val="18"/>
          <w:szCs w:val="18"/>
        </w:rPr>
        <w:t xml:space="preserve">  3/24</w:t>
      </w:r>
    </w:p>
    <w:p w:rsidR="00EF484D" w:rsidRPr="00EF484D" w:rsidRDefault="00EF484D" w:rsidP="00EF484D">
      <w:pPr>
        <w:spacing w:after="0" w:line="240" w:lineRule="auto"/>
        <w:ind w:left="2880" w:hanging="2880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EF484D">
        <w:rPr>
          <w:rFonts w:ascii="Times New Roman" w:hAnsi="Times New Roman"/>
          <w:sz w:val="18"/>
          <w:szCs w:val="18"/>
        </w:rPr>
        <w:t xml:space="preserve"> Comparing the efficiency of two prophylactic approaches in patients at </w:t>
      </w:r>
    </w:p>
    <w:p w:rsidR="00EF484D" w:rsidRPr="00EF484D" w:rsidRDefault="00EF484D" w:rsidP="002B14E1">
      <w:pPr>
        <w:spacing w:after="0" w:line="240" w:lineRule="auto"/>
        <w:ind w:left="2880" w:hanging="2880"/>
        <w:jc w:val="both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t>risk of developing Intraoperative Floppy Iris Syndrome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>:</w:t>
      </w:r>
      <w:r w:rsidRPr="00EF484D">
        <w:rPr>
          <w:rFonts w:ascii="Times New Roman" w:hAnsi="Times New Roman"/>
          <w:b/>
          <w:sz w:val="18"/>
          <w:szCs w:val="18"/>
        </w:rPr>
        <w:t xml:space="preserve">  4/24</w:t>
      </w:r>
    </w:p>
    <w:p w:rsidR="00EF484D" w:rsidRPr="00EF484D" w:rsidRDefault="00EF484D" w:rsidP="00B740A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EF484D">
        <w:rPr>
          <w:rFonts w:ascii="Times New Roman" w:hAnsi="Times New Roman"/>
          <w:sz w:val="18"/>
          <w:szCs w:val="18"/>
        </w:rPr>
        <w:t xml:space="preserve">Rizikové a protektivní faktory zhoubného novotvaru pankreatu – </w:t>
      </w:r>
    </w:p>
    <w:p w:rsidR="00EF484D" w:rsidRPr="00EF484D" w:rsidRDefault="00EF484D" w:rsidP="00EF484D">
      <w:pPr>
        <w:spacing w:after="0" w:line="240" w:lineRule="auto"/>
        <w:ind w:left="2880" w:hanging="2880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t>epidemiologická studie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>:</w:t>
      </w:r>
      <w:r w:rsidRPr="00EF484D">
        <w:rPr>
          <w:rFonts w:ascii="Times New Roman" w:hAnsi="Times New Roman"/>
          <w:b/>
          <w:sz w:val="18"/>
          <w:szCs w:val="18"/>
        </w:rPr>
        <w:t xml:space="preserve">  5/24</w:t>
      </w:r>
    </w:p>
    <w:p w:rsidR="00EF484D" w:rsidRPr="00EF484D" w:rsidRDefault="00EF484D" w:rsidP="00950FA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EF484D">
        <w:rPr>
          <w:rFonts w:ascii="Times New Roman" w:hAnsi="Times New Roman"/>
          <w:sz w:val="18"/>
          <w:szCs w:val="18"/>
        </w:rPr>
        <w:t xml:space="preserve"> Vyšetření respiračních svalů a vliv jejich síly na sportovní výkon</w:t>
      </w:r>
    </w:p>
    <w:p w:rsidR="00EF484D" w:rsidRPr="00EF484D" w:rsidRDefault="00EF484D" w:rsidP="00EF484D">
      <w:pPr>
        <w:spacing w:after="0" w:line="240" w:lineRule="auto"/>
        <w:ind w:left="2880" w:hanging="2880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t>zdraví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F908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>:</w:t>
      </w:r>
      <w:r w:rsidRPr="00EF484D">
        <w:rPr>
          <w:rFonts w:ascii="Times New Roman" w:hAnsi="Times New Roman"/>
          <w:b/>
          <w:sz w:val="18"/>
          <w:szCs w:val="18"/>
        </w:rPr>
        <w:t xml:space="preserve">  6/24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EF484D">
        <w:rPr>
          <w:rFonts w:ascii="Times New Roman" w:hAnsi="Times New Roman"/>
          <w:sz w:val="18"/>
          <w:szCs w:val="18"/>
        </w:rPr>
        <w:t xml:space="preserve"> Oxidativní stres, lipidomická a metabolomická analýza u dětských pacientů s nespecifickým střevním zánětem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>:</w:t>
      </w:r>
      <w:r w:rsidRPr="00EF484D">
        <w:rPr>
          <w:rFonts w:ascii="Times New Roman" w:hAnsi="Times New Roman"/>
          <w:b/>
          <w:sz w:val="18"/>
          <w:szCs w:val="18"/>
        </w:rPr>
        <w:t xml:space="preserve">  7/24</w:t>
      </w:r>
    </w:p>
    <w:p w:rsidR="00EF484D" w:rsidRPr="00EF484D" w:rsidRDefault="00EF484D" w:rsidP="00F908E0">
      <w:pPr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</w:rPr>
        <w:t>Hodnocení radikality resekce gliomů</w:t>
      </w:r>
      <w:r w:rsidRPr="00EF484D">
        <w:rPr>
          <w:rFonts w:ascii="Times New Roman" w:hAnsi="Times New Roman"/>
          <w:sz w:val="18"/>
          <w:szCs w:val="18"/>
          <w:shd w:val="clear" w:color="auto" w:fill="FFFFFF"/>
        </w:rPr>
        <w:t xml:space="preserve">. Retrospektivní studie </w:t>
      </w:r>
    </w:p>
    <w:p w:rsidR="00EF484D" w:rsidRPr="00EF484D" w:rsidRDefault="00EF484D" w:rsidP="00EF484D">
      <w:pPr>
        <w:spacing w:after="0" w:line="240" w:lineRule="auto"/>
        <w:ind w:left="2880" w:hanging="2880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  <w:shd w:val="clear" w:color="auto" w:fill="FFFFFF"/>
        </w:rPr>
        <w:t>(retrospektivní vědecký článek)</w:t>
      </w:r>
      <w:r w:rsidRPr="00EF484D">
        <w:rPr>
          <w:rFonts w:ascii="Times New Roman" w:hAnsi="Times New Roman"/>
          <w:sz w:val="18"/>
          <w:szCs w:val="18"/>
          <w:shd w:val="clear" w:color="auto" w:fill="FFFFFF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908E0" w:rsidRPr="00EF484D" w:rsidRDefault="00F908E0" w:rsidP="00F908E0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EF484D">
        <w:rPr>
          <w:rFonts w:ascii="Times New Roman" w:hAnsi="Times New Roman"/>
          <w:b/>
          <w:bCs/>
          <w:sz w:val="18"/>
          <w:szCs w:val="18"/>
          <w:u w:val="single"/>
        </w:rPr>
        <w:t>DODATKY: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181/15</w:t>
      </w:r>
    </w:p>
    <w:p w:rsidR="00F908E0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Indukční a konsolidační léčba pomalidomidem kombinovaným s carfilzomibem a dexamethasonem, s následnou udržovací léčbou pomalidomidem nebo pomalidomidem v kombinaci s dexamethasonem pro pacienty s mnohočetným myelomem progredující po první linii léčby lenalidomidem a bortezomibem </w:t>
      </w:r>
      <w:r w:rsidRPr="00EF484D">
        <w:rPr>
          <w:rFonts w:ascii="Times New Roman" w:hAnsi="Times New Roman"/>
          <w:bCs/>
          <w:sz w:val="18"/>
          <w:szCs w:val="18"/>
        </w:rPr>
        <w:tab/>
      </w:r>
      <w:r w:rsidRPr="00EF484D">
        <w:rPr>
          <w:rFonts w:ascii="Times New Roman" w:hAnsi="Times New Roman"/>
          <w:bCs/>
          <w:sz w:val="18"/>
          <w:szCs w:val="18"/>
        </w:rPr>
        <w:tab/>
      </w:r>
    </w:p>
    <w:p w:rsidR="00EF484D" w:rsidRPr="00F908E0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EMN11 / HOVON 114 MM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2013-003265-34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116/19</w:t>
      </w:r>
    </w:p>
    <w:p w:rsidR="00F908E0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  <w:u w:color="222222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u w:color="222222"/>
        </w:rPr>
        <w:t>M</w:t>
      </w:r>
      <w:r w:rsidRPr="00EF484D">
        <w:rPr>
          <w:rFonts w:ascii="Times New Roman" w:hAnsi="Times New Roman"/>
          <w:bCs/>
          <w:sz w:val="18"/>
          <w:szCs w:val="18"/>
          <w:u w:color="222222"/>
          <w:lang w:val="en-US"/>
        </w:rPr>
        <w:t>ulticentrick</w:t>
      </w:r>
      <w:r w:rsidRPr="00EF484D">
        <w:rPr>
          <w:rFonts w:ascii="Times New Roman" w:hAnsi="Times New Roman"/>
          <w:bCs/>
          <w:sz w:val="18"/>
          <w:szCs w:val="18"/>
          <w:u w:color="222222"/>
        </w:rPr>
        <w:t>á, randomizovaná, otevřená studie fáze II srovnávající daratumumab v kombinaci s bortezomibem-cyklofosfamidem-d</w:t>
      </w:r>
      <w:r w:rsidRPr="00EF484D">
        <w:rPr>
          <w:rFonts w:ascii="Times New Roman" w:hAnsi="Times New Roman"/>
          <w:bCs/>
          <w:sz w:val="18"/>
          <w:szCs w:val="18"/>
          <w:u w:color="222222"/>
          <w:lang w:val="es-ES_tradnl"/>
        </w:rPr>
        <w:t>exametasonem</w:t>
      </w:r>
      <w:r w:rsidRPr="00EF484D">
        <w:rPr>
          <w:rFonts w:ascii="Times New Roman" w:hAnsi="Times New Roman"/>
          <w:bCs/>
          <w:sz w:val="18"/>
          <w:szCs w:val="18"/>
          <w:u w:color="222222"/>
        </w:rPr>
        <w:t xml:space="preserve"> (Dara-VCd) oproti bortezomibu-thalidomidu-dexametasonu (VTd) jako indukční pretransplantační a konsolidační potransplantační léčbě, obě ramena jsou následována udržovací léč</w:t>
      </w:r>
      <w:r w:rsidRPr="00EF484D">
        <w:rPr>
          <w:rFonts w:ascii="Times New Roman" w:hAnsi="Times New Roman"/>
          <w:bCs/>
          <w:sz w:val="18"/>
          <w:szCs w:val="18"/>
          <w:u w:color="222222"/>
          <w:lang w:val="en-US"/>
        </w:rPr>
        <w:t>bou</w:t>
      </w:r>
      <w:r w:rsidRPr="00EF484D">
        <w:rPr>
          <w:rFonts w:ascii="Times New Roman" w:hAnsi="Times New Roman"/>
          <w:bCs/>
          <w:sz w:val="18"/>
          <w:szCs w:val="18"/>
          <w:u w:color="222222"/>
        </w:rPr>
        <w:t xml:space="preserve"> ixazomibem (Ixa) v monoterapii nebo ixazomibem v kombinaci s daratumumabem u nově diagnostikovaných mladých pacientů s mnohočetným myelomem (MM) vhodný</w:t>
      </w:r>
      <w:r w:rsidRPr="00EF484D">
        <w:rPr>
          <w:rFonts w:ascii="Times New Roman" w:hAnsi="Times New Roman"/>
          <w:bCs/>
          <w:sz w:val="18"/>
          <w:szCs w:val="18"/>
          <w:u w:color="222222"/>
          <w:lang w:val="it-IT"/>
        </w:rPr>
        <w:t>ch pro autologn</w:t>
      </w:r>
      <w:r w:rsidRPr="00EF484D">
        <w:rPr>
          <w:rFonts w:ascii="Times New Roman" w:hAnsi="Times New Roman"/>
          <w:bCs/>
          <w:sz w:val="18"/>
          <w:szCs w:val="18"/>
          <w:u w:color="222222"/>
        </w:rPr>
        <w:t>í transplantaci kmenových buněk (ASCT)</w:t>
      </w:r>
      <w:r w:rsidRPr="00EF484D">
        <w:rPr>
          <w:rFonts w:ascii="Times New Roman" w:hAnsi="Times New Roman"/>
          <w:bCs/>
          <w:sz w:val="18"/>
          <w:szCs w:val="18"/>
          <w:u w:color="222222"/>
        </w:rPr>
        <w:tab/>
      </w:r>
    </w:p>
    <w:p w:rsidR="00EF484D" w:rsidRPr="00F908E0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EMN18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2018-002089-37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28/19</w:t>
      </w:r>
    </w:p>
    <w:p w:rsidR="00F908E0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Otevřené, jednoramenné, multicentrické prodloužené klinické hodnocení dlouhodobé bezpečnosti, snášenlivosti a účinnosti ofatumumabu u pacientů s relabující roztroušenou sklerózou</w:t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COMB157G2399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2017-004703-51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 xml:space="preserve"> 98/19 MEK 10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Randomizovaná studie fáze IIIb hodnotící léčbu samotným nivolumabem, kombinací nivolumabu a ipilimumabu nebo chemoterapií dle výběru zkoušejícího u pacientů s metastatickým kolorektálním karcinomem s vysokou mírou mikrosatelitové instability (MSI-H) nebo deficitem MMR (dMMR)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CA209-8HW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2018-000040-26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165/19</w:t>
      </w:r>
    </w:p>
    <w:p w:rsidR="00EF484D" w:rsidRPr="00EF484D" w:rsidRDefault="00EF484D" w:rsidP="00F908E0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Multicentrická, randomizovaná, nezaslepená klinická studie fáze 3 porovnávající LOXO-292 s cabozantinibem nebo vandetanibem dle výběru lékaře, u pacientů s progresivním, pokročilým medulárním karcinomem štítné žlázy s mutací RET, dosud neléčeným inhibitorem kináz (LIBRETTO-531) 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J2G-MC-JZJB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2019-001978-28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74/20 MEK 12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Randomizované, dvojitě zaslepené klinické hodnocení fáze III, zkoumající kombinaci přípravku pembrolizumab (MK-3475) a chemoterapie oproti kombinaci placeba a chemoterapie v léčbě první linie u účastníků s HER2 negativním, doposud neléčeným neresekabilním/neodstranitelným nebo metastatickým adenokarcinomem žaludku nebo gastroesofageální junkce (GEJ) (KEYNOTE-859)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MK-3475-859</w:t>
      </w:r>
      <w:r w:rsidRPr="00EF484D">
        <w:rPr>
          <w:rFonts w:ascii="Times New Roman" w:hAnsi="Times New Roman"/>
          <w:b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2018-001757-27</w:t>
      </w:r>
      <w:r w:rsidRPr="00EF484D">
        <w:rPr>
          <w:rFonts w:ascii="Times New Roman" w:hAnsi="Times New Roman"/>
          <w:b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115/20</w:t>
      </w:r>
    </w:p>
    <w:p w:rsidR="00EF484D" w:rsidRPr="00EF484D" w:rsidRDefault="00EF484D" w:rsidP="00EF484D">
      <w:pPr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/>
          <w:bCs/>
          <w:sz w:val="18"/>
          <w:szCs w:val="18"/>
        </w:rPr>
        <w:t>:</w:t>
      </w:r>
      <w:r w:rsidRPr="00EF484D">
        <w:rPr>
          <w:rFonts w:ascii="Times New Roman" w:hAnsi="Times New Roman"/>
          <w:i/>
          <w:iCs/>
          <w:color w:val="000000"/>
          <w:sz w:val="18"/>
          <w:szCs w:val="18"/>
        </w:rPr>
        <w:t xml:space="preserve">  </w:t>
      </w:r>
      <w:r w:rsidRPr="00EF484D">
        <w:rPr>
          <w:rFonts w:ascii="Times New Roman" w:hAnsi="Times New Roman"/>
          <w:iCs/>
          <w:color w:val="000000"/>
          <w:sz w:val="18"/>
          <w:szCs w:val="18"/>
        </w:rPr>
        <w:t>Prospektivní validační studie proteinových biomarkerů rakoviny plic v dechového kondenzátu v pilotním skríninku ultranízkodávkovaným CT u pacientů se zvýšeným rizikem bronchogenního karcinomu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176/20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Dvojitě zaslepené, placebem kontrolované, multicentrické klinické hodnocení fáze 3 porovnávající chemoimunoterapii (paklitaxel-karboplatina-oregovomab) oproti chemoterapii (paklitaxel-karboplatina-placebo) u pacientek s pokročilým epiteliálním karcinomem vaječníku, karcinomem vejcovodu nebo peritoneálním karcinomem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QPT-ORE-005 (verze 2.0; 24.června 2020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2020-002270-26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36/21 MEK 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Otevřená multicentrická prodloužená studie u pacientů dříve zařazených do studie atezolizumabu, jejímž zadavatelem je společnost  Genentech a/nebo F.Hoffmann-La Roche Ltd. (Imbrella b)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B040729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2018-003352-20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83/21</w:t>
      </w:r>
    </w:p>
    <w:p w:rsidR="00EF484D" w:rsidRPr="00EF484D" w:rsidRDefault="00EF484D" w:rsidP="00EF484D">
      <w:pPr>
        <w:spacing w:after="0" w:line="240" w:lineRule="auto"/>
        <w:ind w:right="72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color w:val="000000"/>
          <w:sz w:val="18"/>
          <w:szCs w:val="18"/>
        </w:rPr>
        <w:t xml:space="preserve">Jednoramenná multicentrická mezinárodní studie fáze IIIb hodnotící durvalumab v kombinaci s platinou a etoposidem v léčbě první linie u pacientů s malobuněčným karcinomem plic v pokročilém stádiu (LUMINANCE)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D419QC00007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2020-005537-32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191/21 MEK 23</w:t>
      </w:r>
    </w:p>
    <w:p w:rsidR="00EF484D" w:rsidRPr="00EF484D" w:rsidRDefault="00EF484D" w:rsidP="00EF484D">
      <w:pPr>
        <w:spacing w:after="0" w:line="240" w:lineRule="auto"/>
        <w:ind w:left="67" w:right="6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Nezaslepená, multicentrická studie s jedním ramenem a dvěma kohortami hodnotící</w:t>
      </w:r>
      <w:r w:rsidRPr="00EF484D">
        <w:rPr>
          <w:rFonts w:ascii="Times New Roman" w:hAnsi="Times New Roman"/>
          <w:bCs/>
          <w:spacing w:val="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účinnost, bezpečnost a snášenlivost, farmakokinetiku (FK) a farmakodynamiku (FD)</w:t>
      </w:r>
      <w:r w:rsidRPr="00EF484D">
        <w:rPr>
          <w:rFonts w:ascii="Times New Roman" w:hAnsi="Times New Roman"/>
          <w:bCs/>
          <w:spacing w:val="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emapalumabu u dětí a dospělých se syndromem aktivovaných makrofágů (MAS) u</w:t>
      </w:r>
      <w:r w:rsidRPr="00EF484D">
        <w:rPr>
          <w:rFonts w:ascii="Times New Roman" w:hAnsi="Times New Roman"/>
          <w:bCs/>
          <w:spacing w:val="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Stillovy choroby (včetně systémové juvenilní idiopatické artritidy a Stillovy choroby</w:t>
      </w:r>
      <w:r w:rsidRPr="00EF484D">
        <w:rPr>
          <w:rFonts w:ascii="Times New Roman" w:hAnsi="Times New Roman"/>
          <w:bCs/>
          <w:spacing w:val="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dospělých)</w:t>
      </w:r>
      <w:r w:rsidRPr="00EF484D">
        <w:rPr>
          <w:rFonts w:ascii="Times New Roman" w:hAnsi="Times New Roman"/>
          <w:bCs/>
          <w:spacing w:val="-2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nebo</w:t>
      </w:r>
      <w:r w:rsidRPr="00EF484D">
        <w:rPr>
          <w:rFonts w:ascii="Times New Roman" w:hAnsi="Times New Roman"/>
          <w:bCs/>
          <w:spacing w:val="-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se</w:t>
      </w:r>
      <w:r w:rsidRPr="00EF484D">
        <w:rPr>
          <w:rFonts w:ascii="Times New Roman" w:hAnsi="Times New Roman"/>
          <w:bCs/>
          <w:spacing w:val="-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syndromem MAS</w:t>
      </w:r>
      <w:r w:rsidRPr="00EF484D">
        <w:rPr>
          <w:rFonts w:ascii="Times New Roman" w:hAnsi="Times New Roman"/>
          <w:bCs/>
          <w:spacing w:val="-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>u systémového</w:t>
      </w:r>
      <w:r w:rsidRPr="00EF484D">
        <w:rPr>
          <w:rFonts w:ascii="Times New Roman" w:hAnsi="Times New Roman"/>
          <w:bCs/>
          <w:spacing w:val="-1"/>
          <w:sz w:val="18"/>
          <w:szCs w:val="18"/>
          <w:lang w:val="en-US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  <w:lang w:val="en-US"/>
        </w:rPr>
        <w:t xml:space="preserve">lupus erythematodes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NI-0501-14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2021-001577-24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6" w:name="_Hlk107386763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210/21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Randomizované, dvojitě zaslepené klinické hodnocení fáze 3, kontrolované účinným srovnávacím přípravkem, porovnávající přípravek CPI-0610 a ruxolitinib s placebem a ruxolitinibem u pacientů s MF dosud neléčených JAKi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CPI 0610-04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2020-001989-10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lastRenderedPageBreak/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6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218/21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bCs/>
          <w:sz w:val="18"/>
          <w:szCs w:val="18"/>
          <w:lang w:val="sk-SK"/>
        </w:rPr>
        <w:t>Víceramenná studie fáze 2 hodnotící kombinace magrolimabu u pacientů s relabujícím/refrakterním mnohočetným myelomem</w:t>
      </w:r>
      <w:r w:rsidRPr="00EF484D">
        <w:rPr>
          <w:rFonts w:ascii="Times New Roman" w:hAnsi="Times New Roman"/>
          <w:bCs/>
          <w:sz w:val="18"/>
          <w:szCs w:val="18"/>
        </w:rPr>
        <w:t xml:space="preserve"> </w:t>
      </w:r>
      <w:r w:rsidR="00F82AA9" w:rsidRPr="00EF484D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GS-US-558-5915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2021-001798-21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5/22 MEK 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Multicentrická, randomizovaná, dvojitě zaslepená, placebem kontrolovaná studie fáze 3 hodnotící účinnost a bezpečnost mitapivatu u pediatrických pacientů s deficitem pyruvátkinázy, kteří podstupují pravidelnou transfúzi, následovaná pětiletým otevřeným prodlouženým obdobím (studie AG348-C-.022)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AG348-C-022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2021-003265-36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7" w:name="_Hlk99955803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51/22</w:t>
      </w:r>
    </w:p>
    <w:p w:rsidR="00F82AA9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Multicentrické, otevřené klinické hodnocení fáze 1b/2 zaměřené na genetické mutace v nádorech bez ohledu na jejich lokalitu (tzv. „basket study“) k vyhodnocení bezpečnosti a účinnosti monoterapie bemarituzumabem u solidních nádorů s overexpresí FGFR2b (FORTITUDE-301) 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F82AA9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20210104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2021-006386-38</w:t>
      </w:r>
    </w:p>
    <w:bookmarkEnd w:id="7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62/22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eastAsia="Arial" w:hAnsi="Times New Roman"/>
          <w:sz w:val="18"/>
          <w:szCs w:val="18"/>
          <w:lang w:bidi="cs-CZ"/>
        </w:rPr>
        <w:t>Randomizované, dvojitě zaslepené, multicentrické, multinárodní, placebem kontrolované, paralelně uspořádané, adaptivní klinické hodnocení s podáním jedné dávky, zkoumající účinnost a bezpečnost glenzocimabu jako přídatné léčby navíc ke standardní léčbě v průběhu 4,5 hodiny po akutní ischemické cévní mozkové příhodě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ACT-CS-005 (ACTISAVE)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2021-002148-56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140/22</w:t>
      </w:r>
    </w:p>
    <w:p w:rsidR="00F82AA9" w:rsidRDefault="00EF484D" w:rsidP="00F82A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Randomizované klinické hodnocení fáze 3 porovnávající teclistamab v kombinaci s daratumumabem s.c. a lenalidomidem (Tec-DR) proti daratumumabu s.c., lenalidomidu a dexametazonu (DRd) u účastníků s nově diagnostikovaným mnohočetným myelomem, kteří nejsou buď způsobilí, nebo vhodní pro autologní transplantaci kmenových buněk jako počáteční terapii (MajesTEC-7)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F82AA9" w:rsidRDefault="00EF484D" w:rsidP="00F82AA9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F82AA9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F82AA9">
        <w:rPr>
          <w:rFonts w:ascii="Times New Roman" w:hAnsi="Times New Roman"/>
          <w:i/>
          <w:sz w:val="18"/>
          <w:szCs w:val="18"/>
        </w:rPr>
        <w:t>Protocol Code Number</w:t>
      </w:r>
      <w:r w:rsidRPr="00F82AA9">
        <w:rPr>
          <w:rFonts w:ascii="Times New Roman" w:hAnsi="Times New Roman"/>
          <w:sz w:val="18"/>
          <w:szCs w:val="18"/>
        </w:rPr>
        <w:t xml:space="preserve">: </w:t>
      </w:r>
      <w:bookmarkStart w:id="8" w:name="_Hlk500424933"/>
      <w:sdt>
        <w:sdtPr>
          <w:rPr>
            <w:rFonts w:ascii="Times New Roman" w:hAnsi="Times New Roman"/>
            <w:sz w:val="18"/>
            <w:szCs w:val="18"/>
          </w:rPr>
          <w:alias w:val="ProtocolNumber"/>
          <w:tag w:val="ProtocolNumber"/>
          <w:id w:val="23214316"/>
          <w:placeholder>
            <w:docPart w:val="4C2AD96D66FC49B8A2A6CC6B97D605F3"/>
          </w:placeholder>
          <w:dataBinding w:xpath="/root[1]/ProtocolNumber[1]" w:storeItemID="{291E4D77-01E7-4FFA-B63C-97DDF58E5922}"/>
          <w:text/>
        </w:sdtPr>
        <w:sdtEndPr/>
        <w:sdtContent>
          <w:r w:rsidRPr="00F82AA9">
            <w:rPr>
              <w:rFonts w:ascii="Times New Roman" w:hAnsi="Times New Roman"/>
              <w:sz w:val="18"/>
              <w:szCs w:val="18"/>
            </w:rPr>
            <w:t>64007957MMY3005</w:t>
          </w:r>
        </w:sdtContent>
      </w:sdt>
    </w:p>
    <w:bookmarkEnd w:id="8"/>
    <w:p w:rsidR="00EF484D" w:rsidRPr="00F82AA9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2AA9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F82AA9">
        <w:rPr>
          <w:rFonts w:ascii="Times New Roman" w:hAnsi="Times New Roman"/>
          <w:i/>
          <w:sz w:val="18"/>
          <w:szCs w:val="18"/>
        </w:rPr>
        <w:t>EudraCT number</w:t>
      </w:r>
      <w:r w:rsidRPr="00F82AA9">
        <w:rPr>
          <w:rFonts w:ascii="Times New Roman" w:hAnsi="Times New Roman"/>
          <w:sz w:val="18"/>
          <w:szCs w:val="18"/>
        </w:rPr>
        <w:t>: 2022-000909-28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9" w:name="_Hlk119659813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173/22</w:t>
      </w:r>
    </w:p>
    <w:p w:rsidR="00EF484D" w:rsidRPr="00EF484D" w:rsidRDefault="00EF484D" w:rsidP="00F82AA9">
      <w:pPr>
        <w:pStyle w:val="Default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 w:cs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 w:cs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 w:cs="Times New Roman"/>
          <w:bCs/>
          <w:sz w:val="18"/>
          <w:szCs w:val="18"/>
        </w:rPr>
        <w:t xml:space="preserve">: </w:t>
      </w:r>
      <w:bookmarkStart w:id="10" w:name="_Hlk117248239"/>
      <w:r w:rsidRPr="00EF484D">
        <w:rPr>
          <w:rFonts w:ascii="Times New Roman" w:hAnsi="Times New Roman" w:cs="Times New Roman"/>
          <w:bCs/>
          <w:sz w:val="18"/>
          <w:szCs w:val="18"/>
        </w:rPr>
        <w:t xml:space="preserve">Diagnostický protokol pro test VENTANA FGFR2b (FPR2-D) RxDx Assay ve studii 20210098 společnosti Amgen </w:t>
      </w:r>
      <w:bookmarkEnd w:id="10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RD006180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N/A</w:t>
      </w:r>
    </w:p>
    <w:bookmarkEnd w:id="9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>:</w:t>
      </w:r>
      <w:r w:rsidRPr="00EF484D">
        <w:rPr>
          <w:rFonts w:ascii="Times New Roman" w:hAnsi="Times New Roman"/>
          <w:b/>
          <w:sz w:val="18"/>
          <w:szCs w:val="18"/>
        </w:rPr>
        <w:t xml:space="preserve">  71/22</w:t>
      </w:r>
    </w:p>
    <w:p w:rsidR="00F82AA9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EF484D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bookmarkStart w:id="11" w:name="_Hlk102549650"/>
      <w:r w:rsidRPr="00EF484D">
        <w:rPr>
          <w:rFonts w:ascii="Times New Roman" w:hAnsi="Times New Roman"/>
          <w:sz w:val="18"/>
          <w:szCs w:val="18"/>
        </w:rPr>
        <w:t>Prehabilitace u pacientek s gynekologickými malignitami plánované k odložené operační léčbě. Prospektivní randomizovaná studie PHOCUS (PreHabilitatiOn in gynaecological Cancer patients)</w:t>
      </w:r>
      <w:r w:rsidRPr="00EF484D">
        <w:rPr>
          <w:rFonts w:ascii="Times New Roman" w:hAnsi="Times New Roman"/>
          <w:sz w:val="18"/>
          <w:szCs w:val="18"/>
        </w:rPr>
        <w:tab/>
      </w:r>
      <w:bookmarkEnd w:id="11"/>
    </w:p>
    <w:p w:rsidR="00EF484D" w:rsidRPr="00F82AA9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lastRenderedPageBreak/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159/22</w:t>
      </w:r>
    </w:p>
    <w:p w:rsidR="00EF484D" w:rsidRPr="00EF484D" w:rsidRDefault="00EF484D" w:rsidP="00EF484D">
      <w:pPr>
        <w:pStyle w:val="Paragraph0"/>
        <w:spacing w:after="0"/>
        <w:rPr>
          <w:sz w:val="18"/>
          <w:szCs w:val="18"/>
          <w:lang w:val="cs-CZ"/>
        </w:rPr>
      </w:pPr>
      <w:r w:rsidRPr="00EF484D">
        <w:rPr>
          <w:b/>
          <w:bCs/>
          <w:sz w:val="18"/>
          <w:szCs w:val="18"/>
        </w:rPr>
        <w:t>Název KH/</w:t>
      </w:r>
      <w:r w:rsidRPr="00EF484D">
        <w:rPr>
          <w:i/>
          <w:sz w:val="18"/>
          <w:szCs w:val="18"/>
        </w:rPr>
        <w:t>Full Title of Clinical Trial</w:t>
      </w:r>
      <w:r w:rsidRPr="00EF484D">
        <w:rPr>
          <w:bCs/>
          <w:sz w:val="18"/>
          <w:szCs w:val="18"/>
        </w:rPr>
        <w:t xml:space="preserve">: </w:t>
      </w:r>
      <w:r w:rsidRPr="00EF484D">
        <w:rPr>
          <w:sz w:val="18"/>
          <w:szCs w:val="18"/>
          <w:lang w:val="cs-CZ"/>
        </w:rPr>
        <w:t xml:space="preserve">Otevřené, multicentrické, randomizované klinické hodnocení fáze 3 se 2 rameny hodnotící účinnost a bezpečnost elranatamabu (PF-06863135) + daratumumabu + lenalidomidu oproti daratumumabu + lenalidomidu + dexamethasonu u účastníků s nově diagnostikovaným mnohočetným myelomem, kteří nejsou způsobilí k transplantaci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C1071006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2021-000803-20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2" w:name="_Hlk127197143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22/23 MEK 6</w:t>
      </w:r>
    </w:p>
    <w:p w:rsidR="00EF484D" w:rsidRPr="00EF484D" w:rsidRDefault="00EF484D" w:rsidP="00EF484D">
      <w:pPr>
        <w:spacing w:after="0" w:line="240" w:lineRule="auto"/>
        <w:ind w:right="-279"/>
        <w:rPr>
          <w:rFonts w:ascii="Times New Roman" w:hAnsi="Times New Roman"/>
          <w:bCs/>
          <w:i/>
          <w:noProof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bookmarkStart w:id="13" w:name="_Hlk126088291"/>
      <w:r w:rsidRPr="00EF484D">
        <w:rPr>
          <w:rFonts w:ascii="Times New Roman" w:hAnsi="Times New Roman"/>
          <w:bCs/>
          <w:noProof/>
          <w:sz w:val="18"/>
          <w:szCs w:val="18"/>
        </w:rPr>
        <w:t xml:space="preserve">Klinické hodnocení bezpečnosti, snášenlivosti a účinnosti vícenásobného vzestupného dávkování (multiple ascending dose, MAD) přípravku VRDN-001, humanizované monoklonální protilátky namířené proti receptoru IGF-1, u zdravých dobrovolníků a u osob s endokrinní orbitopatií (Thyroid Eye Disease, TED) </w:t>
      </w:r>
      <w:bookmarkEnd w:id="13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Cs/>
          <w:sz w:val="18"/>
          <w:szCs w:val="18"/>
        </w:rPr>
        <w:fldChar w:fldCharType="begin">
          <w:ffData>
            <w:name w:val="Text90"/>
            <w:enabled/>
            <w:calcOnExit w:val="0"/>
            <w:textInput>
              <w:default w:val="VRDN-001-101"/>
            </w:textInput>
          </w:ffData>
        </w:fldChar>
      </w:r>
      <w:bookmarkStart w:id="14" w:name="Text90"/>
      <w:r w:rsidRPr="00EF484D">
        <w:rPr>
          <w:rFonts w:ascii="Times New Roman" w:hAnsi="Times New Roman"/>
          <w:bCs/>
          <w:sz w:val="18"/>
          <w:szCs w:val="18"/>
        </w:rPr>
        <w:instrText xml:space="preserve"> FORMTEXT </w:instrText>
      </w:r>
      <w:r w:rsidRPr="00EF484D">
        <w:rPr>
          <w:rFonts w:ascii="Times New Roman" w:hAnsi="Times New Roman"/>
          <w:bCs/>
          <w:sz w:val="18"/>
          <w:szCs w:val="18"/>
        </w:rPr>
      </w:r>
      <w:r w:rsidRPr="00EF484D">
        <w:rPr>
          <w:rFonts w:ascii="Times New Roman" w:hAnsi="Times New Roman"/>
          <w:bCs/>
          <w:sz w:val="18"/>
          <w:szCs w:val="18"/>
        </w:rPr>
        <w:fldChar w:fldCharType="separate"/>
      </w:r>
      <w:r w:rsidRPr="00EF484D">
        <w:rPr>
          <w:rFonts w:ascii="Times New Roman" w:hAnsi="Times New Roman"/>
          <w:bCs/>
          <w:noProof/>
          <w:sz w:val="18"/>
          <w:szCs w:val="18"/>
        </w:rPr>
        <w:t>VRDN-001-101</w:t>
      </w:r>
      <w:r w:rsidRPr="00EF484D">
        <w:rPr>
          <w:rFonts w:ascii="Times New Roman" w:hAnsi="Times New Roman"/>
          <w:bCs/>
          <w:sz w:val="18"/>
          <w:szCs w:val="18"/>
        </w:rPr>
        <w:fldChar w:fldCharType="end"/>
      </w:r>
      <w:bookmarkEnd w:id="14"/>
      <w:r w:rsidRPr="00EF484D">
        <w:rPr>
          <w:rFonts w:ascii="Times New Roman" w:hAnsi="Times New Roman"/>
          <w:i/>
          <w:sz w:val="18"/>
          <w:szCs w:val="18"/>
        </w:rPr>
        <w:t xml:space="preserve">   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2021-006794-37</w:t>
      </w:r>
    </w:p>
    <w:bookmarkEnd w:id="12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5" w:name="_Hlk112071395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137/22 MEK 18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lang w:val="en-GB"/>
        </w:rPr>
        <w:t xml:space="preserve">Randomizovaná, otevřená studie fáze 3 srovnávající sacituzumab govitekan plus pembrolizumab a léčbu zvolenou lékařem plus pembrolizumab u pacientů s dosud neléčeným, lokálně pokročilým, inoperabilním nebo metastatickým triple negativním karcinomem prsu s nádory s expresí PD-L1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iCs/>
          <w:sz w:val="18"/>
          <w:szCs w:val="18"/>
          <w:lang w:val="en-GB" w:eastAsia="de-DE"/>
        </w:rPr>
        <w:t>GS-US-592-6173 (ASCENT 04</w:t>
      </w:r>
      <w:r w:rsidRPr="00EF484D">
        <w:rPr>
          <w:rFonts w:ascii="Times New Roman" w:hAnsi="Times New Roman"/>
          <w:iCs/>
          <w:sz w:val="18"/>
          <w:szCs w:val="18"/>
          <w:lang w:val="en-GB"/>
        </w:rPr>
        <w:t>)</w:t>
      </w:r>
      <w:r w:rsidRPr="00EF484D">
        <w:rPr>
          <w:rFonts w:ascii="Times New Roman" w:hAnsi="Times New Roman"/>
          <w:i/>
          <w:sz w:val="18"/>
          <w:szCs w:val="18"/>
          <w:lang w:val="en-GB"/>
        </w:rPr>
        <w:t xml:space="preserve">                              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2021-005742-14</w:t>
      </w:r>
    </w:p>
    <w:bookmarkEnd w:id="15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64/21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Otevřené, randomizované, non-inferioritní klinické hodnocení fáze 3 hodnotící subkutánní versus intravenózní podání nivolumabu účastníkům</w:t>
      </w:r>
      <w:r w:rsidR="00F82AA9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sz w:val="18"/>
          <w:szCs w:val="18"/>
        </w:rPr>
        <w:t xml:space="preserve">s pokročilým nebo metastatickým světlobuněčným renálním karcinomem, kteří v minulosti podstoupili systémovou léčbu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CA209-67T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2020-003655-15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148/21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Nezaslepená, randomizovaná multicentrická studie fáze III se třemi rameny zkoumající podávání savolitinibu v kombinaci s durvalumabem oproti podávání sunitinibu a durvalumabu v monoterapii u účastníků s neresekovatelným a lokálně pokročilým nebo metastatickým papilárním renálním karcinomem (PRCC) s mutací MET (SAMETA)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D5086C00001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2021-000336-55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6" w:name="_Hlk105052826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78/22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iCs/>
          <w:sz w:val="18"/>
          <w:szCs w:val="18"/>
        </w:rPr>
        <w:t>Randomizovaná, dvojitě zaslepená, placebem kontrolovaná studie fáze 2 hodnotící účinnost a bezpečnost přípravku inupadenant v kombinaci s karboplatinou a pemetrexedem u dospělých s neskvamózním nemalobuněčným karcinomem plic, u nichž došlo k progresi při imunoterapeutické léčbě</w:t>
      </w:r>
      <w:r w:rsidRPr="00EF484D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A2A-005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2021-005487-22</w:t>
      </w:r>
    </w:p>
    <w:bookmarkEnd w:id="16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23/23</w:t>
      </w:r>
    </w:p>
    <w:p w:rsidR="00EF484D" w:rsidRPr="00EF484D" w:rsidRDefault="00EF484D" w:rsidP="00EF484D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  <w:r w:rsidRPr="00EF484D">
        <w:rPr>
          <w:rFonts w:ascii="Times New Roman" w:hAnsi="Times New Roman" w:cs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 w:cs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 w:cs="Times New Roman"/>
          <w:bCs/>
          <w:sz w:val="18"/>
          <w:szCs w:val="18"/>
        </w:rPr>
        <w:t xml:space="preserve">: Diagnostický protokol pro test VENTANA FGFR2b (FPR2-D) RxDx Assay ve studii 20210096 společnosti Amgen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RD006144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N/A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82AA9" w:rsidRPr="00EF484D" w:rsidRDefault="00F82AA9" w:rsidP="00F82AA9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NEŽÁDOUCÍ ÚČINKY</w:t>
      </w:r>
      <w:r w:rsidRPr="00EF484D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122/09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t>Fáze 3 multicentrické, randomizované, kontrolované studie zjišťující účinnost a bezpečnost Cyklofosfamidu, Lenalidomidu a Dexamethazonu (CRD) versus Melfalanu (200mg/m2) s následnou transplantací kmenových buněk u nově diagnostikovaných pacientů s mnočetným myelomem.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 RV-MM-EMN-441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2008-008599-15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EF484D" w:rsidRPr="00EF484D" w:rsidRDefault="00950FA6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sym w:font="Wingdings 2" w:char="F053"/>
      </w:r>
      <w:r w:rsidR="00EF484D" w:rsidRPr="00EF484D">
        <w:rPr>
          <w:rFonts w:ascii="Times New Roman" w:hAnsi="Times New Roman"/>
          <w:bCs/>
          <w:sz w:val="18"/>
          <w:szCs w:val="18"/>
        </w:rPr>
        <w:t xml:space="preserve">   EK  vzala na vědomí / </w:t>
      </w:r>
      <w:r w:rsidR="00EF484D"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177/11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Randomizovaná fáze III studie srovnávající Bortezomib, Melfalan, Prednison (VMP) s vysokodávkovaným Melfalanem s následnou konsolidační léčbou</w:t>
      </w:r>
      <w:r w:rsidRPr="00EF484D">
        <w:rPr>
          <w:rFonts w:ascii="Times New Roman" w:hAnsi="Times New Roman"/>
          <w:sz w:val="18"/>
          <w:szCs w:val="18"/>
        </w:rPr>
        <w:tab/>
        <w:t xml:space="preserve">  Bortezomib, Lenalidomid, Dexametason (VRD) a Lenalidomem v udržovací fázi u pacientů s nově diagnostikovaným mnohočetným myelomem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EMN02 / HOVON 95 MM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2009-017903-28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157/14</w:t>
      </w:r>
    </w:p>
    <w:p w:rsidR="00EF484D" w:rsidRPr="00EF484D" w:rsidRDefault="00EF484D" w:rsidP="00EF484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</w:t>
      </w:r>
      <w:r w:rsidRPr="00EF484D">
        <w:rPr>
          <w:rFonts w:ascii="Times New Roman" w:hAnsi="Times New Roman"/>
          <w:sz w:val="18"/>
          <w:szCs w:val="18"/>
        </w:rPr>
        <w:tab/>
        <w:t xml:space="preserve">                        </w:t>
      </w:r>
    </w:p>
    <w:p w:rsidR="00EF484D" w:rsidRPr="00EF484D" w:rsidRDefault="00EF484D" w:rsidP="00EF484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9785-MA-1001</w:t>
      </w:r>
    </w:p>
    <w:p w:rsidR="00EF484D" w:rsidRPr="00EF484D" w:rsidRDefault="00EF484D" w:rsidP="00EF484D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 xml:space="preserve">: 2013-004711-50 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56/16 MEK 12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lang w:bidi="cs-CZ"/>
        </w:rPr>
        <w:t>Dvojitě zaslepená, placebem kontrolovaná studie fáze 3 přípravku Quizartinib (AC220) podávaného v kombinaci s indukční a konsolidační chemoterapií a jako udržovací léčba u pacientů ve věku 18 až 75 let s nově diagnostikovanou akutní myeloidní leukémií FLT3-ITD (+) (QuANTUM</w:t>
      </w:r>
      <w:r w:rsidRPr="00EF484D">
        <w:rPr>
          <w:rFonts w:ascii="Times New Roman" w:hAnsi="Times New Roman"/>
          <w:sz w:val="18"/>
          <w:szCs w:val="18"/>
          <w:lang w:bidi="cs-CZ"/>
        </w:rPr>
        <w:noBreakHyphen/>
        <w:t xml:space="preserve">First)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lang w:bidi="cs-CZ"/>
        </w:rPr>
        <w:t>AC220-A-U302</w:t>
      </w:r>
      <w:r w:rsidRPr="00EF484D">
        <w:rPr>
          <w:rFonts w:ascii="Times New Roman" w:hAnsi="Times New Roman"/>
          <w:i/>
          <w:sz w:val="18"/>
          <w:szCs w:val="18"/>
        </w:rPr>
        <w:t xml:space="preserve">                             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lang w:bidi="cs-CZ"/>
        </w:rPr>
        <w:t>2015‐004856‐24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132/16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  <w:lang w:val="en-US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Randomizovaná, dvojitě zaslepená studie fáze III zkoumající přípravek pembrolizumab (MK-3475) v kombinaci s chemoterapií oproti placebu v kombinaci s chemoterapií u dříve neléčeného, lokálně rekurentního, neoperabilního nebo metastazujícího triple negativního karcinomu prsu (KEYNOTE-355)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MK-3475-355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color w:val="000000"/>
          <w:sz w:val="18"/>
          <w:szCs w:val="18"/>
        </w:rPr>
        <w:t>2016-001432-35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18/17 MEK 4</w:t>
      </w:r>
    </w:p>
    <w:p w:rsidR="00EF484D" w:rsidRPr="00EF484D" w:rsidRDefault="00EF484D" w:rsidP="00F82AA9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Randomizované, </w:t>
      </w:r>
      <w:r w:rsidRPr="00EF484D">
        <w:rPr>
          <w:rFonts w:ascii="Times New Roman" w:hAnsi="Times New Roman"/>
          <w:sz w:val="18"/>
          <w:szCs w:val="18"/>
          <w:lang w:val="pt-BR"/>
        </w:rPr>
        <w:t xml:space="preserve">dvojitě zaslepené, placebem kontrolované klinické hodnocení fáze III srovnávající kombinaci PDR001, dabrafenib a trametinib s kombinací placebo, dabrafenib a trametinib u dříve neléčených pacientů s neresekovatelným nebo metastatickým melanomem s mutací V600 v genu BRAF 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CPDR001F2301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2016-002794-35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eastAsia="Wingdings 2" w:hAnsi="Times New Roman"/>
          <w:sz w:val="18"/>
          <w:szCs w:val="18"/>
        </w:rPr>
        <w:t></w:t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25/17</w:t>
      </w:r>
    </w:p>
    <w:p w:rsidR="00EF484D" w:rsidRPr="00EF484D" w:rsidRDefault="00EF484D" w:rsidP="00EF484D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bCs/>
          <w:color w:val="000000"/>
          <w:kern w:val="3"/>
          <w:sz w:val="18"/>
          <w:szCs w:val="18"/>
        </w:rPr>
        <w:t xml:space="preserve">Randomizovaná studie fáze III zkoumající přípravek pembrolizumab podávaný souběžně s chemoradiací a jako udržovací léčba oproti samostatné léčbě chemoradiací u subjektů s lokálně pokročilým dlaždicobuněčným karcinomem hlavy a krku (KEYNOTE-412) 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MK-3475-412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2016-003934-25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26/17</w:t>
      </w:r>
    </w:p>
    <w:p w:rsidR="00EF484D" w:rsidRPr="00EF484D" w:rsidRDefault="00EF484D" w:rsidP="00F82AA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napToGrid w:val="0"/>
          <w:sz w:val="18"/>
          <w:szCs w:val="18"/>
          <w:lang w:val="en-US"/>
        </w:rPr>
        <w:t>Název KH/</w:t>
      </w:r>
      <w:r w:rsidRPr="00EF484D">
        <w:rPr>
          <w:rFonts w:ascii="Times New Roman" w:hAnsi="Times New Roman"/>
          <w:i/>
          <w:snapToGrid w:val="0"/>
          <w:sz w:val="18"/>
          <w:szCs w:val="18"/>
          <w:lang w:val="en-US"/>
        </w:rPr>
        <w:t>Full Title of Clinical Trial</w:t>
      </w:r>
      <w:r w:rsidRPr="00EF484D">
        <w:rPr>
          <w:rFonts w:ascii="Times New Roman" w:hAnsi="Times New Roman"/>
          <w:bCs/>
          <w:snapToGrid w:val="0"/>
          <w:sz w:val="18"/>
          <w:szCs w:val="18"/>
          <w:lang w:val="en-US"/>
        </w:rPr>
        <w:t xml:space="preserve">: </w:t>
      </w:r>
      <w:r w:rsidRPr="00EF484D">
        <w:rPr>
          <w:rFonts w:ascii="Times New Roman" w:eastAsia="MS Mincho" w:hAnsi="Times New Roman"/>
          <w:snapToGrid w:val="0"/>
          <w:sz w:val="18"/>
          <w:szCs w:val="18"/>
        </w:rPr>
        <w:t>Randomizované klinické hodnocení fáze 3 pembrolizumabu, monoklonální protilátky anti-PD-1 (MK-3475), oproti</w:t>
      </w:r>
      <w:r w:rsidRPr="00EF484D">
        <w:rPr>
          <w:rFonts w:ascii="Times New Roman" w:eastAsia="MS Mincho" w:hAnsi="Times New Roman"/>
          <w:snapToGrid w:val="0"/>
          <w:sz w:val="18"/>
          <w:szCs w:val="18"/>
        </w:rPr>
        <w:tab/>
        <w:t xml:space="preserve"> placebu u pacientů s NSCLC v raném stádiu po resekci a dokončení standardní adjuvantní terapie (PEARLS)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MK-3475-091-01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2015-000575-27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59/17 MEK 9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Randomizovaná studie fáze III porovnávající léčbu kombinací nivolumabu a ipilimumabu oproti placebu u pacientů s lokalizovaným renálním karcinomem, kteří podstoupili radikální nebo parciální nefrektomii a u kterých je vysoké riziko relapsu 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CA209-914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2016-004502-34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135/17 MEK 18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Nezaslepené </w:t>
      </w:r>
      <w:r w:rsidRPr="00EF484D">
        <w:rPr>
          <w:rFonts w:ascii="Times New Roman" w:hAnsi="Times New Roman"/>
          <w:sz w:val="18"/>
          <w:szCs w:val="18"/>
          <w:lang w:val="en-US"/>
        </w:rPr>
        <w:t>multicentrické pokračovací klinické hodnocení pro pacienty, kteří se v minulosti účastnili některého z klinických hodnocení Atezolizumabu, jehož zadavatelem byly společnosti Genentech a/nebo F. Hoffmann-LA Roche Ltd.</w:t>
      </w:r>
    </w:p>
    <w:p w:rsidR="00EF484D" w:rsidRPr="00EF484D" w:rsidRDefault="00EF484D" w:rsidP="00EF484D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BO39633 Verze 2 / </w:t>
      </w:r>
      <w:r w:rsidRPr="00EF484D">
        <w:rPr>
          <w:rFonts w:ascii="Times New Roman" w:hAnsi="Times New Roman"/>
          <w:i/>
          <w:sz w:val="18"/>
          <w:szCs w:val="18"/>
        </w:rPr>
        <w:t>Version 2</w:t>
      </w:r>
      <w:r w:rsidRPr="00EF484D">
        <w:rPr>
          <w:rFonts w:ascii="Times New Roman" w:hAnsi="Times New Roman"/>
          <w:sz w:val="18"/>
          <w:szCs w:val="18"/>
        </w:rPr>
        <w:t xml:space="preserve"> (14. června 2017 / 14 June 2017)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2016-005189-75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14/18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Stereotaktická radioterapie + anti PD-1 léčba u pacientů s lokálně pokročilým neresekabilním adenokarcinomem pankreatu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CA209-9KH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2017-003404-52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31/18 MEK 5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Otevřené, jednoramenné, čtyřleté klinické hodnocení za účelem posouzení účinnosti a bezpečnosti léčby Ocrelizumabem u pacientů s progresivní roztroušenou sklerózou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MN39159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2017-001313-93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56/18 MEK 10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Randomizovaná, </w:t>
      </w:r>
      <w:r w:rsidRPr="00EF484D">
        <w:rPr>
          <w:rFonts w:ascii="Times New Roman" w:hAnsi="Times New Roman"/>
          <w:sz w:val="18"/>
          <w:szCs w:val="18"/>
        </w:rPr>
        <w:t xml:space="preserve">multicentrická, aktivně kontrolovaná studie fáze II porovnávající účinnost a bezpečnost cílené protinádorové léčby nebo protinádorové imunoterapie podávaných na základě genomického </w:t>
      </w:r>
      <w:r w:rsidRPr="00EF484D">
        <w:rPr>
          <w:rFonts w:ascii="Times New Roman" w:hAnsi="Times New Roman"/>
          <w:sz w:val="18"/>
          <w:szCs w:val="18"/>
        </w:rPr>
        <w:lastRenderedPageBreak/>
        <w:t xml:space="preserve">profilování versus chemoterapie založená na platině u pacientů s karcinomem neznámého původu, kteří byli léčeni 3 cykly platinového dubletu (CUPISCO) </w:t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MX39795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2017-003040-20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7" w:name="_Hlk127771138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61/18</w:t>
      </w:r>
    </w:p>
    <w:p w:rsidR="00F82AA9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PANOVA-3: Pivotní, randomizovaná, otevřená studie tumor léčících polí (TTFields, 150 kHz) při souběžném podávání gemcitabinu a nab-paclitaxelu při léčbě první linie lokálně pokročilého adenokarcinomu pankreatu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EF-27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N/A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7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58/18 MEK 12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Otevřené, randomizované, multicentrické klinické hodnocení fáze III se  dvěma rameny, posuzující farmakokinetiku, účinnost a bezpečnost kombinace fixní dávky podkožně podávaného Pertuzumabu a Trastuzumabu spolu s chemoterapií u pacientů s HER2 pozitivním karcinomem prsu v rané fázi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WO40324 Verze 1, 2.února 2018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2017-004897-32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152/18</w:t>
      </w:r>
    </w:p>
    <w:p w:rsidR="00EF484D" w:rsidRPr="00EF484D" w:rsidRDefault="00EF484D" w:rsidP="00F82AA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bookmarkStart w:id="18" w:name="_Hlk524692827"/>
      <w:r w:rsidRPr="00EF484D">
        <w:rPr>
          <w:rFonts w:ascii="Times New Roman" w:hAnsi="Times New Roman"/>
          <w:iCs/>
          <w:sz w:val="18"/>
          <w:szCs w:val="18"/>
        </w:rPr>
        <w:t>Randomizované, dvojitě zaslepené, placebem kontrolované, multicentrické, mezinárodní klinické hodnocení fáze III zkoumající durvalumab nebo kombinaci durvalumabu a tremelimumabu jako konsolidační léčbu pacientů s malobuněčným karcinomem plic v limitovaném stádiu I-III, u nichž nedošlo k progresi po souběžné chemoradiační terapii (ADRIATIC)</w:t>
      </w:r>
      <w:bookmarkEnd w:id="18"/>
      <w:r w:rsidRPr="00EF484D">
        <w:rPr>
          <w:rFonts w:ascii="Times New Roman" w:hAnsi="Times New Roman"/>
          <w:iCs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bookmarkStart w:id="19" w:name="_Hlk524692835"/>
      <w:r w:rsidRPr="00EF484D">
        <w:rPr>
          <w:rFonts w:ascii="Times New Roman" w:hAnsi="Times New Roman"/>
          <w:sz w:val="18"/>
          <w:szCs w:val="18"/>
          <w:lang w:val="en-US"/>
        </w:rPr>
        <w:t>D933QC00001</w:t>
      </w:r>
      <w:bookmarkEnd w:id="19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color w:val="1F497D"/>
          <w:sz w:val="18"/>
          <w:szCs w:val="18"/>
          <w:lang w:val="en-US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bookmarkStart w:id="20" w:name="_Hlk524692843"/>
      <w:r w:rsidRPr="00EF484D">
        <w:rPr>
          <w:rFonts w:ascii="Times New Roman" w:hAnsi="Times New Roman"/>
          <w:sz w:val="18"/>
          <w:szCs w:val="18"/>
          <w:lang w:val="en-US"/>
        </w:rPr>
        <w:t>2018-000867-10</w:t>
      </w:r>
      <w:bookmarkEnd w:id="20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161/18 MEK 23</w:t>
      </w:r>
    </w:p>
    <w:p w:rsidR="00F82AA9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Randomizovaná, dvojitě zaslepená, placebem kontrolovaná klinická studie fáze III hodnotící účinnost a bezpečnost Atezolizumabu nebo placeba v kombinaci s neoadjuvantním Doxorubicinem + Cyklofosfamidem a následně Paklitaxelem + trastuzumabem + Pertuzumabem v léčbě časného HER2-pozitivního karcinomu prsu (IMPASSION 050)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BO40747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2018-001881-40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bCs/>
          <w:sz w:val="18"/>
          <w:szCs w:val="18"/>
        </w:rPr>
        <w:t xml:space="preserve"> </w:t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171/18</w:t>
      </w:r>
    </w:p>
    <w:p w:rsidR="00EF484D" w:rsidRPr="00EF484D" w:rsidRDefault="00EF484D" w:rsidP="00EF484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lang w:val="en-US"/>
        </w:rPr>
        <w:t xml:space="preserve">ENGOT-ov50 / INNOVATE-3: Pivotní, randomizovaná, otevřená studie polí léčících tumor (TTFields, 200 kHz) při souběžném podávání paclitaxelu při léčbě rekurentního karcinomu ovaria </w:t>
      </w:r>
      <w:r w:rsidRPr="00EF484D">
        <w:rPr>
          <w:rFonts w:ascii="Times New Roman" w:hAnsi="Times New Roman"/>
          <w:sz w:val="18"/>
          <w:szCs w:val="18"/>
          <w:lang w:val="en-GB"/>
        </w:rPr>
        <w:t xml:space="preserve"> / </w:t>
      </w:r>
      <w:r w:rsidRPr="00EF484D">
        <w:rPr>
          <w:rFonts w:ascii="Times New Roman" w:hAnsi="Times New Roman"/>
          <w:i/>
          <w:iCs/>
          <w:sz w:val="18"/>
          <w:szCs w:val="18"/>
          <w:lang w:val="en-US"/>
        </w:rPr>
        <w:t xml:space="preserve">ENGOT-ov50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EF-28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N/A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169/18 MEK 24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Klinické hodnocení fáze 2 přípravku INCMGA00012 u pacientů s metastatickým karcinomem z Merkelových buněk 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INCMGA 0012-201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2018-001627-39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18/19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Klinická zkouška BIO - REDUCE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BIO-</w:t>
      </w:r>
      <w:r w:rsidRPr="00EF484D">
        <w:rPr>
          <w:rFonts w:ascii="Times New Roman" w:hAnsi="Times New Roman"/>
          <w:sz w:val="18"/>
          <w:szCs w:val="18"/>
        </w:rPr>
        <w:tab/>
        <w:t>REDUCE, verze 1.0, 24.9.2018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N/A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950FA6" w:rsidRPr="00EF484D" w:rsidRDefault="00950FA6" w:rsidP="00950FA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26/19 MEK 4</w:t>
      </w:r>
    </w:p>
    <w:p w:rsidR="00F82AA9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Dvojitě zaslepená, randomizovaná, placebem kontrolovaná studie fáze IIb hodnotící účinnost a bezpečnost tablet kyseliny norursodeoxycholové u pacientů s nealkoholickou steatohepatitidou (NASH)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NUT-3/NAS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2018-003443-31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145/19 MEK 17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Otevřené, multicentrické, globální klinické hodnocení posuzující dlouhodobou bezpečnost a účinnost u pacientů, kteří dostávají nebo dříve dostávali durvalumab v rámci jiných protokolů (WAVE)</w:t>
      </w:r>
      <w:r w:rsidRPr="00EF484D">
        <w:rPr>
          <w:rFonts w:ascii="Times New Roman" w:hAnsi="Times New Roman"/>
          <w:b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D910FC00001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2019-001402-20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8/20</w:t>
      </w:r>
    </w:p>
    <w:p w:rsidR="00EF484D" w:rsidRPr="00EF484D" w:rsidRDefault="00EF484D" w:rsidP="00F82AA9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Randomizovaná, dvojitě zaslepená studie fáze 3 nivolumabu nebo placeba v kombinaci s docetaxelem u mužů s metastatickým, kastračně-rezistentním karcinomem prostaty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CA209-7DX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2019-002030-36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37/20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bdr w:val="nil"/>
        </w:rPr>
        <w:t xml:space="preserve">Multicentrické, otevřené, dlouhodobé klinické hodnocení fáze    3 k posouzení bezpečnosti a účinnosti efgartigimodu (ARGX-113) podávaného intravenózně v dávce 10 mg/kg u dospělých pacientů s primární imunitní trombocytopenií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ARGX-113-1803 (ADVANCE +)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2019-002101-21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40/20 MEK 6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Randomizované, dvojitě zaslepené klinické hodnocení fáze 3, zkoumající chemoterapii v kombinaci s přípravkem pembrolizumab nebo bez něj v léčbě vysoce rizikového, lokálně pokročilého karcinomu děložního čípku (LACC) (KEYNOTE-A18 / ENGOT-cx 11)  </w:t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MK-3475-A18/ENGOT cx-11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2019-003152-37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1" w:name="_Hlk144365939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66/20</w:t>
      </w:r>
    </w:p>
    <w:p w:rsidR="00373D49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První otevřené klinické hodnocení provedené u lidí, s postupným zvyšováním dávek s rozšířenými kohortami, k vyhodnocení bezpečnosti přípravku GEN1046 u subjektů s maligními solidními nádory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GCT1046-01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2018-003402-63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1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72/20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Multicentrická studie fáze 3 hodnotící dlouhodobou bezpečnost a účinnost baricitinibu u pacientů s juvenilní idiopatickou artritidou (JIA) ve věku od 1 roku do &lt;18 let.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I4V-MC-JAHX</w:t>
      </w:r>
    </w:p>
    <w:p w:rsidR="00EF484D" w:rsidRPr="00373D49" w:rsidRDefault="00EF484D" w:rsidP="00373D4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2017-004471-31</w:t>
      </w:r>
      <w:r w:rsidR="00373D49" w:rsidRPr="00EF484D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120/20 MEK 13</w:t>
      </w:r>
    </w:p>
    <w:p w:rsidR="00EF484D" w:rsidRPr="00EF484D" w:rsidRDefault="00EF484D" w:rsidP="00EF484D">
      <w:pPr>
        <w:widowControl w:val="0"/>
        <w:autoSpaceDE w:val="0"/>
        <w:autoSpaceDN w:val="0"/>
        <w:spacing w:after="0" w:line="240" w:lineRule="auto"/>
        <w:ind w:left="62" w:right="98"/>
        <w:jc w:val="both"/>
        <w:rPr>
          <w:rFonts w:ascii="Times New Roman" w:eastAsia="Arial" w:hAnsi="Times New Roman"/>
          <w:bCs/>
          <w:sz w:val="18"/>
          <w:szCs w:val="18"/>
          <w:bdr w:val="nil"/>
          <w:lang w:val="en-US" w:bidi="en-US"/>
        </w:rPr>
      </w:pPr>
      <w:r w:rsidRPr="00EF484D">
        <w:rPr>
          <w:rFonts w:ascii="Times New Roman" w:eastAsia="Arial" w:hAnsi="Times New Roman"/>
          <w:b/>
          <w:bCs/>
          <w:sz w:val="18"/>
          <w:szCs w:val="18"/>
          <w:lang w:val="en-US" w:bidi="en-US"/>
        </w:rPr>
        <w:t>Název KH/</w:t>
      </w:r>
      <w:r w:rsidRPr="00EF484D">
        <w:rPr>
          <w:rFonts w:ascii="Times New Roman" w:eastAsia="Arial" w:hAnsi="Times New Roman"/>
          <w:i/>
          <w:sz w:val="18"/>
          <w:szCs w:val="18"/>
          <w:lang w:val="en-US" w:bidi="en-US"/>
        </w:rPr>
        <w:t>Full Title of Clinical Trial</w:t>
      </w:r>
      <w:r w:rsidRPr="00EF484D">
        <w:rPr>
          <w:rFonts w:ascii="Times New Roman" w:eastAsia="Arial" w:hAnsi="Times New Roman"/>
          <w:bCs/>
          <w:sz w:val="18"/>
          <w:szCs w:val="18"/>
          <w:lang w:val="en-US" w:bidi="en-US"/>
        </w:rPr>
        <w:t xml:space="preserve">: </w:t>
      </w:r>
      <w:r w:rsidRPr="00EF484D">
        <w:rPr>
          <w:rFonts w:ascii="Times New Roman" w:eastAsia="Arial" w:hAnsi="Times New Roman"/>
          <w:bCs/>
          <w:sz w:val="18"/>
          <w:szCs w:val="18"/>
          <w:bdr w:val="nil"/>
          <w:lang w:val="en-US" w:bidi="en-US"/>
        </w:rPr>
        <w:t>Randomizovaná, otevřená, kontrolovaná studie fáze 3 kombinace kabozantinibu (XL184) s atezolizumabem v porovnání s druhou novou hormonální terapií (NHT) u subjektů s metastatickým maligním nádorem prostaty rezistentním na kastraci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bookmarkStart w:id="22" w:name="_Hlk520809157"/>
      <w:r w:rsidRPr="00EF484D">
        <w:rPr>
          <w:rFonts w:ascii="Times New Roman" w:hAnsi="Times New Roman"/>
          <w:sz w:val="18"/>
          <w:szCs w:val="18"/>
        </w:rPr>
        <w:t>XL184-315</w:t>
      </w:r>
      <w:bookmarkEnd w:id="22"/>
      <w:r w:rsidRPr="00EF484D">
        <w:rPr>
          <w:rFonts w:ascii="Times New Roman" w:hAnsi="Times New Roman"/>
          <w:i/>
          <w:sz w:val="18"/>
          <w:szCs w:val="18"/>
        </w:rPr>
        <w:t xml:space="preserve">                             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Cs/>
          <w:iCs/>
          <w:sz w:val="18"/>
          <w:szCs w:val="18"/>
        </w:rPr>
        <w:t>2020-000348-77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136/20</w:t>
      </w:r>
    </w:p>
    <w:p w:rsidR="00EF484D" w:rsidRPr="00EF484D" w:rsidRDefault="00EF484D" w:rsidP="00373D49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Otevřená, multicentrická, dlouhodobá studie fáze 3 zkoumající bezpečnost a účinnost přípravku PF-06651600 u dospělých a dospívajících pacientů s výpadem vlasů (Alopecia Areata)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B7981032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2019-001084-71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13/21 MEK 5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Randomizované, nezaslepené, klinické hodnocení fáze 3, jehož cílem je vyhodnotit perioperačně podávanou kombinaci enfortumab vedotin plus pembrolizumab (MK-3475) oproti neoadjuvantní léčbě gemcitabinem a cisplatinou u účastníků způsobilých k léčbě cisplatinou s karcinomem močového měchýře prorůstajícím do svaloviny (MIBC) (KEYNOTE-B15 / EV-304)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MK-3475-B15/ EV-304</w:t>
      </w:r>
      <w:r w:rsidRPr="00EF484D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2020-003106-31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25/21 MEK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b/>
          <w:sz w:val="18"/>
          <w:szCs w:val="18"/>
        </w:rPr>
        <w:t>6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Studie hodnotící léčbu nivolumabem v kombinaci s trametinibem s nebo bez ipilimumabu u pacientů s dříve léčeným metastatickým kolorektálním karcinomem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CA209-9N9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2017-001830-24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3" w:name="_Hlk130882188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26/21 MEK 7</w:t>
      </w:r>
    </w:p>
    <w:p w:rsidR="00EF484D" w:rsidRPr="00EF484D" w:rsidRDefault="00EF484D" w:rsidP="00EF484D">
      <w:pPr>
        <w:pStyle w:val="Synopsis"/>
        <w:spacing w:before="0" w:after="0"/>
        <w:rPr>
          <w:rFonts w:ascii="Times New Roman" w:eastAsia="TimesNewRoman" w:hAnsi="Times New Roman" w:cs="Times New Roman"/>
          <w:sz w:val="18"/>
          <w:szCs w:val="18"/>
          <w:lang w:eastAsia="en-GB"/>
        </w:rPr>
      </w:pPr>
      <w:r w:rsidRPr="00EF484D">
        <w:rPr>
          <w:rFonts w:ascii="Times New Roman" w:eastAsia="Times New Roman" w:hAnsi="Times New Roman" w:cs="Times New Roman"/>
          <w:b/>
          <w:bCs/>
          <w:sz w:val="18"/>
          <w:szCs w:val="18"/>
        </w:rPr>
        <w:t>Název KH/</w:t>
      </w:r>
      <w:r w:rsidRPr="00EF484D">
        <w:rPr>
          <w:rFonts w:ascii="Times New Roman" w:eastAsia="Times New Roman" w:hAnsi="Times New Roman" w:cs="Times New Roman"/>
          <w:i/>
          <w:sz w:val="18"/>
          <w:szCs w:val="18"/>
        </w:rPr>
        <w:t>Full Title of Clinical Trial</w:t>
      </w:r>
      <w:r w:rsidRPr="00EF484D">
        <w:rPr>
          <w:rFonts w:ascii="Times New Roman" w:eastAsia="Times New Roman" w:hAnsi="Times New Roman" w:cs="Times New Roman"/>
          <w:bCs/>
          <w:sz w:val="18"/>
          <w:szCs w:val="18"/>
        </w:rPr>
        <w:t xml:space="preserve">: </w:t>
      </w:r>
      <w:r w:rsidRPr="00EF484D">
        <w:rPr>
          <w:rFonts w:ascii="Times New Roman" w:eastAsia="TimesNewRoman" w:hAnsi="Times New Roman" w:cs="Times New Roman"/>
          <w:sz w:val="18"/>
          <w:szCs w:val="18"/>
          <w:lang w:eastAsia="en-GB"/>
        </w:rPr>
        <w:t xml:space="preserve">Studie fáze 2 hodnotící cemiplimab, monoklonální protilátku proti PD-1, a vakcínu ISA101b u pacientů s rekurentním/metastatickým orofaryngeálním HPV16 pozitivním karcinomem, u nichž nastala progrese onemocnění na předchozí terapii proti PD-1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ISA101b-OPC-03-19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2020-003652-32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bookmarkEnd w:id="23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41/21 MEK 10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Trojramenná, randomizovaná, zaslepená, aktivně kontrolovaná studie fáze 2 hodnotící RO7121661 (PD1-TIM3 bispecifická protilátka) a RO7247669 (PD1-LAG3 bispecifická protilátka) ve srovnání s nivolumabem  u pacientů s pokročilým nebo metastatickým spinocelulárním karcinomem jícnu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BP42772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2020-004606-60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176/21 MEK 20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MK-4280A (kombinace pembrolizumab plus favezelimab) oproti standardní léčbě dříve léčeného metastatického PD-L1 pozitivního CRC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MK-4280A-007-01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2021-001309-60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15/22 MEK 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Otevřené, randomizované klinické hodnocení fáze 3 přípravku IO102-IO103 podávaného v kombinaci s pembrolizumabem oproti samotnému pembrolizumabu u pacientů s dříve neléčeným, neresekovatelným nebo metastazujícím (pokročilým) melanomem 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IO102-IO103-013 (IOB-013) / MK3475-D18 (KN-D18)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2021-004594-32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17/22 MEK 5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Dvojitě zaslepené, multicentrické klinické hodnocení fáze III posuzující účinnost a bezpečnost přípravku CAEL-101 a léčby plazmocelulární dyskrazie oproti placebu a léčbě plazmocelulární dyskrazie u pacientů s dosud neléčenou plazmocelulární dyskrazií s AL amyloidózou stadia Mayo IIIb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CAEL101-301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2019-004254-28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18/22 MEK 6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Dvojitě zaslepené, multicentrické klinické hodnocení fáze III posuzující účinnost a bezpečnost přípravku CAEL-101 a léčby plazmocelulární dyskrazie oproti placebu a léčbě plazmocelulární dyskrazie u pacientů s dosud neléčenou plazmocelulární dyskrazií s AL amyloidózou stadia Mayo IIIa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CAEL101-302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2020-000713-32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27/22 MEK 9</w:t>
      </w:r>
    </w:p>
    <w:p w:rsidR="00EF484D" w:rsidRPr="00EF484D" w:rsidRDefault="00EF484D" w:rsidP="00DA1BEA">
      <w:pPr>
        <w:pStyle w:val="Zkladntext"/>
        <w:spacing w:after="0"/>
        <w:rPr>
          <w:rFonts w:ascii="Times New Roman" w:hAnsi="Times New Roman"/>
          <w:sz w:val="18"/>
          <w:szCs w:val="18"/>
          <w:lang w:val="pt-BR"/>
        </w:rPr>
      </w:pPr>
      <w:r w:rsidRPr="00EF484D">
        <w:rPr>
          <w:rFonts w:ascii="Times New Roman" w:hAnsi="Times New Roman"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lang w:val="pt-BR"/>
        </w:rPr>
        <w:t xml:space="preserve">Randomizované, dvojitě zaslepené, paralelně uspořádané, placebem kontrolované, multicentrické klinické hodnocení fáze III k vyhodnocení účinnosti, bezpečnosti a snášenlivosti ianalumabu podávaného nad rámec standardní léčby u pacientů s aktivní lupusovou nefritidou (SIRIUS-LN)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  <w:lang w:val="pt-BR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CVAY736K12301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 xml:space="preserve">: 2020-005830-14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135/20 MEK 17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Prospektivní multicentrická randomizovaná kontrolovaná otevřená klinická studie fáze III hodnotící účinnost a bezpečnost peptidové receptorové radionuklidové terapie (PRRT) 177Lu-Edotreotidem ve srovnání s cílenou molekulární terapií Everolimem u pacientů s neoperovatelnými progresivními neuroendokrinními tumory gastroenterického nebo pankreatického původu (GEP-NET) pozitivními na somatostatinový receptor (SSTR+)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ITM-LET-01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2016-001897-13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28/22</w:t>
      </w:r>
    </w:p>
    <w:p w:rsidR="00EF484D" w:rsidRPr="00EF484D" w:rsidRDefault="00EF484D" w:rsidP="00EF484D">
      <w:pPr>
        <w:spacing w:after="0" w:line="240" w:lineRule="auto"/>
        <w:ind w:left="-720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             </w:t>
      </w:r>
      <w:r w:rsidR="00DA1BEA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Randomizované, nezaslepené klinické hodnocení fáze 3 </w:t>
      </w:r>
    </w:p>
    <w:p w:rsidR="00EF484D" w:rsidRPr="00EF484D" w:rsidRDefault="00EF484D" w:rsidP="00EF484D">
      <w:pPr>
        <w:spacing w:after="0" w:line="240" w:lineRule="auto"/>
        <w:ind w:left="-720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            </w:t>
      </w:r>
      <w:r w:rsidR="00DA1BEA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EF484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F484D">
        <w:rPr>
          <w:rFonts w:ascii="Times New Roman" w:hAnsi="Times New Roman"/>
          <w:sz w:val="18"/>
          <w:szCs w:val="18"/>
        </w:rPr>
        <w:t xml:space="preserve">kontrolované aktivním srovnávacím přípravkem, zkoumající pembrolizumab oproti dvojkombinaci </w:t>
      </w:r>
    </w:p>
    <w:p w:rsidR="00EF484D" w:rsidRPr="00EF484D" w:rsidRDefault="00EF484D" w:rsidP="00DA1BEA">
      <w:pPr>
        <w:spacing w:after="0" w:line="240" w:lineRule="auto"/>
        <w:rPr>
          <w:i/>
          <w:sz w:val="18"/>
          <w:szCs w:val="18"/>
          <w:lang w:eastAsia="cs-CZ"/>
        </w:rPr>
      </w:pPr>
      <w:r w:rsidRPr="00EF484D">
        <w:rPr>
          <w:rFonts w:ascii="Times New Roman" w:hAnsi="Times New Roman"/>
          <w:sz w:val="18"/>
          <w:szCs w:val="18"/>
        </w:rPr>
        <w:t>chemoterapií obsahující platinu v prvn linii léčby u pacientek s pokročilým či recidivujícím karcinomem dělohy s deficitem systému opravy chybného párování bází (dMMR) (KEYNOTE-</w:t>
      </w:r>
      <w:r w:rsidRPr="00DA1BEA">
        <w:rPr>
          <w:rFonts w:ascii="Times New Roman" w:hAnsi="Times New Roman"/>
          <w:sz w:val="18"/>
          <w:szCs w:val="18"/>
        </w:rPr>
        <w:t>C93/GOG-3064/ENGOT-en15)</w:t>
      </w:r>
      <w:r w:rsidRPr="00EF484D">
        <w:rPr>
          <w:sz w:val="18"/>
          <w:szCs w:val="18"/>
        </w:rPr>
        <w:tab/>
      </w:r>
    </w:p>
    <w:p w:rsidR="00EF484D" w:rsidRPr="00DA1BEA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lastRenderedPageBreak/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bookmarkStart w:id="24" w:name="_Hlk93492873"/>
      <w:r w:rsidRPr="00EF484D">
        <w:rPr>
          <w:rFonts w:ascii="Times New Roman" w:hAnsi="Times New Roman"/>
          <w:sz w:val="18"/>
          <w:szCs w:val="18"/>
        </w:rPr>
        <w:t>MK-3475-C93/GOG-3064/ENGOT-en15</w:t>
      </w:r>
      <w:bookmarkEnd w:id="24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2021-003185-12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5" w:name="_Hlk99955599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50/22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Adjuvantní enkorafenib a binimetinib v porovnání s placebem u plně resekovaného melanomu stadia IIB/C s mutací BRAF V600E/K: randomizované, trojitě zaslepené klinické hodnocení fáze III ve spolupráci s EORTC Melanoma Group </w:t>
      </w:r>
      <w:r w:rsidRPr="00EF484D">
        <w:rPr>
          <w:rFonts w:ascii="Times New Roman" w:hAnsi="Times New Roman"/>
          <w:b/>
          <w:bCs/>
          <w:sz w:val="18"/>
          <w:szCs w:val="18"/>
        </w:rPr>
        <w:tab/>
        <w:t xml:space="preserve">               </w:t>
      </w:r>
      <w:r w:rsidRPr="00EF484D">
        <w:rPr>
          <w:rFonts w:ascii="Times New Roman" w:hAnsi="Times New Roman"/>
          <w:b/>
          <w:bCs/>
          <w:sz w:val="18"/>
          <w:szCs w:val="18"/>
        </w:rPr>
        <w:tab/>
      </w:r>
      <w:r w:rsidRPr="00EF484D">
        <w:rPr>
          <w:rFonts w:ascii="Times New Roman" w:hAnsi="Times New Roman"/>
          <w:b/>
          <w:bCs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W00090GE303 / EORTC-2139-MG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2021-004310-19</w:t>
      </w:r>
    </w:p>
    <w:bookmarkEnd w:id="25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6" w:name="_Hlk99955865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52/22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Multicentrické, randomizované, dvojitě zaslepené, placebem kontrolované klinické hodnocení fáze 3 s paralelními skupinami, jehož cílem je vyhodnotit účinnost a bezpečnost dvou režimů dávkování MEDI3506 jako dlouhodobé léčby u pacientů se symptomatickou chronickou obstrukční plicní nemocí (CHOPN), kteří mají v anamnéze CHOPN exacerbace (studie OBERON)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D9180C00003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2021-003797-30</w:t>
      </w:r>
    </w:p>
    <w:bookmarkEnd w:id="26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7" w:name="_Hlk155940320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70/22</w:t>
      </w:r>
    </w:p>
    <w:p w:rsidR="00EF484D" w:rsidRPr="00EF484D" w:rsidRDefault="00EF484D" w:rsidP="00DA1BE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Randomizované, dvojitě zaslepené, placebem kontrolované klinické hodnocení fáze 3 s paralelními skupinami, jehož cílem je vyhodnotit účinnost a bezpečnost tezepelumabu během 28 týdnů podávání a následného sledování za účelem snižování užití orálních kortikosteroidů u pacientů s astmatem, kteří jsou na užívání orálních kortikosteroidů závislí (studie SUNRISE)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D5180C00024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2021-006691-17</w:t>
      </w:r>
    </w:p>
    <w:bookmarkEnd w:id="27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8" w:name="_Hlk108163967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122/22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Observační postmarketingový registr účinnosti a bezpečnosti darvadstrocelu u pacientů s Crohnovou nemocí a komplikovanými perianálními píštělemi (INSPIRE)</w:t>
      </w:r>
      <w:r w:rsidRPr="00EF484D">
        <w:rPr>
          <w:rFonts w:ascii="Times New Roman" w:hAnsi="Times New Roman"/>
          <w:i/>
          <w:sz w:val="18"/>
          <w:szCs w:val="18"/>
        </w:rPr>
        <w:tab/>
      </w:r>
      <w:r w:rsidRPr="00EF484D">
        <w:rPr>
          <w:rFonts w:ascii="Times New Roman" w:hAnsi="Times New Roman"/>
          <w:i/>
          <w:sz w:val="18"/>
          <w:szCs w:val="18"/>
        </w:rPr>
        <w:tab/>
      </w:r>
      <w:r w:rsidRPr="00EF484D">
        <w:rPr>
          <w:rFonts w:ascii="Times New Roman" w:hAnsi="Times New Roman"/>
          <w:i/>
          <w:sz w:val="18"/>
          <w:szCs w:val="18"/>
        </w:rPr>
        <w:tab/>
      </w:r>
      <w:r w:rsidRPr="00EF484D">
        <w:rPr>
          <w:rFonts w:ascii="Times New Roman" w:hAnsi="Times New Roman"/>
          <w:i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Alofisel®-5003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N/A</w:t>
      </w:r>
    </w:p>
    <w:bookmarkEnd w:id="28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bookmarkStart w:id="29" w:name="_Hlk112071434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139/22 MEK 19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Nezaslepená jednoramenná multicentrická studie fáze 2 hodnotící účinnost a bezpečnost přípravku SOT101 v kombinaci s cetuximabem u pacientů s kolorektálním karcinomem divokého typu RAS (AURELIO-05) </w:t>
      </w:r>
      <w:r w:rsidRPr="00EF484D">
        <w:rPr>
          <w:rFonts w:ascii="Times New Roman" w:hAnsi="Times New Roman"/>
          <w:sz w:val="18"/>
          <w:szCs w:val="18"/>
        </w:rPr>
        <w:tab/>
      </w:r>
      <w:r w:rsidRPr="00EF484D">
        <w:rPr>
          <w:rFonts w:ascii="Times New Roman" w:hAnsi="Times New Roman"/>
          <w:sz w:val="18"/>
          <w:szCs w:val="18"/>
        </w:rPr>
        <w:tab/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SC105 (AURELIO-05)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2022-001527-32</w:t>
      </w:r>
    </w:p>
    <w:bookmarkEnd w:id="29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0" w:name="_Hlk114488159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146/22 MEK 22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Randomizovaná, otevřená, multicentrická studie fáze II hodnotící více dávek RO7247669 u pacientů s nepředléčeným neresekovatelným nebo metastazujícím melanomem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BP43963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2022-000631-23</w:t>
      </w:r>
    </w:p>
    <w:bookmarkEnd w:id="30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1" w:name="_Hlk121750784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184/22 MEK 29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Otevřená studie fáze 1/2a hodnotící bezpečnost, snášenlivost, farmakokinetiku, farmakodynamiku a účinnost přípravku modakafusp alfa v kombinaci s daratumumabem podávaným subkutánně u pacientů s relabujícím nebo refrakterním mnohočetným myelomem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TAK-573-2001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2022-002169-14</w:t>
      </w:r>
    </w:p>
    <w:bookmarkEnd w:id="31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2/23 MEK 2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de-DE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bCs/>
          <w:sz w:val="18"/>
          <w:szCs w:val="18"/>
          <w:lang w:val="de-DE"/>
        </w:rPr>
        <w:t xml:space="preserve">ROSY: Hlavní Roll Over StudY (převáděcí klinická studie) pro pacienty, kteří dokončili předchozí onkologickou studii a podle názoru zkoušejícího lékaře mají z pokračující léčby klinický prospěch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  <w:lang w:val="de-DE"/>
        </w:rPr>
        <w:t xml:space="preserve">ROSY-D: Roll Over StudY (převáděcí klinická studie) pro pacienty, kteří dokončili předchozí onkologickou studii s durvalumabem a podle názoru zkoušejícího lékaře mají z pokračující léčby klinický prospěch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D4191C00137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2021-003031-29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2" w:name="_Hlk135030976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65/23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 xml:space="preserve">Otevřená, prodloužená studie fáze 2 pro subjekty s rakovinou prostaty, které se dříve účastnily klinické studie enzalutamidu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Cs/>
          <w:sz w:val="18"/>
          <w:szCs w:val="18"/>
        </w:rPr>
        <w:t>9785-CL-0123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2016-001694-32</w:t>
      </w:r>
      <w:r w:rsidRPr="00EF484D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bookmarkEnd w:id="32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3" w:name="_Hlk132628724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 </w:t>
      </w:r>
      <w:r w:rsidRPr="00EF484D">
        <w:rPr>
          <w:rFonts w:ascii="Times New Roman" w:hAnsi="Times New Roman"/>
          <w:b/>
          <w:sz w:val="18"/>
          <w:szCs w:val="18"/>
        </w:rPr>
        <w:t>52/23</w:t>
      </w:r>
    </w:p>
    <w:p w:rsidR="00EF484D" w:rsidRPr="00EF484D" w:rsidRDefault="00EF484D" w:rsidP="00EF484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Otevřená studie fáze 1b/2 hodnotící bezpečnost a účinnost přípravku epcoritamab (GEN3013; DuoBody®-CD3 X CD20) u pacientů s relabující/refrakterní chronickou lymfocytickou leukémií a Richterovým syndromem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GCT3013-03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2020-000848-57</w:t>
      </w:r>
    </w:p>
    <w:bookmarkEnd w:id="33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3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4" w:name="_Hlk150760389"/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157/23</w:t>
      </w:r>
    </w:p>
    <w:p w:rsidR="00EF484D" w:rsidRPr="00EF484D" w:rsidRDefault="00EF484D" w:rsidP="00EF484D">
      <w:pPr>
        <w:spacing w:after="0" w:line="240" w:lineRule="auto"/>
        <w:ind w:right="-1"/>
        <w:rPr>
          <w:rFonts w:ascii="Times New Roman" w:hAnsi="Times New Roman"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  <w:lang w:val="en-US"/>
        </w:rPr>
        <w:t>24-týdenní, randomizované, dvojitě zaslepené, placebem kontrolované klinické hodnocení fáze III s paralelními rameny posuzující účinnost a bezpečnost přípravku BLU-5937 s otevřenou pokračovací fází u dospělých účastníků s refrakterním chronickým kašlem včetně nevysvětlitelného chronického kašle (CALM-2</w:t>
      </w:r>
      <w:r w:rsidR="00DA1BEA">
        <w:rPr>
          <w:rFonts w:ascii="Times New Roman" w:hAnsi="Times New Roman"/>
          <w:sz w:val="18"/>
          <w:szCs w:val="18"/>
          <w:lang w:val="en-US"/>
        </w:rPr>
        <w:t>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BUS-P3-02 (CALM-2)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2022-000188-38</w:t>
      </w:r>
    </w:p>
    <w:bookmarkEnd w:id="34"/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165/23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bookmarkStart w:id="35" w:name="_Hlk39739227"/>
      <w:r w:rsidRPr="00EF484D">
        <w:rPr>
          <w:rFonts w:ascii="Times New Roman" w:hAnsi="Times New Roman"/>
          <w:sz w:val="18"/>
          <w:szCs w:val="18"/>
        </w:rPr>
        <w:t>Modulární, nezaslepené, multicentrické klinické hodnocení fáze I/IIa, jehož cílem je vyhodnotit bezpečnost, snášenlivost, farmakokinetiku, farmakodynamiku a předběžnou účinnost zvyšujících se dávek přípravku AZD5305 v monoterapii a v kombinaci s onkologickými léčivy u pacientů s pokročilými solidními malignitami (PETRA)</w:t>
      </w:r>
      <w:r w:rsidRPr="00EF484D">
        <w:rPr>
          <w:rFonts w:ascii="Times New Roman" w:hAnsi="Times New Roman"/>
          <w:bCs/>
          <w:sz w:val="18"/>
          <w:szCs w:val="18"/>
        </w:rPr>
        <w:t xml:space="preserve"> </w:t>
      </w:r>
      <w:bookmarkEnd w:id="35"/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D9720C00001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2020-002688-77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EF484D">
        <w:rPr>
          <w:rFonts w:ascii="Times New Roman" w:hAnsi="Times New Roman"/>
          <w:i/>
          <w:sz w:val="18"/>
          <w:szCs w:val="18"/>
        </w:rPr>
        <w:t>EC issued</w:t>
      </w:r>
      <w:r w:rsidRPr="00EF484D">
        <w:rPr>
          <w:rFonts w:ascii="Times New Roman" w:hAnsi="Times New Roman"/>
          <w:sz w:val="18"/>
          <w:szCs w:val="18"/>
        </w:rPr>
        <w:t xml:space="preserve"> </w:t>
      </w:r>
      <w:r w:rsidRPr="00EF484D">
        <w:rPr>
          <w:rFonts w:ascii="Times New Roman" w:hAnsi="Times New Roman"/>
          <w:i/>
          <w:sz w:val="18"/>
          <w:szCs w:val="18"/>
        </w:rPr>
        <w:t>favourable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EF484D">
        <w:rPr>
          <w:rFonts w:ascii="Times New Roman" w:hAnsi="Times New Roman"/>
          <w:i/>
          <w:sz w:val="18"/>
          <w:szCs w:val="18"/>
        </w:rPr>
        <w:t>Reference number</w:t>
      </w:r>
      <w:r w:rsidRPr="00EF484D">
        <w:rPr>
          <w:rFonts w:ascii="Times New Roman" w:hAnsi="Times New Roman"/>
          <w:sz w:val="18"/>
          <w:szCs w:val="18"/>
        </w:rPr>
        <w:t xml:space="preserve">: </w:t>
      </w:r>
      <w:r w:rsidRPr="00EF484D">
        <w:rPr>
          <w:rFonts w:ascii="Times New Roman" w:hAnsi="Times New Roman"/>
          <w:b/>
          <w:sz w:val="18"/>
          <w:szCs w:val="18"/>
        </w:rPr>
        <w:t>219/12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>Název KH/</w:t>
      </w:r>
      <w:r w:rsidRPr="00EF484D">
        <w:rPr>
          <w:rFonts w:ascii="Times New Roman" w:hAnsi="Times New Roman"/>
          <w:i/>
          <w:sz w:val="18"/>
          <w:szCs w:val="18"/>
        </w:rPr>
        <w:t>Full Title of Clinical Trial</w:t>
      </w:r>
      <w:r w:rsidRPr="00EF484D">
        <w:rPr>
          <w:rFonts w:ascii="Times New Roman" w:hAnsi="Times New Roman"/>
          <w:bCs/>
          <w:sz w:val="18"/>
          <w:szCs w:val="18"/>
        </w:rPr>
        <w:t xml:space="preserve">: </w:t>
      </w:r>
      <w:r w:rsidRPr="00EF484D">
        <w:rPr>
          <w:rFonts w:ascii="Times New Roman" w:hAnsi="Times New Roman"/>
          <w:sz w:val="18"/>
          <w:szCs w:val="18"/>
        </w:rPr>
        <w:t>R</w:t>
      </w:r>
      <w:r w:rsidRPr="00EF484D">
        <w:rPr>
          <w:rFonts w:ascii="Times New Roman" w:hAnsi="Times New Roman"/>
          <w:bCs/>
          <w:sz w:val="18"/>
          <w:szCs w:val="18"/>
        </w:rPr>
        <w:t xml:space="preserve">andomizované, </w:t>
      </w:r>
      <w:r w:rsidRPr="00EF484D">
        <w:rPr>
          <w:rFonts w:ascii="Times New Roman" w:hAnsi="Times New Roman"/>
          <w:sz w:val="18"/>
          <w:szCs w:val="18"/>
        </w:rPr>
        <w:t xml:space="preserve">multicentrické, otevřené </w:t>
      </w:r>
      <w:r w:rsidRPr="00EF484D">
        <w:rPr>
          <w:rFonts w:ascii="Times New Roman" w:hAnsi="Times New Roman"/>
          <w:bCs/>
          <w:sz w:val="18"/>
          <w:szCs w:val="18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                                       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EF484D">
        <w:rPr>
          <w:rFonts w:ascii="Times New Roman" w:hAnsi="Times New Roman"/>
          <w:i/>
          <w:sz w:val="18"/>
          <w:szCs w:val="18"/>
        </w:rPr>
        <w:t>Protocol Code Number</w:t>
      </w:r>
      <w:r w:rsidRPr="00EF484D">
        <w:rPr>
          <w:rFonts w:ascii="Times New Roman" w:hAnsi="Times New Roman"/>
          <w:sz w:val="18"/>
          <w:szCs w:val="18"/>
        </w:rPr>
        <w:t>: BO27938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EF484D">
        <w:rPr>
          <w:rFonts w:ascii="Times New Roman" w:hAnsi="Times New Roman"/>
          <w:i/>
          <w:sz w:val="18"/>
          <w:szCs w:val="18"/>
        </w:rPr>
        <w:t>EudraCT number</w:t>
      </w:r>
      <w:r w:rsidRPr="00EF484D">
        <w:rPr>
          <w:rFonts w:ascii="Times New Roman" w:hAnsi="Times New Roman"/>
          <w:sz w:val="18"/>
          <w:szCs w:val="18"/>
        </w:rPr>
        <w:t>: 2012-002018-37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484D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EF484D">
        <w:rPr>
          <w:rFonts w:ascii="Times New Roman" w:hAnsi="Times New Roman"/>
          <w:i/>
          <w:sz w:val="18"/>
          <w:szCs w:val="18"/>
        </w:rPr>
        <w:t>Ethics Committe´s opinion</w:t>
      </w:r>
      <w:r w:rsidRPr="00EF484D">
        <w:rPr>
          <w:rFonts w:ascii="Times New Roman" w:hAnsi="Times New Roman"/>
          <w:sz w:val="18"/>
          <w:szCs w:val="18"/>
        </w:rPr>
        <w:t>: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F484D">
        <w:rPr>
          <w:rFonts w:ascii="Times New Roman" w:hAnsi="Times New Roman"/>
          <w:bCs/>
          <w:sz w:val="18"/>
          <w:szCs w:val="18"/>
        </w:rPr>
        <w:sym w:font="Wingdings 2" w:char="F0A3"/>
      </w:r>
      <w:r w:rsidRPr="00EF484D">
        <w:rPr>
          <w:rFonts w:ascii="Times New Roman" w:hAnsi="Times New Roman"/>
          <w:bCs/>
          <w:sz w:val="18"/>
          <w:szCs w:val="18"/>
        </w:rPr>
        <w:t xml:space="preserve">   </w:t>
      </w:r>
      <w:r w:rsidRPr="00EF484D">
        <w:rPr>
          <w:rFonts w:ascii="Times New Roman" w:hAnsi="Times New Roman"/>
          <w:sz w:val="18"/>
          <w:szCs w:val="18"/>
        </w:rPr>
        <w:t xml:space="preserve">EK  vydala souhlasné stanovisko// </w:t>
      </w:r>
      <w:r w:rsidRPr="00EF484D">
        <w:rPr>
          <w:rFonts w:ascii="Times New Roman" w:hAnsi="Times New Roman"/>
          <w:i/>
          <w:sz w:val="18"/>
          <w:szCs w:val="18"/>
        </w:rPr>
        <w:t>EC issues</w:t>
      </w:r>
      <w:r w:rsidRPr="00EF484D">
        <w:rPr>
          <w:rFonts w:ascii="Times New Roman" w:hAnsi="Times New Roman"/>
          <w:sz w:val="18"/>
          <w:szCs w:val="18"/>
        </w:rPr>
        <w:t xml:space="preserve"> f</w:t>
      </w:r>
      <w:r w:rsidRPr="00EF484D">
        <w:rPr>
          <w:rFonts w:ascii="Times New Roman" w:hAnsi="Times New Roman"/>
          <w:i/>
          <w:sz w:val="18"/>
          <w:szCs w:val="18"/>
        </w:rPr>
        <w:t>avourable opinion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EF484D">
        <w:rPr>
          <w:rFonts w:ascii="Times New Roman" w:hAnsi="Times New Roman"/>
          <w:sz w:val="18"/>
          <w:szCs w:val="18"/>
        </w:rPr>
        <w:sym w:font="Wingdings 2" w:char="F054"/>
      </w:r>
      <w:r w:rsidRPr="00EF484D">
        <w:rPr>
          <w:rFonts w:ascii="Times New Roman" w:hAnsi="Times New Roman"/>
          <w:sz w:val="18"/>
          <w:szCs w:val="18"/>
        </w:rPr>
        <w:t xml:space="preserve">  </w:t>
      </w:r>
      <w:r w:rsidRPr="00EF484D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EF484D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F484D" w:rsidRPr="00EF484D" w:rsidRDefault="00EF484D" w:rsidP="00EF484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bookmarkEnd w:id="5"/>
    <w:p w:rsidR="005258A7" w:rsidRDefault="005258A7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0FA6" w:rsidRDefault="00950FA6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6" w:name="_Hlk156379245"/>
    </w:p>
    <w:p w:rsidR="00950FA6" w:rsidRPr="00EF484D" w:rsidRDefault="00950FA6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bookmarkStart w:id="37" w:name="_Hlk148511689"/>
      <w:bookmarkStart w:id="38" w:name="_Hlk150778525"/>
      <w:r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Termín a místo konání dalšího jednání komise: 1</w:t>
      </w:r>
      <w:r w:rsidR="00EF484D"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2</w:t>
      </w:r>
      <w:r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.</w:t>
      </w:r>
      <w:r w:rsidR="00EF484D"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2</w:t>
      </w:r>
      <w:r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.2024, 13.30 hod.,  kancelář EK v budově K FNOL.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Zapsala: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5258A7" w:rsidRPr="00EF484D" w:rsidRDefault="005258A7" w:rsidP="00EF484D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5258A7" w:rsidRPr="00EF484D" w:rsidRDefault="005258A7" w:rsidP="00EF484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Datum:  1</w:t>
      </w:r>
      <w:r w:rsidR="00EF484D"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>7.1.2024</w:t>
      </w:r>
      <w:r w:rsidRPr="00EF484D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                                                                                           </w:t>
      </w:r>
      <w:r w:rsidRPr="00EF484D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5258A7" w:rsidRPr="00EF484D" w:rsidRDefault="005258A7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7"/>
    <w:p w:rsidR="005258A7" w:rsidRPr="00EF484D" w:rsidRDefault="005258A7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8"/>
    <w:p w:rsidR="005258A7" w:rsidRPr="00EF484D" w:rsidRDefault="005258A7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258A7" w:rsidRPr="00EF484D" w:rsidRDefault="005258A7" w:rsidP="00EF484D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9" w:name="_GoBack"/>
      <w:bookmarkEnd w:id="36"/>
      <w:bookmarkEnd w:id="39"/>
    </w:p>
    <w:sectPr w:rsidR="005258A7" w:rsidRPr="00EF4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440" w:rsidRDefault="00641440" w:rsidP="00641440">
      <w:pPr>
        <w:spacing w:after="0" w:line="240" w:lineRule="auto"/>
      </w:pPr>
      <w:r>
        <w:separator/>
      </w:r>
    </w:p>
  </w:endnote>
  <w:endnote w:type="continuationSeparator" w:id="0">
    <w:p w:rsidR="00641440" w:rsidRDefault="00641440" w:rsidP="0064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233385"/>
      <w:docPartObj>
        <w:docPartGallery w:val="Page Numbers (Bottom of Page)"/>
        <w:docPartUnique/>
      </w:docPartObj>
    </w:sdtPr>
    <w:sdtContent>
      <w:p w:rsidR="00641440" w:rsidRDefault="006414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1440" w:rsidRDefault="00641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440" w:rsidRDefault="00641440" w:rsidP="00641440">
      <w:pPr>
        <w:spacing w:after="0" w:line="240" w:lineRule="auto"/>
      </w:pPr>
      <w:r>
        <w:separator/>
      </w:r>
    </w:p>
  </w:footnote>
  <w:footnote w:type="continuationSeparator" w:id="0">
    <w:p w:rsidR="00641440" w:rsidRDefault="00641440" w:rsidP="0064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6D2"/>
    <w:multiLevelType w:val="hybridMultilevel"/>
    <w:tmpl w:val="48B22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46F"/>
    <w:multiLevelType w:val="hybridMultilevel"/>
    <w:tmpl w:val="6EA06CD0"/>
    <w:lvl w:ilvl="0" w:tplc="64407484">
      <w:start w:val="1"/>
      <w:numFmt w:val="lowerLetter"/>
      <w:lvlText w:val="%1)"/>
      <w:lvlJc w:val="left"/>
      <w:pPr>
        <w:ind w:left="720" w:hanging="360"/>
      </w:pPr>
      <w:rPr>
        <w:rFonts w:eastAsiaTheme="minorHAnsi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7DF3"/>
    <w:multiLevelType w:val="hybridMultilevel"/>
    <w:tmpl w:val="12B2B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6516"/>
    <w:multiLevelType w:val="hybridMultilevel"/>
    <w:tmpl w:val="EC24B06E"/>
    <w:lvl w:ilvl="0" w:tplc="7EFACA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1808704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A2948"/>
    <w:multiLevelType w:val="hybridMultilevel"/>
    <w:tmpl w:val="CF3A5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0D92"/>
    <w:multiLevelType w:val="hybridMultilevel"/>
    <w:tmpl w:val="51A6A00C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23DE"/>
    <w:multiLevelType w:val="hybridMultilevel"/>
    <w:tmpl w:val="D8CA66F8"/>
    <w:lvl w:ilvl="0" w:tplc="CBA051E0">
      <w:start w:val="1"/>
      <w:numFmt w:val="decimal"/>
      <w:lvlText w:val="%1."/>
      <w:lvlJc w:val="left"/>
      <w:pPr>
        <w:ind w:left="2487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>
      <w:start w:val="1"/>
      <w:numFmt w:val="lowerRoman"/>
      <w:lvlText w:val="%3."/>
      <w:lvlJc w:val="right"/>
      <w:pPr>
        <w:ind w:left="3927" w:hanging="180"/>
      </w:pPr>
    </w:lvl>
    <w:lvl w:ilvl="3" w:tplc="0405000F">
      <w:start w:val="1"/>
      <w:numFmt w:val="decimal"/>
      <w:lvlText w:val="%4."/>
      <w:lvlJc w:val="left"/>
      <w:pPr>
        <w:ind w:left="4647" w:hanging="360"/>
      </w:pPr>
    </w:lvl>
    <w:lvl w:ilvl="4" w:tplc="04050019">
      <w:start w:val="1"/>
      <w:numFmt w:val="lowerLetter"/>
      <w:lvlText w:val="%5."/>
      <w:lvlJc w:val="left"/>
      <w:pPr>
        <w:ind w:left="5367" w:hanging="360"/>
      </w:pPr>
    </w:lvl>
    <w:lvl w:ilvl="5" w:tplc="0405001B">
      <w:start w:val="1"/>
      <w:numFmt w:val="lowerRoman"/>
      <w:lvlText w:val="%6."/>
      <w:lvlJc w:val="right"/>
      <w:pPr>
        <w:ind w:left="6087" w:hanging="180"/>
      </w:pPr>
    </w:lvl>
    <w:lvl w:ilvl="6" w:tplc="0405000F">
      <w:start w:val="1"/>
      <w:numFmt w:val="decimal"/>
      <w:lvlText w:val="%7."/>
      <w:lvlJc w:val="left"/>
      <w:pPr>
        <w:ind w:left="6807" w:hanging="360"/>
      </w:pPr>
    </w:lvl>
    <w:lvl w:ilvl="7" w:tplc="04050019">
      <w:start w:val="1"/>
      <w:numFmt w:val="lowerLetter"/>
      <w:lvlText w:val="%8."/>
      <w:lvlJc w:val="left"/>
      <w:pPr>
        <w:ind w:left="7527" w:hanging="360"/>
      </w:pPr>
    </w:lvl>
    <w:lvl w:ilvl="8" w:tplc="0405001B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9882881"/>
    <w:multiLevelType w:val="hybridMultilevel"/>
    <w:tmpl w:val="BD3E87F2"/>
    <w:lvl w:ilvl="0" w:tplc="21366A62">
      <w:start w:val="1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5FB1"/>
    <w:multiLevelType w:val="hybridMultilevel"/>
    <w:tmpl w:val="B2EE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10E9"/>
    <w:multiLevelType w:val="hybridMultilevel"/>
    <w:tmpl w:val="6BCAB0A8"/>
    <w:lvl w:ilvl="0" w:tplc="FFFFFFFF">
      <w:start w:val="1"/>
      <w:numFmt w:val="lowerLetter"/>
      <w:lvlText w:val="%1."/>
      <w:lvlJc w:val="left"/>
      <w:pPr>
        <w:ind w:left="116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87" w:hanging="360"/>
      </w:pPr>
    </w:lvl>
    <w:lvl w:ilvl="2" w:tplc="FFFFFFFF">
      <w:start w:val="1"/>
      <w:numFmt w:val="lowerRoman"/>
      <w:lvlText w:val="%3."/>
      <w:lvlJc w:val="right"/>
      <w:pPr>
        <w:ind w:left="2607" w:hanging="180"/>
      </w:pPr>
    </w:lvl>
    <w:lvl w:ilvl="3" w:tplc="FFFFFFFF">
      <w:start w:val="1"/>
      <w:numFmt w:val="decimal"/>
      <w:lvlText w:val="%4."/>
      <w:lvlJc w:val="left"/>
      <w:pPr>
        <w:ind w:left="3327" w:hanging="360"/>
      </w:pPr>
    </w:lvl>
    <w:lvl w:ilvl="4" w:tplc="FFFFFFFF">
      <w:start w:val="1"/>
      <w:numFmt w:val="lowerLetter"/>
      <w:lvlText w:val="%5."/>
      <w:lvlJc w:val="left"/>
      <w:pPr>
        <w:ind w:left="4047" w:hanging="360"/>
      </w:pPr>
    </w:lvl>
    <w:lvl w:ilvl="5" w:tplc="FFFFFFFF">
      <w:start w:val="1"/>
      <w:numFmt w:val="lowerRoman"/>
      <w:lvlText w:val="%6."/>
      <w:lvlJc w:val="right"/>
      <w:pPr>
        <w:ind w:left="4767" w:hanging="180"/>
      </w:pPr>
    </w:lvl>
    <w:lvl w:ilvl="6" w:tplc="FFFFFFFF">
      <w:start w:val="1"/>
      <w:numFmt w:val="decimal"/>
      <w:lvlText w:val="%7."/>
      <w:lvlJc w:val="left"/>
      <w:pPr>
        <w:ind w:left="5487" w:hanging="360"/>
      </w:pPr>
    </w:lvl>
    <w:lvl w:ilvl="7" w:tplc="FFFFFFFF">
      <w:start w:val="1"/>
      <w:numFmt w:val="lowerLetter"/>
      <w:lvlText w:val="%8."/>
      <w:lvlJc w:val="left"/>
      <w:pPr>
        <w:ind w:left="6207" w:hanging="360"/>
      </w:pPr>
    </w:lvl>
    <w:lvl w:ilvl="8" w:tplc="FFFFFFFF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1E833F06"/>
    <w:multiLevelType w:val="hybridMultilevel"/>
    <w:tmpl w:val="48B225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6204"/>
    <w:multiLevelType w:val="hybridMultilevel"/>
    <w:tmpl w:val="91341D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D24"/>
    <w:multiLevelType w:val="hybridMultilevel"/>
    <w:tmpl w:val="2B7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1F83"/>
    <w:multiLevelType w:val="hybridMultilevel"/>
    <w:tmpl w:val="D8CA66F8"/>
    <w:lvl w:ilvl="0" w:tplc="CBA051E0">
      <w:start w:val="1"/>
      <w:numFmt w:val="decimal"/>
      <w:lvlText w:val="%1."/>
      <w:lvlJc w:val="left"/>
      <w:pPr>
        <w:ind w:left="2487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>
      <w:start w:val="1"/>
      <w:numFmt w:val="lowerRoman"/>
      <w:lvlText w:val="%3."/>
      <w:lvlJc w:val="right"/>
      <w:pPr>
        <w:ind w:left="3927" w:hanging="180"/>
      </w:pPr>
    </w:lvl>
    <w:lvl w:ilvl="3" w:tplc="0405000F">
      <w:start w:val="1"/>
      <w:numFmt w:val="decimal"/>
      <w:lvlText w:val="%4."/>
      <w:lvlJc w:val="left"/>
      <w:pPr>
        <w:ind w:left="4647" w:hanging="360"/>
      </w:pPr>
    </w:lvl>
    <w:lvl w:ilvl="4" w:tplc="04050019">
      <w:start w:val="1"/>
      <w:numFmt w:val="lowerLetter"/>
      <w:lvlText w:val="%5."/>
      <w:lvlJc w:val="left"/>
      <w:pPr>
        <w:ind w:left="5367" w:hanging="360"/>
      </w:pPr>
    </w:lvl>
    <w:lvl w:ilvl="5" w:tplc="0405001B">
      <w:start w:val="1"/>
      <w:numFmt w:val="lowerRoman"/>
      <w:lvlText w:val="%6."/>
      <w:lvlJc w:val="right"/>
      <w:pPr>
        <w:ind w:left="6087" w:hanging="180"/>
      </w:pPr>
    </w:lvl>
    <w:lvl w:ilvl="6" w:tplc="0405000F">
      <w:start w:val="1"/>
      <w:numFmt w:val="decimal"/>
      <w:lvlText w:val="%7."/>
      <w:lvlJc w:val="left"/>
      <w:pPr>
        <w:ind w:left="6807" w:hanging="360"/>
      </w:pPr>
    </w:lvl>
    <w:lvl w:ilvl="7" w:tplc="04050019">
      <w:start w:val="1"/>
      <w:numFmt w:val="lowerLetter"/>
      <w:lvlText w:val="%8."/>
      <w:lvlJc w:val="left"/>
      <w:pPr>
        <w:ind w:left="7527" w:hanging="360"/>
      </w:pPr>
    </w:lvl>
    <w:lvl w:ilvl="8" w:tplc="0405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2EF057B2"/>
    <w:multiLevelType w:val="hybridMultilevel"/>
    <w:tmpl w:val="D79CFBB4"/>
    <w:lvl w:ilvl="0" w:tplc="B1B8535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E3E23"/>
    <w:multiLevelType w:val="hybridMultilevel"/>
    <w:tmpl w:val="65C6EA88"/>
    <w:lvl w:ilvl="0" w:tplc="0144D3A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76F60"/>
    <w:multiLevelType w:val="multilevel"/>
    <w:tmpl w:val="73E8F876"/>
    <w:lvl w:ilvl="0">
      <w:start w:val="1"/>
      <w:numFmt w:val="bullet"/>
      <w:pStyle w:val="ListBulletLevel2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803"/>
        </w:tabs>
        <w:ind w:left="180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523"/>
        </w:tabs>
        <w:ind w:left="2523" w:hanging="36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3"/>
        </w:tabs>
        <w:ind w:left="3243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35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57"/>
        </w:tabs>
        <w:ind w:left="3957" w:hanging="357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6F93D80"/>
    <w:multiLevelType w:val="hybridMultilevel"/>
    <w:tmpl w:val="A7445376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D6B97"/>
    <w:multiLevelType w:val="hybridMultilevel"/>
    <w:tmpl w:val="A7445376"/>
    <w:lvl w:ilvl="0" w:tplc="088AD1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A47570"/>
    <w:multiLevelType w:val="hybridMultilevel"/>
    <w:tmpl w:val="3DEC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F6CC7"/>
    <w:multiLevelType w:val="hybridMultilevel"/>
    <w:tmpl w:val="42A8B0A4"/>
    <w:lvl w:ilvl="0" w:tplc="7DF0C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6DD4DD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A6706"/>
    <w:multiLevelType w:val="hybridMultilevel"/>
    <w:tmpl w:val="16422794"/>
    <w:lvl w:ilvl="0" w:tplc="D414C3EC">
      <w:start w:val="1"/>
      <w:numFmt w:val="lowerLetter"/>
      <w:lvlText w:val="%1."/>
      <w:lvlJc w:val="left"/>
      <w:pPr>
        <w:ind w:left="1167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887" w:hanging="360"/>
      </w:pPr>
    </w:lvl>
    <w:lvl w:ilvl="2" w:tplc="FFFFFFFF">
      <w:start w:val="1"/>
      <w:numFmt w:val="lowerRoman"/>
      <w:lvlText w:val="%3."/>
      <w:lvlJc w:val="right"/>
      <w:pPr>
        <w:ind w:left="2607" w:hanging="180"/>
      </w:pPr>
    </w:lvl>
    <w:lvl w:ilvl="3" w:tplc="FFFFFFFF">
      <w:start w:val="1"/>
      <w:numFmt w:val="decimal"/>
      <w:lvlText w:val="%4."/>
      <w:lvlJc w:val="left"/>
      <w:pPr>
        <w:ind w:left="3327" w:hanging="360"/>
      </w:pPr>
    </w:lvl>
    <w:lvl w:ilvl="4" w:tplc="FFFFFFFF">
      <w:start w:val="1"/>
      <w:numFmt w:val="lowerLetter"/>
      <w:lvlText w:val="%5."/>
      <w:lvlJc w:val="left"/>
      <w:pPr>
        <w:ind w:left="4047" w:hanging="360"/>
      </w:pPr>
    </w:lvl>
    <w:lvl w:ilvl="5" w:tplc="FFFFFFFF">
      <w:start w:val="1"/>
      <w:numFmt w:val="lowerRoman"/>
      <w:lvlText w:val="%6."/>
      <w:lvlJc w:val="right"/>
      <w:pPr>
        <w:ind w:left="4767" w:hanging="180"/>
      </w:pPr>
    </w:lvl>
    <w:lvl w:ilvl="6" w:tplc="FFFFFFFF">
      <w:start w:val="1"/>
      <w:numFmt w:val="decimal"/>
      <w:lvlText w:val="%7."/>
      <w:lvlJc w:val="left"/>
      <w:pPr>
        <w:ind w:left="5487" w:hanging="360"/>
      </w:pPr>
    </w:lvl>
    <w:lvl w:ilvl="7" w:tplc="FFFFFFFF">
      <w:start w:val="1"/>
      <w:numFmt w:val="lowerLetter"/>
      <w:lvlText w:val="%8."/>
      <w:lvlJc w:val="left"/>
      <w:pPr>
        <w:ind w:left="6207" w:hanging="360"/>
      </w:pPr>
    </w:lvl>
    <w:lvl w:ilvl="8" w:tplc="FFFFFFFF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3FF15212"/>
    <w:multiLevelType w:val="hybridMultilevel"/>
    <w:tmpl w:val="6170A3FC"/>
    <w:lvl w:ilvl="0" w:tplc="22F0C68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80C6A"/>
    <w:multiLevelType w:val="hybridMultilevel"/>
    <w:tmpl w:val="FBA46EF2"/>
    <w:lvl w:ilvl="0" w:tplc="DC925CA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516A"/>
    <w:multiLevelType w:val="hybridMultilevel"/>
    <w:tmpl w:val="65C6EA8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4306F0"/>
    <w:multiLevelType w:val="hybridMultilevel"/>
    <w:tmpl w:val="16422794"/>
    <w:lvl w:ilvl="0" w:tplc="FFFFFFFF">
      <w:start w:val="1"/>
      <w:numFmt w:val="lowerLetter"/>
      <w:lvlText w:val="%1."/>
      <w:lvlJc w:val="left"/>
      <w:pPr>
        <w:ind w:left="1167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887" w:hanging="360"/>
      </w:pPr>
    </w:lvl>
    <w:lvl w:ilvl="2" w:tplc="FFFFFFFF">
      <w:start w:val="1"/>
      <w:numFmt w:val="lowerRoman"/>
      <w:lvlText w:val="%3."/>
      <w:lvlJc w:val="right"/>
      <w:pPr>
        <w:ind w:left="2607" w:hanging="180"/>
      </w:pPr>
    </w:lvl>
    <w:lvl w:ilvl="3" w:tplc="FFFFFFFF">
      <w:start w:val="1"/>
      <w:numFmt w:val="decimal"/>
      <w:lvlText w:val="%4."/>
      <w:lvlJc w:val="left"/>
      <w:pPr>
        <w:ind w:left="3327" w:hanging="360"/>
      </w:pPr>
    </w:lvl>
    <w:lvl w:ilvl="4" w:tplc="FFFFFFFF">
      <w:start w:val="1"/>
      <w:numFmt w:val="lowerLetter"/>
      <w:lvlText w:val="%5."/>
      <w:lvlJc w:val="left"/>
      <w:pPr>
        <w:ind w:left="4047" w:hanging="360"/>
      </w:pPr>
    </w:lvl>
    <w:lvl w:ilvl="5" w:tplc="FFFFFFFF">
      <w:start w:val="1"/>
      <w:numFmt w:val="lowerRoman"/>
      <w:lvlText w:val="%6."/>
      <w:lvlJc w:val="right"/>
      <w:pPr>
        <w:ind w:left="4767" w:hanging="180"/>
      </w:pPr>
    </w:lvl>
    <w:lvl w:ilvl="6" w:tplc="FFFFFFFF">
      <w:start w:val="1"/>
      <w:numFmt w:val="decimal"/>
      <w:lvlText w:val="%7."/>
      <w:lvlJc w:val="left"/>
      <w:pPr>
        <w:ind w:left="5487" w:hanging="360"/>
      </w:pPr>
    </w:lvl>
    <w:lvl w:ilvl="7" w:tplc="FFFFFFFF">
      <w:start w:val="1"/>
      <w:numFmt w:val="lowerLetter"/>
      <w:lvlText w:val="%8."/>
      <w:lvlJc w:val="left"/>
      <w:pPr>
        <w:ind w:left="6207" w:hanging="360"/>
      </w:pPr>
    </w:lvl>
    <w:lvl w:ilvl="8" w:tplc="FFFFFFFF">
      <w:start w:val="1"/>
      <w:numFmt w:val="lowerRoman"/>
      <w:lvlText w:val="%9."/>
      <w:lvlJc w:val="right"/>
      <w:pPr>
        <w:ind w:left="6927" w:hanging="180"/>
      </w:pPr>
    </w:lvl>
  </w:abstractNum>
  <w:abstractNum w:abstractNumId="26" w15:restartNumberingAfterBreak="0">
    <w:nsid w:val="49CD718E"/>
    <w:multiLevelType w:val="hybridMultilevel"/>
    <w:tmpl w:val="87EE3B20"/>
    <w:lvl w:ilvl="0" w:tplc="5CA6E0A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B6DAD"/>
    <w:multiLevelType w:val="hybridMultilevel"/>
    <w:tmpl w:val="6BCAB0A8"/>
    <w:lvl w:ilvl="0" w:tplc="B15A4412">
      <w:start w:val="1"/>
      <w:numFmt w:val="lowerLetter"/>
      <w:lvlText w:val="%1."/>
      <w:lvlJc w:val="left"/>
      <w:pPr>
        <w:ind w:left="116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87" w:hanging="360"/>
      </w:pPr>
    </w:lvl>
    <w:lvl w:ilvl="2" w:tplc="FFFFFFFF">
      <w:start w:val="1"/>
      <w:numFmt w:val="lowerRoman"/>
      <w:lvlText w:val="%3."/>
      <w:lvlJc w:val="right"/>
      <w:pPr>
        <w:ind w:left="2607" w:hanging="180"/>
      </w:pPr>
    </w:lvl>
    <w:lvl w:ilvl="3" w:tplc="FFFFFFFF">
      <w:start w:val="1"/>
      <w:numFmt w:val="decimal"/>
      <w:lvlText w:val="%4."/>
      <w:lvlJc w:val="left"/>
      <w:pPr>
        <w:ind w:left="3327" w:hanging="360"/>
      </w:pPr>
    </w:lvl>
    <w:lvl w:ilvl="4" w:tplc="FFFFFFFF">
      <w:start w:val="1"/>
      <w:numFmt w:val="lowerLetter"/>
      <w:lvlText w:val="%5."/>
      <w:lvlJc w:val="left"/>
      <w:pPr>
        <w:ind w:left="4047" w:hanging="360"/>
      </w:pPr>
    </w:lvl>
    <w:lvl w:ilvl="5" w:tplc="FFFFFFFF">
      <w:start w:val="1"/>
      <w:numFmt w:val="lowerRoman"/>
      <w:lvlText w:val="%6."/>
      <w:lvlJc w:val="right"/>
      <w:pPr>
        <w:ind w:left="4767" w:hanging="180"/>
      </w:pPr>
    </w:lvl>
    <w:lvl w:ilvl="6" w:tplc="FFFFFFFF">
      <w:start w:val="1"/>
      <w:numFmt w:val="decimal"/>
      <w:lvlText w:val="%7."/>
      <w:lvlJc w:val="left"/>
      <w:pPr>
        <w:ind w:left="5487" w:hanging="360"/>
      </w:pPr>
    </w:lvl>
    <w:lvl w:ilvl="7" w:tplc="FFFFFFFF">
      <w:start w:val="1"/>
      <w:numFmt w:val="lowerLetter"/>
      <w:lvlText w:val="%8."/>
      <w:lvlJc w:val="left"/>
      <w:pPr>
        <w:ind w:left="6207" w:hanging="360"/>
      </w:pPr>
    </w:lvl>
    <w:lvl w:ilvl="8" w:tplc="FFFFFFFF">
      <w:start w:val="1"/>
      <w:numFmt w:val="lowerRoman"/>
      <w:lvlText w:val="%9."/>
      <w:lvlJc w:val="right"/>
      <w:pPr>
        <w:ind w:left="6927" w:hanging="180"/>
      </w:pPr>
    </w:lvl>
  </w:abstractNum>
  <w:abstractNum w:abstractNumId="28" w15:restartNumberingAfterBreak="0">
    <w:nsid w:val="4C87162B"/>
    <w:multiLevelType w:val="hybridMultilevel"/>
    <w:tmpl w:val="EAAC76AE"/>
    <w:lvl w:ilvl="0" w:tplc="7D2A150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939CA"/>
    <w:multiLevelType w:val="hybridMultilevel"/>
    <w:tmpl w:val="E0C0DAE0"/>
    <w:lvl w:ilvl="0" w:tplc="7CE00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80ECE"/>
    <w:multiLevelType w:val="hybridMultilevel"/>
    <w:tmpl w:val="6BCAB0A8"/>
    <w:lvl w:ilvl="0" w:tplc="FFFFFFFF">
      <w:start w:val="1"/>
      <w:numFmt w:val="lowerLetter"/>
      <w:lvlText w:val="%1."/>
      <w:lvlJc w:val="left"/>
      <w:pPr>
        <w:ind w:left="116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87" w:hanging="360"/>
      </w:pPr>
    </w:lvl>
    <w:lvl w:ilvl="2" w:tplc="FFFFFFFF">
      <w:start w:val="1"/>
      <w:numFmt w:val="lowerRoman"/>
      <w:lvlText w:val="%3."/>
      <w:lvlJc w:val="right"/>
      <w:pPr>
        <w:ind w:left="2607" w:hanging="180"/>
      </w:pPr>
    </w:lvl>
    <w:lvl w:ilvl="3" w:tplc="FFFFFFFF">
      <w:start w:val="1"/>
      <w:numFmt w:val="decimal"/>
      <w:lvlText w:val="%4."/>
      <w:lvlJc w:val="left"/>
      <w:pPr>
        <w:ind w:left="3327" w:hanging="360"/>
      </w:pPr>
    </w:lvl>
    <w:lvl w:ilvl="4" w:tplc="FFFFFFFF">
      <w:start w:val="1"/>
      <w:numFmt w:val="lowerLetter"/>
      <w:lvlText w:val="%5."/>
      <w:lvlJc w:val="left"/>
      <w:pPr>
        <w:ind w:left="4047" w:hanging="360"/>
      </w:pPr>
    </w:lvl>
    <w:lvl w:ilvl="5" w:tplc="FFFFFFFF">
      <w:start w:val="1"/>
      <w:numFmt w:val="lowerRoman"/>
      <w:lvlText w:val="%6."/>
      <w:lvlJc w:val="right"/>
      <w:pPr>
        <w:ind w:left="4767" w:hanging="180"/>
      </w:pPr>
    </w:lvl>
    <w:lvl w:ilvl="6" w:tplc="FFFFFFFF">
      <w:start w:val="1"/>
      <w:numFmt w:val="decimal"/>
      <w:lvlText w:val="%7."/>
      <w:lvlJc w:val="left"/>
      <w:pPr>
        <w:ind w:left="5487" w:hanging="360"/>
      </w:pPr>
    </w:lvl>
    <w:lvl w:ilvl="7" w:tplc="FFFFFFFF">
      <w:start w:val="1"/>
      <w:numFmt w:val="lowerLetter"/>
      <w:lvlText w:val="%8."/>
      <w:lvlJc w:val="left"/>
      <w:pPr>
        <w:ind w:left="6207" w:hanging="360"/>
      </w:pPr>
    </w:lvl>
    <w:lvl w:ilvl="8" w:tplc="FFFFFFFF">
      <w:start w:val="1"/>
      <w:numFmt w:val="lowerRoman"/>
      <w:lvlText w:val="%9."/>
      <w:lvlJc w:val="right"/>
      <w:pPr>
        <w:ind w:left="6927" w:hanging="180"/>
      </w:pPr>
    </w:lvl>
  </w:abstractNum>
  <w:abstractNum w:abstractNumId="31" w15:restartNumberingAfterBreak="0">
    <w:nsid w:val="61CE69E1"/>
    <w:multiLevelType w:val="multilevel"/>
    <w:tmpl w:val="05CA8B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3254AB9"/>
    <w:multiLevelType w:val="hybridMultilevel"/>
    <w:tmpl w:val="EB4C7F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F84"/>
    <w:multiLevelType w:val="hybridMultilevel"/>
    <w:tmpl w:val="73028DB8"/>
    <w:lvl w:ilvl="0" w:tplc="745EA0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5F23"/>
    <w:multiLevelType w:val="hybridMultilevel"/>
    <w:tmpl w:val="237A57AC"/>
    <w:lvl w:ilvl="0" w:tplc="04050019">
      <w:start w:val="1"/>
      <w:numFmt w:val="lowerLetter"/>
      <w:lvlText w:val="%1."/>
      <w:lvlJc w:val="left"/>
      <w:pPr>
        <w:ind w:left="1167" w:hanging="360"/>
      </w:pPr>
    </w:lvl>
    <w:lvl w:ilvl="1" w:tplc="04050019">
      <w:start w:val="1"/>
      <w:numFmt w:val="lowerLetter"/>
      <w:lvlText w:val="%2."/>
      <w:lvlJc w:val="left"/>
      <w:pPr>
        <w:ind w:left="1887" w:hanging="360"/>
      </w:pPr>
    </w:lvl>
    <w:lvl w:ilvl="2" w:tplc="0405001B">
      <w:start w:val="1"/>
      <w:numFmt w:val="lowerRoman"/>
      <w:lvlText w:val="%3."/>
      <w:lvlJc w:val="right"/>
      <w:pPr>
        <w:ind w:left="2607" w:hanging="180"/>
      </w:pPr>
    </w:lvl>
    <w:lvl w:ilvl="3" w:tplc="0405000F">
      <w:start w:val="1"/>
      <w:numFmt w:val="decimal"/>
      <w:lvlText w:val="%4."/>
      <w:lvlJc w:val="left"/>
      <w:pPr>
        <w:ind w:left="3327" w:hanging="360"/>
      </w:pPr>
    </w:lvl>
    <w:lvl w:ilvl="4" w:tplc="04050019">
      <w:start w:val="1"/>
      <w:numFmt w:val="lowerLetter"/>
      <w:lvlText w:val="%5."/>
      <w:lvlJc w:val="left"/>
      <w:pPr>
        <w:ind w:left="4047" w:hanging="360"/>
      </w:pPr>
    </w:lvl>
    <w:lvl w:ilvl="5" w:tplc="0405001B">
      <w:start w:val="1"/>
      <w:numFmt w:val="lowerRoman"/>
      <w:lvlText w:val="%6."/>
      <w:lvlJc w:val="right"/>
      <w:pPr>
        <w:ind w:left="4767" w:hanging="180"/>
      </w:pPr>
    </w:lvl>
    <w:lvl w:ilvl="6" w:tplc="0405000F">
      <w:start w:val="1"/>
      <w:numFmt w:val="decimal"/>
      <w:lvlText w:val="%7."/>
      <w:lvlJc w:val="left"/>
      <w:pPr>
        <w:ind w:left="5487" w:hanging="360"/>
      </w:pPr>
    </w:lvl>
    <w:lvl w:ilvl="7" w:tplc="04050019">
      <w:start w:val="1"/>
      <w:numFmt w:val="lowerLetter"/>
      <w:lvlText w:val="%8."/>
      <w:lvlJc w:val="left"/>
      <w:pPr>
        <w:ind w:left="6207" w:hanging="360"/>
      </w:pPr>
    </w:lvl>
    <w:lvl w:ilvl="8" w:tplc="0405001B">
      <w:start w:val="1"/>
      <w:numFmt w:val="lowerRoman"/>
      <w:lvlText w:val="%9."/>
      <w:lvlJc w:val="right"/>
      <w:pPr>
        <w:ind w:left="6927" w:hanging="180"/>
      </w:pPr>
    </w:lvl>
  </w:abstractNum>
  <w:abstractNum w:abstractNumId="35" w15:restartNumberingAfterBreak="0">
    <w:nsid w:val="69DE3DC5"/>
    <w:multiLevelType w:val="hybridMultilevel"/>
    <w:tmpl w:val="BF94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46091"/>
    <w:multiLevelType w:val="hybridMultilevel"/>
    <w:tmpl w:val="EB4C7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D5574"/>
    <w:multiLevelType w:val="hybridMultilevel"/>
    <w:tmpl w:val="2230E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02487"/>
    <w:multiLevelType w:val="hybridMultilevel"/>
    <w:tmpl w:val="6130C76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DB44288"/>
    <w:multiLevelType w:val="hybridMultilevel"/>
    <w:tmpl w:val="35B2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A0A85"/>
    <w:multiLevelType w:val="hybridMultilevel"/>
    <w:tmpl w:val="AE8CC408"/>
    <w:lvl w:ilvl="0" w:tplc="40044F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305173"/>
    <w:multiLevelType w:val="hybridMultilevel"/>
    <w:tmpl w:val="48B225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9"/>
  </w:num>
  <w:num w:numId="4">
    <w:abstractNumId w:val="12"/>
  </w:num>
  <w:num w:numId="5">
    <w:abstractNumId w:val="1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4"/>
  </w:num>
  <w:num w:numId="27">
    <w:abstractNumId w:val="38"/>
  </w:num>
  <w:num w:numId="28">
    <w:abstractNumId w:val="40"/>
  </w:num>
  <w:num w:numId="29">
    <w:abstractNumId w:val="26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7"/>
    <w:rsid w:val="00085810"/>
    <w:rsid w:val="002B14E1"/>
    <w:rsid w:val="00373D49"/>
    <w:rsid w:val="004B1ACD"/>
    <w:rsid w:val="005258A7"/>
    <w:rsid w:val="005A1C76"/>
    <w:rsid w:val="00641440"/>
    <w:rsid w:val="00950FA6"/>
    <w:rsid w:val="00AD0E1B"/>
    <w:rsid w:val="00B740A0"/>
    <w:rsid w:val="00D157B9"/>
    <w:rsid w:val="00DA06F5"/>
    <w:rsid w:val="00DA1BEA"/>
    <w:rsid w:val="00EF484D"/>
    <w:rsid w:val="00F3172C"/>
    <w:rsid w:val="00F82AA9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46B"/>
  <w15:chartTrackingRefBased/>
  <w15:docId w15:val="{323D5088-0BFC-4312-AD59-C5C038DB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58A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258A7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48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8A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58A7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48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8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aliases w:val="Page Header,Even Header,enter name here"/>
    <w:basedOn w:val="Normln"/>
    <w:link w:val="ZhlavChar"/>
    <w:unhideWhenUsed/>
    <w:rsid w:val="005258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aliases w:val="Page Header Char,Even Header Char,enter name here Char"/>
    <w:basedOn w:val="Standardnpsmoodstavce"/>
    <w:link w:val="Zhlav"/>
    <w:rsid w:val="005258A7"/>
  </w:style>
  <w:style w:type="paragraph" w:styleId="Zpat">
    <w:name w:val="footer"/>
    <w:aliases w:val="Page Footer,Footnote"/>
    <w:basedOn w:val="Normln"/>
    <w:link w:val="ZpatChar"/>
    <w:uiPriority w:val="99"/>
    <w:unhideWhenUsed/>
    <w:rsid w:val="005258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aliases w:val="Page Footer Char,Footnote Char"/>
    <w:basedOn w:val="Standardnpsmoodstavce"/>
    <w:link w:val="Zpat"/>
    <w:uiPriority w:val="99"/>
    <w:qFormat/>
    <w:rsid w:val="005258A7"/>
  </w:style>
  <w:style w:type="paragraph" w:styleId="Nzev">
    <w:name w:val="Title"/>
    <w:aliases w:val="@ SIS-ICF title"/>
    <w:basedOn w:val="Normln"/>
    <w:link w:val="NzevChar"/>
    <w:qFormat/>
    <w:rsid w:val="005258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aliases w:val="@ SIS-ICF title Char"/>
    <w:basedOn w:val="Standardnpsmoodstavce"/>
    <w:link w:val="Nzev"/>
    <w:rsid w:val="005258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5258A7"/>
    <w:rPr>
      <w:color w:val="0000FF"/>
      <w:u w:val="single"/>
    </w:rPr>
  </w:style>
  <w:style w:type="paragraph" w:customStyle="1" w:styleId="Default">
    <w:name w:val="Default"/>
    <w:rsid w:val="005258A7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cs-CZ"/>
    </w:rPr>
  </w:style>
  <w:style w:type="paragraph" w:customStyle="1" w:styleId="paragraph">
    <w:name w:val="paragraph"/>
    <w:basedOn w:val="Normln"/>
    <w:rsid w:val="0052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258A7"/>
  </w:style>
  <w:style w:type="paragraph" w:styleId="Normlnweb">
    <w:name w:val="Normal (Web)"/>
    <w:basedOn w:val="Normln"/>
    <w:uiPriority w:val="99"/>
    <w:unhideWhenUsed/>
    <w:rsid w:val="0052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Seznam odrážkový"/>
    <w:basedOn w:val="Normln"/>
    <w:link w:val="OdstavecseseznamemChar"/>
    <w:uiPriority w:val="34"/>
    <w:qFormat/>
    <w:rsid w:val="005258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locked/>
    <w:rsid w:val="005258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5258A7"/>
    <w:pPr>
      <w:spacing w:after="0" w:line="240" w:lineRule="auto"/>
    </w:pPr>
    <w:rPr>
      <w:rFonts w:ascii="Tahoma" w:eastAsia="SimSun" w:hAnsi="Tahom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58A7"/>
    <w:rPr>
      <w:rFonts w:ascii="Tahoma" w:eastAsia="SimSun" w:hAnsi="Tahoma" w:cs="Times New Roman"/>
      <w:sz w:val="20"/>
      <w:szCs w:val="20"/>
    </w:rPr>
  </w:style>
  <w:style w:type="paragraph" w:customStyle="1" w:styleId="02BodyCopy">
    <w:name w:val="_02_Body Copy"/>
    <w:qFormat/>
    <w:rsid w:val="005258A7"/>
    <w:pPr>
      <w:spacing w:after="0" w:line="240" w:lineRule="auto"/>
      <w:ind w:right="56"/>
    </w:pPr>
    <w:rPr>
      <w:rFonts w:ascii="Arial" w:eastAsia="MS Mincho" w:hAnsi="Arial" w:cs="Arial"/>
      <w:color w:val="666666"/>
      <w:lang w:val="en-US"/>
    </w:rPr>
  </w:style>
  <w:style w:type="paragraph" w:styleId="Bezmezer">
    <w:name w:val="No Spacing"/>
    <w:uiPriority w:val="1"/>
    <w:qFormat/>
    <w:rsid w:val="005258A7"/>
    <w:pPr>
      <w:spacing w:after="0" w:line="240" w:lineRule="auto"/>
    </w:pPr>
    <w:rPr>
      <w:sz w:val="24"/>
      <w:szCs w:val="24"/>
      <w:lang w:val="en-US"/>
    </w:rPr>
  </w:style>
  <w:style w:type="paragraph" w:customStyle="1" w:styleId="ListBulletLevel2">
    <w:name w:val="List Bullet Level 2"/>
    <w:basedOn w:val="Normln"/>
    <w:rsid w:val="005258A7"/>
    <w:pPr>
      <w:numPr>
        <w:numId w:val="15"/>
      </w:numPr>
      <w:spacing w:before="120" w:after="0" w:line="240" w:lineRule="auto"/>
    </w:pPr>
    <w:rPr>
      <w:rFonts w:ascii="Times New Roman" w:eastAsia="MS Mincho" w:hAnsi="Times New Roman"/>
      <w:color w:val="000000"/>
      <w:sz w:val="24"/>
      <w:szCs w:val="20"/>
      <w:lang w:val="en-US"/>
    </w:rPr>
  </w:style>
  <w:style w:type="character" w:customStyle="1" w:styleId="eop">
    <w:name w:val="eop"/>
    <w:basedOn w:val="Standardnpsmoodstavce"/>
    <w:rsid w:val="005258A7"/>
  </w:style>
  <w:style w:type="character" w:customStyle="1" w:styleId="scxw260829942">
    <w:name w:val="scxw260829942"/>
    <w:basedOn w:val="Standardnpsmoodstavce"/>
    <w:rsid w:val="005258A7"/>
  </w:style>
  <w:style w:type="character" w:styleId="Nevyeenzmnka">
    <w:name w:val="Unresolved Mention"/>
    <w:basedOn w:val="Standardnpsmoodstavce"/>
    <w:uiPriority w:val="99"/>
    <w:semiHidden/>
    <w:unhideWhenUsed/>
    <w:rsid w:val="005258A7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5258A7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val="en-US" w:bidi="en-US"/>
    </w:rPr>
  </w:style>
  <w:style w:type="paragraph" w:styleId="Zkladntext">
    <w:name w:val="Body Text"/>
    <w:basedOn w:val="Normln"/>
    <w:link w:val="ZkladntextChar"/>
    <w:unhideWhenUsed/>
    <w:rsid w:val="005258A7"/>
    <w:pPr>
      <w:spacing w:after="120" w:line="240" w:lineRule="auto"/>
    </w:pPr>
    <w:rPr>
      <w:rFonts w:ascii="Times" w:eastAsia="Times" w:hAnsi="Times"/>
      <w:noProof/>
      <w:sz w:val="24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5258A7"/>
    <w:rPr>
      <w:rFonts w:ascii="Times" w:eastAsia="Times" w:hAnsi="Times" w:cs="Times New Roman"/>
      <w:noProof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8A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8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nopsisChar">
    <w:name w:val="Synopsis Char"/>
    <w:link w:val="Synopsis"/>
    <w:semiHidden/>
    <w:locked/>
    <w:rsid w:val="005258A7"/>
    <w:rPr>
      <w:rFonts w:ascii="Arial" w:hAnsi="Arial" w:cs="Arial"/>
    </w:rPr>
  </w:style>
  <w:style w:type="paragraph" w:customStyle="1" w:styleId="Synopsis">
    <w:name w:val="Synopsis"/>
    <w:link w:val="SynopsisChar"/>
    <w:semiHidden/>
    <w:rsid w:val="005258A7"/>
    <w:pPr>
      <w:spacing w:before="40" w:after="40" w:line="240" w:lineRule="auto"/>
      <w:jc w:val="both"/>
    </w:pPr>
    <w:rPr>
      <w:rFonts w:ascii="Arial" w:hAnsi="Arial" w:cs="Arial"/>
    </w:rPr>
  </w:style>
  <w:style w:type="character" w:styleId="slostrnky">
    <w:name w:val="page number"/>
    <w:basedOn w:val="Standardnpsmoodstavce"/>
    <w:semiHidden/>
    <w:unhideWhenUsed/>
    <w:rsid w:val="005258A7"/>
  </w:style>
  <w:style w:type="character" w:customStyle="1" w:styleId="ParagraphChar">
    <w:name w:val="Paragraph Char"/>
    <w:aliases w:val="p Char"/>
    <w:link w:val="Paragraph0"/>
    <w:qFormat/>
    <w:locked/>
    <w:rsid w:val="005258A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ragraph0">
    <w:name w:val="Paragraph"/>
    <w:aliases w:val="p"/>
    <w:link w:val="ParagraphChar"/>
    <w:qFormat/>
    <w:rsid w:val="005258A7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BodyChar">
    <w:name w:val="Body Char"/>
    <w:link w:val="Body"/>
    <w:uiPriority w:val="3"/>
    <w:locked/>
    <w:rsid w:val="005258A7"/>
    <w:rPr>
      <w:rFonts w:ascii="Century Gothic" w:eastAsia="MS Mincho" w:hAnsi="Century Gothic" w:cs="Arial"/>
      <w:sz w:val="19"/>
      <w:lang w:val="en-US" w:eastAsia="ja-JP"/>
    </w:rPr>
  </w:style>
  <w:style w:type="paragraph" w:customStyle="1" w:styleId="Body">
    <w:name w:val="Body"/>
    <w:basedOn w:val="Normln"/>
    <w:link w:val="BodyChar"/>
    <w:uiPriority w:val="3"/>
    <w:qFormat/>
    <w:rsid w:val="005258A7"/>
    <w:pPr>
      <w:spacing w:after="240" w:line="240" w:lineRule="auto"/>
    </w:pPr>
    <w:rPr>
      <w:rFonts w:ascii="Century Gothic" w:eastAsia="MS Mincho" w:hAnsi="Century Gothic" w:cs="Arial"/>
      <w:sz w:val="19"/>
      <w:lang w:val="en-US" w:eastAsia="ja-JP"/>
    </w:rPr>
  </w:style>
  <w:style w:type="paragraph" w:customStyle="1" w:styleId="StudyDetails-Body">
    <w:name w:val="StudyDetails - Body"/>
    <w:basedOn w:val="Normln"/>
    <w:rsid w:val="005258A7"/>
    <w:pPr>
      <w:tabs>
        <w:tab w:val="left" w:pos="2835"/>
      </w:tabs>
      <w:autoSpaceDE w:val="0"/>
      <w:autoSpaceDN w:val="0"/>
      <w:spacing w:after="240" w:line="240" w:lineRule="auto"/>
      <w:ind w:left="2836" w:hanging="1985"/>
      <w:jc w:val="both"/>
    </w:pPr>
    <w:rPr>
      <w:rFonts w:ascii="Times New Roman Bold" w:eastAsia="Times New Roman" w:hAnsi="Times New Roman Bold"/>
      <w:b/>
      <w:sz w:val="24"/>
      <w:szCs w:val="20"/>
      <w:lang w:val="en-GB" w:bidi="he-IL"/>
    </w:rPr>
  </w:style>
  <w:style w:type="character" w:customStyle="1" w:styleId="YourNameTitleChar">
    <w:name w:val="YourName/Title Char"/>
    <w:link w:val="YourNameTitle"/>
    <w:uiPriority w:val="7"/>
    <w:locked/>
    <w:rsid w:val="005258A7"/>
    <w:rPr>
      <w:rFonts w:ascii="Century Gothic" w:eastAsia="MS Mincho" w:hAnsi="Century Gothic" w:cs="Arial"/>
      <w:sz w:val="19"/>
      <w:lang w:val="en-US" w:eastAsia="ja-JP"/>
    </w:rPr>
  </w:style>
  <w:style w:type="paragraph" w:customStyle="1" w:styleId="YourNameTitle">
    <w:name w:val="YourName/Title"/>
    <w:basedOn w:val="Normln"/>
    <w:link w:val="YourNameTitleChar"/>
    <w:uiPriority w:val="7"/>
    <w:qFormat/>
    <w:rsid w:val="005258A7"/>
    <w:pPr>
      <w:spacing w:after="240" w:line="240" w:lineRule="auto"/>
      <w:contextualSpacing/>
    </w:pPr>
    <w:rPr>
      <w:rFonts w:ascii="Century Gothic" w:eastAsia="MS Mincho" w:hAnsi="Century Gothic" w:cs="Arial"/>
      <w:sz w:val="19"/>
      <w:lang w:val="en-US" w:eastAsia="ja-JP"/>
    </w:rPr>
  </w:style>
  <w:style w:type="paragraph" w:customStyle="1" w:styleId="CoverTextList">
    <w:name w:val="CoverTextList"/>
    <w:basedOn w:val="Normln"/>
    <w:rsid w:val="005258A7"/>
    <w:pPr>
      <w:suppressAutoHyphens/>
      <w:spacing w:after="280" w:line="240" w:lineRule="auto"/>
      <w:ind w:left="3600" w:hanging="3600"/>
    </w:pPr>
    <w:rPr>
      <w:rFonts w:ascii="Arial" w:eastAsia="SimSun" w:hAnsi="Arial"/>
      <w:b/>
      <w:szCs w:val="20"/>
      <w:lang w:val="en-US"/>
    </w:rPr>
  </w:style>
  <w:style w:type="paragraph" w:styleId="Seznamsodrkami2">
    <w:name w:val="List Bullet 2"/>
    <w:basedOn w:val="Normln"/>
    <w:unhideWhenUsed/>
    <w:rsid w:val="005258A7"/>
    <w:pPr>
      <w:snapToGrid w:val="0"/>
      <w:spacing w:after="240" w:line="240" w:lineRule="auto"/>
    </w:pPr>
    <w:rPr>
      <w:rFonts w:ascii="Times New Roman" w:eastAsia="Times New Roman" w:hAnsi="Times New Roman"/>
      <w:sz w:val="24"/>
      <w:szCs w:val="24"/>
      <w:lang w:val="es-ES_tradn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84D"/>
    <w:rPr>
      <w:rFonts w:ascii="Times New Roman" w:eastAsia="Times New Roman" w:hAnsi="Times New Roman"/>
      <w:b/>
      <w:bCs/>
      <w:lang w:eastAsia="cs-CZ"/>
    </w:rPr>
  </w:style>
  <w:style w:type="paragraph" w:styleId="Seznam">
    <w:name w:val="List"/>
    <w:basedOn w:val="Normln"/>
    <w:next w:val="Normln"/>
    <w:uiPriority w:val="99"/>
    <w:unhideWhenUsed/>
    <w:rsid w:val="00EF484D"/>
    <w:pPr>
      <w:tabs>
        <w:tab w:val="left" w:pos="1701"/>
      </w:tabs>
      <w:spacing w:after="0" w:line="240" w:lineRule="auto"/>
      <w:ind w:left="1701" w:hanging="1701"/>
      <w:contextualSpacing/>
      <w:jc w:val="both"/>
    </w:pPr>
    <w:rPr>
      <w:rFonts w:ascii="Times New Roman" w:eastAsiaTheme="minorHAnsi" w:hAnsi="Times New Roman" w:cstheme="minorBidi"/>
      <w:b/>
      <w:sz w:val="24"/>
      <w:lang w:val="en-GB"/>
    </w:rPr>
  </w:style>
  <w:style w:type="character" w:customStyle="1" w:styleId="Instructions">
    <w:name w:val="Instructions"/>
    <w:rsid w:val="00EF484D"/>
    <w:rPr>
      <w:i/>
      <w:iCs/>
      <w:color w:val="008000"/>
    </w:rPr>
  </w:style>
  <w:style w:type="paragraph" w:customStyle="1" w:styleId="elementtoproof">
    <w:name w:val="elementtoproof"/>
    <w:basedOn w:val="Normln"/>
    <w:rsid w:val="00EF484D"/>
    <w:pPr>
      <w:spacing w:after="0" w:line="240" w:lineRule="auto"/>
    </w:pPr>
    <w:rPr>
      <w:rFonts w:eastAsiaTheme="minorHAnsi" w:cs="Calibri"/>
      <w:lang w:eastAsia="cs-CZ"/>
    </w:rPr>
  </w:style>
  <w:style w:type="character" w:styleId="Siln">
    <w:name w:val="Strong"/>
    <w:uiPriority w:val="22"/>
    <w:qFormat/>
    <w:rsid w:val="00EF484D"/>
    <w:rPr>
      <w:b/>
      <w:bCs/>
    </w:rPr>
  </w:style>
  <w:style w:type="character" w:customStyle="1" w:styleId="C-BodyTextChar">
    <w:name w:val="C-Body Text Char"/>
    <w:link w:val="C-BodyText"/>
    <w:locked/>
    <w:rsid w:val="00EF484D"/>
    <w:rPr>
      <w:sz w:val="24"/>
      <w:lang w:val="en-US"/>
    </w:rPr>
  </w:style>
  <w:style w:type="paragraph" w:customStyle="1" w:styleId="C-BodyText">
    <w:name w:val="C-Body Text"/>
    <w:link w:val="C-BodyTextChar"/>
    <w:rsid w:val="00EF484D"/>
    <w:pPr>
      <w:spacing w:before="120" w:after="120" w:line="280" w:lineRule="atLeast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2AD96D66FC49B8A2A6CC6B97D6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915A1-14AF-40BC-AD3C-A90B13E31567}"/>
      </w:docPartPr>
      <w:docPartBody>
        <w:p w:rsidR="008F47E2" w:rsidRDefault="008F47E2" w:rsidP="008F47E2">
          <w:pPr>
            <w:pStyle w:val="4C2AD96D66FC49B8A2A6CC6B97D605F3"/>
          </w:pPr>
          <w:r>
            <w:rPr>
              <w:highlight w:val="green"/>
            </w:rPr>
            <w:t>insert number(s)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E2"/>
    <w:rsid w:val="008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C2AD96D66FC49B8A2A6CC6B97D605F3">
    <w:name w:val="4C2AD96D66FC49B8A2A6CC6B97D605F3"/>
    <w:rsid w:val="008F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7367</Words>
  <Characters>43471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4</cp:revision>
  <cp:lastPrinted>2024-01-17T09:26:00Z</cp:lastPrinted>
  <dcterms:created xsi:type="dcterms:W3CDTF">2023-12-13T09:36:00Z</dcterms:created>
  <dcterms:modified xsi:type="dcterms:W3CDTF">2024-01-17T09:26:00Z</dcterms:modified>
</cp:coreProperties>
</file>