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2AF" w:rsidRPr="004602AF" w:rsidRDefault="004602AF" w:rsidP="004602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4602AF">
        <w:rPr>
          <w:rFonts w:cstheme="minorHAnsi"/>
          <w:b/>
          <w:color w:val="000000"/>
          <w:sz w:val="24"/>
          <w:szCs w:val="24"/>
        </w:rPr>
        <w:t xml:space="preserve">Studie: čj. 22/24 – SÚKL 611 EUCT </w:t>
      </w:r>
      <w:proofErr w:type="spellStart"/>
      <w:r w:rsidRPr="004602AF">
        <w:rPr>
          <w:rFonts w:cstheme="minorHAnsi"/>
          <w:b/>
          <w:color w:val="000000"/>
          <w:sz w:val="24"/>
          <w:szCs w:val="24"/>
        </w:rPr>
        <w:t>number</w:t>
      </w:r>
      <w:proofErr w:type="spellEnd"/>
      <w:r w:rsidRPr="004602AF">
        <w:rPr>
          <w:rFonts w:cstheme="minorHAnsi"/>
          <w:b/>
          <w:color w:val="000000"/>
          <w:sz w:val="24"/>
          <w:szCs w:val="24"/>
        </w:rPr>
        <w:t xml:space="preserve"> 2024-512477-27-00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09"/>
      </w:tblGrid>
      <w:tr w:rsidR="004602AF" w:rsidRPr="004602AF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6709" w:type="dxa"/>
          </w:tcPr>
          <w:p w:rsidR="004602AF" w:rsidRPr="004602AF" w:rsidRDefault="004602AF" w:rsidP="004602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:rsidR="004602AF" w:rsidRPr="004602AF" w:rsidRDefault="004602AF" w:rsidP="004602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602AF">
              <w:rPr>
                <w:rFonts w:cstheme="minorHAnsi"/>
                <w:b/>
                <w:color w:val="000000"/>
                <w:sz w:val="24"/>
                <w:szCs w:val="24"/>
              </w:rPr>
              <w:t xml:space="preserve">Otevřená studie fáze 2/3 hodnotící účinnost a bezpečnost </w:t>
            </w:r>
            <w:proofErr w:type="spellStart"/>
            <w:r w:rsidRPr="004602AF">
              <w:rPr>
                <w:rFonts w:cstheme="minorHAnsi"/>
                <w:b/>
                <w:color w:val="000000"/>
                <w:sz w:val="24"/>
                <w:szCs w:val="24"/>
              </w:rPr>
              <w:t>luveltamab</w:t>
            </w:r>
            <w:proofErr w:type="spellEnd"/>
            <w:r w:rsidRPr="004602AF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2AF">
              <w:rPr>
                <w:rFonts w:cstheme="minorHAnsi"/>
                <w:b/>
                <w:color w:val="000000"/>
                <w:sz w:val="24"/>
                <w:szCs w:val="24"/>
              </w:rPr>
              <w:t>tazevibulinu</w:t>
            </w:r>
            <w:proofErr w:type="spellEnd"/>
            <w:r w:rsidRPr="004602AF">
              <w:rPr>
                <w:rFonts w:cstheme="minorHAnsi"/>
                <w:b/>
                <w:color w:val="000000"/>
                <w:sz w:val="24"/>
                <w:szCs w:val="24"/>
              </w:rPr>
              <w:t xml:space="preserve"> (STRO-002) oproti chemoterapii dle volby zkoušejícího (IC) u žen s </w:t>
            </w:r>
            <w:proofErr w:type="spellStart"/>
            <w:r w:rsidRPr="004602AF">
              <w:rPr>
                <w:rFonts w:cstheme="minorHAnsi"/>
                <w:b/>
                <w:color w:val="000000"/>
                <w:sz w:val="24"/>
                <w:szCs w:val="24"/>
              </w:rPr>
              <w:t>relabujícím</w:t>
            </w:r>
            <w:proofErr w:type="spellEnd"/>
            <w:r w:rsidRPr="004602AF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602AF">
              <w:rPr>
                <w:rFonts w:cstheme="minorHAnsi"/>
                <w:b/>
                <w:color w:val="000000"/>
                <w:sz w:val="24"/>
                <w:szCs w:val="24"/>
              </w:rPr>
              <w:t>epiteliálním- karcinomem</w:t>
            </w:r>
            <w:proofErr w:type="gramEnd"/>
            <w:r w:rsidRPr="004602AF">
              <w:rPr>
                <w:rFonts w:cstheme="minorHAnsi"/>
                <w:b/>
                <w:color w:val="000000"/>
                <w:sz w:val="24"/>
                <w:szCs w:val="24"/>
              </w:rPr>
              <w:t xml:space="preserve"> vaječníků (včetně karcinomu vejcovodů nebo primárního peritoneálního karcinomu) rezistentním k platině a </w:t>
            </w:r>
            <w:proofErr w:type="spellStart"/>
            <w:r w:rsidRPr="004602AF">
              <w:rPr>
                <w:rFonts w:cstheme="minorHAnsi"/>
                <w:b/>
                <w:color w:val="000000"/>
                <w:sz w:val="24"/>
                <w:szCs w:val="24"/>
              </w:rPr>
              <w:t>exprimujícím</w:t>
            </w:r>
            <w:proofErr w:type="spellEnd"/>
            <w:r w:rsidRPr="004602AF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2AF">
              <w:rPr>
                <w:rFonts w:cstheme="minorHAnsi"/>
                <w:b/>
                <w:color w:val="000000"/>
                <w:sz w:val="24"/>
                <w:szCs w:val="24"/>
              </w:rPr>
              <w:t>folátový</w:t>
            </w:r>
            <w:proofErr w:type="spellEnd"/>
            <w:r w:rsidRPr="004602AF">
              <w:rPr>
                <w:rFonts w:cstheme="minorHAnsi"/>
                <w:b/>
                <w:color w:val="000000"/>
                <w:sz w:val="24"/>
                <w:szCs w:val="24"/>
              </w:rPr>
              <w:t xml:space="preserve"> receptor alfa (FOLR1) </w:t>
            </w:r>
          </w:p>
        </w:tc>
      </w:tr>
    </w:tbl>
    <w:p w:rsidR="004602AF" w:rsidRPr="004602AF" w:rsidRDefault="004602AF" w:rsidP="004602AF">
      <w:pPr>
        <w:shd w:val="clear" w:color="auto" w:fill="FFFFFF"/>
        <w:spacing w:line="240" w:lineRule="auto"/>
        <w:rPr>
          <w:rFonts w:eastAsia="Times New Roman" w:cstheme="minorHAnsi"/>
          <w:color w:val="1E1E1E"/>
          <w:sz w:val="24"/>
          <w:szCs w:val="24"/>
          <w:lang w:eastAsia="cs-CZ"/>
        </w:rPr>
      </w:pPr>
    </w:p>
    <w:p w:rsidR="004602AF" w:rsidRPr="004602AF" w:rsidRDefault="004602AF" w:rsidP="004602AF">
      <w:pPr>
        <w:shd w:val="clear" w:color="auto" w:fill="FFFFFF"/>
        <w:spacing w:line="240" w:lineRule="auto"/>
        <w:rPr>
          <w:rFonts w:eastAsia="Times New Roman" w:cstheme="minorHAnsi"/>
          <w:color w:val="1E1E1E"/>
          <w:sz w:val="24"/>
          <w:szCs w:val="24"/>
          <w:lang w:eastAsia="cs-CZ"/>
        </w:rPr>
      </w:pPr>
    </w:p>
    <w:p w:rsidR="004602AF" w:rsidRPr="004602AF" w:rsidRDefault="004602AF" w:rsidP="004602AF">
      <w:pPr>
        <w:shd w:val="clear" w:color="auto" w:fill="FFFFFF"/>
        <w:spacing w:line="240" w:lineRule="auto"/>
        <w:rPr>
          <w:rFonts w:eastAsia="Times New Roman" w:cstheme="minorHAnsi"/>
          <w:color w:val="1E1E1E"/>
          <w:sz w:val="24"/>
          <w:szCs w:val="24"/>
          <w:lang w:eastAsia="cs-CZ"/>
        </w:rPr>
      </w:pP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Consideration</w:t>
      </w:r>
      <w:proofErr w:type="spellEnd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 numberRFI-CT-2024-512477-27-00-IN-011-01</w:t>
      </w:r>
    </w:p>
    <w:p w:rsidR="004602AF" w:rsidRPr="004602AF" w:rsidRDefault="004602AF" w:rsidP="004602AF">
      <w:pPr>
        <w:shd w:val="clear" w:color="auto" w:fill="FFFFFF"/>
        <w:spacing w:line="240" w:lineRule="auto"/>
        <w:rPr>
          <w:rFonts w:eastAsia="Times New Roman" w:cstheme="minorHAnsi"/>
          <w:color w:val="1E1E1E"/>
          <w:sz w:val="24"/>
          <w:szCs w:val="24"/>
          <w:lang w:eastAsia="cs-CZ"/>
        </w:rPr>
      </w:pP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Application</w:t>
      </w:r>
      <w:proofErr w:type="spellEnd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 </w:t>
      </w: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section</w:t>
      </w:r>
      <w:proofErr w:type="spellEnd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 </w:t>
      </w: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partsPart</w:t>
      </w:r>
      <w:proofErr w:type="spellEnd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 </w:t>
      </w:r>
      <w:proofErr w:type="gram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II - </w:t>
      </w: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Czechia</w:t>
      </w:r>
      <w:proofErr w:type="spellEnd"/>
      <w:proofErr w:type="gramEnd"/>
    </w:p>
    <w:p w:rsidR="004602AF" w:rsidRPr="004602AF" w:rsidRDefault="004602AF" w:rsidP="004602AF">
      <w:pPr>
        <w:shd w:val="clear" w:color="auto" w:fill="FFFFFF"/>
        <w:spacing w:line="240" w:lineRule="auto"/>
        <w:rPr>
          <w:rFonts w:eastAsia="Times New Roman" w:cstheme="minorHAnsi"/>
          <w:color w:val="1E1E1E"/>
          <w:sz w:val="24"/>
          <w:szCs w:val="24"/>
          <w:lang w:eastAsia="cs-CZ"/>
        </w:rPr>
      </w:pP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Application</w:t>
      </w:r>
      <w:proofErr w:type="spellEnd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 </w:t>
      </w: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section</w:t>
      </w:r>
      <w:proofErr w:type="spellEnd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 and </w:t>
      </w: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documentSubject</w:t>
      </w:r>
      <w:proofErr w:type="spellEnd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 </w:t>
      </w: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information</w:t>
      </w:r>
      <w:proofErr w:type="spellEnd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 and </w:t>
      </w: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informed</w:t>
      </w:r>
      <w:proofErr w:type="spellEnd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 </w:t>
      </w: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consent</w:t>
      </w:r>
      <w:proofErr w:type="spellEnd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 </w:t>
      </w: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form</w:t>
      </w:r>
      <w:proofErr w:type="spellEnd"/>
    </w:p>
    <w:p w:rsidR="004602AF" w:rsidRPr="004602AF" w:rsidRDefault="004602AF" w:rsidP="004602AF">
      <w:pPr>
        <w:shd w:val="clear" w:color="auto" w:fill="FFFFFF"/>
        <w:spacing w:line="240" w:lineRule="auto"/>
        <w:rPr>
          <w:rFonts w:eastAsia="Times New Roman" w:cstheme="minorHAnsi"/>
          <w:color w:val="FF0000"/>
          <w:sz w:val="24"/>
          <w:szCs w:val="24"/>
          <w:lang w:eastAsia="cs-CZ"/>
        </w:rPr>
      </w:pPr>
      <w:bookmarkStart w:id="0" w:name="_GoBack"/>
      <w:bookmarkEnd w:id="0"/>
    </w:p>
    <w:p w:rsidR="004602AF" w:rsidRPr="004602AF" w:rsidRDefault="004602AF" w:rsidP="004602AF">
      <w:pPr>
        <w:shd w:val="clear" w:color="auto" w:fill="FFFFFF"/>
        <w:spacing w:line="240" w:lineRule="auto"/>
        <w:rPr>
          <w:rFonts w:eastAsia="Times New Roman" w:cstheme="minorHAnsi"/>
          <w:color w:val="1E1E1E"/>
          <w:sz w:val="24"/>
          <w:szCs w:val="24"/>
          <w:lang w:eastAsia="cs-CZ"/>
        </w:rPr>
      </w:pPr>
      <w:r w:rsidRPr="004602AF">
        <w:rPr>
          <w:rFonts w:eastAsia="Times New Roman" w:cstheme="minorHAnsi"/>
          <w:b/>
          <w:color w:val="FF0000"/>
          <w:sz w:val="24"/>
          <w:szCs w:val="24"/>
          <w:lang w:eastAsia="cs-CZ"/>
        </w:rPr>
        <w:t>Naše připomínka</w:t>
      </w:r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: Consideration1) </w:t>
      </w:r>
    </w:p>
    <w:p w:rsidR="004602AF" w:rsidRPr="004602AF" w:rsidRDefault="004602AF" w:rsidP="004602AF">
      <w:pPr>
        <w:shd w:val="clear" w:color="auto" w:fill="FFFFFF"/>
        <w:spacing w:line="240" w:lineRule="auto"/>
        <w:rPr>
          <w:rFonts w:eastAsia="Times New Roman" w:cstheme="minorHAnsi"/>
          <w:b/>
          <w:color w:val="1E1E1E"/>
          <w:sz w:val="24"/>
          <w:szCs w:val="24"/>
          <w:lang w:eastAsia="cs-CZ"/>
        </w:rPr>
      </w:pPr>
      <w:r w:rsidRPr="004602AF">
        <w:rPr>
          <w:rFonts w:eastAsia="Times New Roman" w:cstheme="minorHAnsi"/>
          <w:b/>
          <w:color w:val="1E1E1E"/>
          <w:sz w:val="24"/>
          <w:szCs w:val="24"/>
          <w:lang w:eastAsia="cs-CZ"/>
        </w:rPr>
        <w:t xml:space="preserve">chybí pokyny a informace pro zkoušejícího ohledně způsobu proplácení výdajů u pacientů, kteří nebudou využívat "Scout </w:t>
      </w:r>
      <w:proofErr w:type="spellStart"/>
      <w:r w:rsidRPr="004602AF">
        <w:rPr>
          <w:rFonts w:eastAsia="Times New Roman" w:cstheme="minorHAnsi"/>
          <w:b/>
          <w:color w:val="1E1E1E"/>
          <w:sz w:val="24"/>
          <w:szCs w:val="24"/>
          <w:lang w:eastAsia="cs-CZ"/>
        </w:rPr>
        <w:t>clinical</w:t>
      </w:r>
      <w:proofErr w:type="spellEnd"/>
      <w:r w:rsidRPr="004602AF">
        <w:rPr>
          <w:rFonts w:eastAsia="Times New Roman" w:cstheme="minorHAnsi"/>
          <w:b/>
          <w:color w:val="1E1E1E"/>
          <w:sz w:val="24"/>
          <w:szCs w:val="24"/>
          <w:lang w:eastAsia="cs-CZ"/>
        </w:rPr>
        <w:t>".</w:t>
      </w:r>
    </w:p>
    <w:p w:rsidR="004602AF" w:rsidRPr="004602AF" w:rsidRDefault="004602AF" w:rsidP="004602AF">
      <w:pPr>
        <w:shd w:val="clear" w:color="auto" w:fill="FFFFFF"/>
        <w:spacing w:line="240" w:lineRule="auto"/>
        <w:rPr>
          <w:rFonts w:eastAsia="Times New Roman" w:cstheme="minorHAnsi"/>
          <w:color w:val="1E1E1E"/>
          <w:sz w:val="24"/>
          <w:szCs w:val="24"/>
          <w:lang w:eastAsia="cs-CZ"/>
        </w:rPr>
      </w:pPr>
    </w:p>
    <w:p w:rsidR="004602AF" w:rsidRPr="004602AF" w:rsidRDefault="004602AF" w:rsidP="004602AF">
      <w:pPr>
        <w:shd w:val="clear" w:color="auto" w:fill="FFFFFF"/>
        <w:spacing w:line="240" w:lineRule="auto"/>
        <w:rPr>
          <w:rFonts w:eastAsia="Times New Roman" w:cstheme="minorHAnsi"/>
          <w:b/>
          <w:color w:val="FF0000"/>
          <w:sz w:val="24"/>
          <w:szCs w:val="24"/>
          <w:lang w:eastAsia="cs-CZ"/>
        </w:rPr>
      </w:pPr>
      <w:r w:rsidRPr="004602AF">
        <w:rPr>
          <w:rFonts w:eastAsia="Times New Roman" w:cstheme="minorHAnsi"/>
          <w:b/>
          <w:color w:val="FF0000"/>
          <w:sz w:val="24"/>
          <w:szCs w:val="24"/>
          <w:lang w:eastAsia="cs-CZ"/>
        </w:rPr>
        <w:t>Odpověď:</w:t>
      </w:r>
    </w:p>
    <w:p w:rsidR="004602AF" w:rsidRPr="004602AF" w:rsidRDefault="004602AF" w:rsidP="004602AF">
      <w:pPr>
        <w:shd w:val="clear" w:color="auto" w:fill="FFFFFF"/>
        <w:spacing w:line="240" w:lineRule="auto"/>
        <w:rPr>
          <w:rFonts w:eastAsia="Times New Roman" w:cstheme="minorHAnsi"/>
          <w:color w:val="1E1E1E"/>
          <w:sz w:val="24"/>
          <w:szCs w:val="24"/>
          <w:lang w:eastAsia="cs-CZ"/>
        </w:rPr>
      </w:pPr>
      <w:proofErr w:type="spellStart"/>
      <w:r w:rsidRPr="004602AF">
        <w:rPr>
          <w:rFonts w:eastAsia="Times New Roman" w:cstheme="minorHAnsi"/>
          <w:b/>
          <w:color w:val="1E1E1E"/>
          <w:sz w:val="24"/>
          <w:szCs w:val="24"/>
          <w:lang w:eastAsia="cs-CZ"/>
        </w:rPr>
        <w:t>Sponsor</w:t>
      </w:r>
      <w:proofErr w:type="spellEnd"/>
      <w:r w:rsidRPr="004602AF">
        <w:rPr>
          <w:rFonts w:eastAsia="Times New Roman" w:cstheme="minorHAnsi"/>
          <w:b/>
          <w:color w:val="1E1E1E"/>
          <w:sz w:val="24"/>
          <w:szCs w:val="24"/>
          <w:lang w:eastAsia="cs-CZ"/>
        </w:rPr>
        <w:t xml:space="preserve"> </w:t>
      </w:r>
      <w:proofErr w:type="spellStart"/>
      <w:r w:rsidRPr="004602AF">
        <w:rPr>
          <w:rFonts w:eastAsia="Times New Roman" w:cstheme="minorHAnsi"/>
          <w:b/>
          <w:color w:val="1E1E1E"/>
          <w:sz w:val="24"/>
          <w:szCs w:val="24"/>
          <w:lang w:eastAsia="cs-CZ"/>
        </w:rPr>
        <w:t>responseZkoušející</w:t>
      </w:r>
      <w:proofErr w:type="spellEnd"/>
      <w:r w:rsidRPr="004602AF">
        <w:rPr>
          <w:rFonts w:eastAsia="Times New Roman" w:cstheme="minorHAnsi"/>
          <w:b/>
          <w:color w:val="1E1E1E"/>
          <w:sz w:val="24"/>
          <w:szCs w:val="24"/>
          <w:lang w:eastAsia="cs-CZ"/>
        </w:rPr>
        <w:t xml:space="preserve"> se bude při proplácení výdajů u pacientů, kteří nebudou využívat Scout </w:t>
      </w:r>
      <w:proofErr w:type="spellStart"/>
      <w:r w:rsidRPr="004602AF">
        <w:rPr>
          <w:rFonts w:eastAsia="Times New Roman" w:cstheme="minorHAnsi"/>
          <w:b/>
          <w:color w:val="1E1E1E"/>
          <w:sz w:val="24"/>
          <w:szCs w:val="24"/>
          <w:lang w:eastAsia="cs-CZ"/>
        </w:rPr>
        <w:t>Clinical</w:t>
      </w:r>
      <w:proofErr w:type="spellEnd"/>
      <w:r w:rsidRPr="004602AF">
        <w:rPr>
          <w:rFonts w:eastAsia="Times New Roman" w:cstheme="minorHAnsi"/>
          <w:b/>
          <w:color w:val="1E1E1E"/>
          <w:sz w:val="24"/>
          <w:szCs w:val="24"/>
          <w:lang w:eastAsia="cs-CZ"/>
        </w:rPr>
        <w:t>, řídit interními směrnicemi a postupy daného zdravotnického zařízení. Směrnice a postupy jednotlivých zdravotnických zařízení nejsou v tuto chvíli k dispozici. Informace není vložena do formuláře Informovaného souhlasu, protože je určena zkoušejícímu, který vysvětlí daný postup přímo pacientovi</w:t>
      </w:r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. / </w:t>
      </w: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The</w:t>
      </w:r>
      <w:proofErr w:type="spellEnd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 </w:t>
      </w: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investigator</w:t>
      </w:r>
      <w:proofErr w:type="spellEnd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 </w:t>
      </w: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will</w:t>
      </w:r>
      <w:proofErr w:type="spellEnd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 </w:t>
      </w: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follow</w:t>
      </w:r>
      <w:proofErr w:type="spellEnd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 </w:t>
      </w: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the</w:t>
      </w:r>
      <w:proofErr w:type="spellEnd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 </w:t>
      </w: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internal</w:t>
      </w:r>
      <w:proofErr w:type="spellEnd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 </w:t>
      </w: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guidelines</w:t>
      </w:r>
      <w:proofErr w:type="spellEnd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 and </w:t>
      </w: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procedures</w:t>
      </w:r>
      <w:proofErr w:type="spellEnd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 </w:t>
      </w: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of</w:t>
      </w:r>
      <w:proofErr w:type="spellEnd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 </w:t>
      </w: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the</w:t>
      </w:r>
      <w:proofErr w:type="spellEnd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 </w:t>
      </w: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given</w:t>
      </w:r>
      <w:proofErr w:type="spellEnd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 </w:t>
      </w: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medical</w:t>
      </w:r>
      <w:proofErr w:type="spellEnd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 </w:t>
      </w: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facility</w:t>
      </w:r>
      <w:proofErr w:type="spellEnd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 </w:t>
      </w: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when</w:t>
      </w:r>
      <w:proofErr w:type="spellEnd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 </w:t>
      </w: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reimbursing</w:t>
      </w:r>
      <w:proofErr w:type="spellEnd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 </w:t>
      </w: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patients</w:t>
      </w:r>
      <w:proofErr w:type="spellEnd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 </w:t>
      </w: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who</w:t>
      </w:r>
      <w:proofErr w:type="spellEnd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 </w:t>
      </w: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will</w:t>
      </w:r>
      <w:proofErr w:type="spellEnd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 not </w:t>
      </w: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be</w:t>
      </w:r>
      <w:proofErr w:type="spellEnd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 </w:t>
      </w: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using</w:t>
      </w:r>
      <w:proofErr w:type="spellEnd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 Scout </w:t>
      </w: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Clinical</w:t>
      </w:r>
      <w:proofErr w:type="spellEnd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. </w:t>
      </w: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Guidelines</w:t>
      </w:r>
      <w:proofErr w:type="spellEnd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 and </w:t>
      </w: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procedures</w:t>
      </w:r>
      <w:proofErr w:type="spellEnd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 </w:t>
      </w: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of</w:t>
      </w:r>
      <w:proofErr w:type="spellEnd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 </w:t>
      </w: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individual</w:t>
      </w:r>
      <w:proofErr w:type="spellEnd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 </w:t>
      </w: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medical</w:t>
      </w:r>
      <w:proofErr w:type="spellEnd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 </w:t>
      </w: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facilities</w:t>
      </w:r>
      <w:proofErr w:type="spellEnd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 are not </w:t>
      </w: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available</w:t>
      </w:r>
      <w:proofErr w:type="spellEnd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 </w:t>
      </w: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now</w:t>
      </w:r>
      <w:proofErr w:type="spellEnd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. </w:t>
      </w: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The</w:t>
      </w:r>
      <w:proofErr w:type="spellEnd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 </w:t>
      </w: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information</w:t>
      </w:r>
      <w:proofErr w:type="spellEnd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 </w:t>
      </w: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is</w:t>
      </w:r>
      <w:proofErr w:type="spellEnd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 not </w:t>
      </w: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included</w:t>
      </w:r>
      <w:proofErr w:type="spellEnd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 </w:t>
      </w: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into</w:t>
      </w:r>
      <w:proofErr w:type="spellEnd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 </w:t>
      </w: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the</w:t>
      </w:r>
      <w:proofErr w:type="spellEnd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 </w:t>
      </w: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Informed</w:t>
      </w:r>
      <w:proofErr w:type="spellEnd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 </w:t>
      </w: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Consent</w:t>
      </w:r>
      <w:proofErr w:type="spellEnd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 </w:t>
      </w: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form</w:t>
      </w:r>
      <w:proofErr w:type="spellEnd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, </w:t>
      </w: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because</w:t>
      </w:r>
      <w:proofErr w:type="spellEnd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 </w:t>
      </w: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the</w:t>
      </w:r>
      <w:proofErr w:type="spellEnd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 </w:t>
      </w: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information</w:t>
      </w:r>
      <w:proofErr w:type="spellEnd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 </w:t>
      </w: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is</w:t>
      </w:r>
      <w:proofErr w:type="spellEnd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 </w:t>
      </w: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intended</w:t>
      </w:r>
      <w:proofErr w:type="spellEnd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 </w:t>
      </w: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for</w:t>
      </w:r>
      <w:proofErr w:type="spellEnd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 </w:t>
      </w: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the</w:t>
      </w:r>
      <w:proofErr w:type="spellEnd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 </w:t>
      </w: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investigator</w:t>
      </w:r>
      <w:proofErr w:type="spellEnd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, </w:t>
      </w: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who</w:t>
      </w:r>
      <w:proofErr w:type="spellEnd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 </w:t>
      </w: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will</w:t>
      </w:r>
      <w:proofErr w:type="spellEnd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 </w:t>
      </w: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explain</w:t>
      </w:r>
      <w:proofErr w:type="spellEnd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 </w:t>
      </w: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the</w:t>
      </w:r>
      <w:proofErr w:type="spellEnd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 </w:t>
      </w: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procedure</w:t>
      </w:r>
      <w:proofErr w:type="spellEnd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 to </w:t>
      </w: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the</w:t>
      </w:r>
      <w:proofErr w:type="spellEnd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 </w:t>
      </w: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patient</w:t>
      </w:r>
      <w:proofErr w:type="spellEnd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 xml:space="preserve"> </w:t>
      </w:r>
      <w:proofErr w:type="spellStart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directly</w:t>
      </w:r>
      <w:proofErr w:type="spellEnd"/>
      <w:r w:rsidRPr="004602AF">
        <w:rPr>
          <w:rFonts w:eastAsia="Times New Roman" w:cstheme="minorHAnsi"/>
          <w:color w:val="1E1E1E"/>
          <w:sz w:val="24"/>
          <w:szCs w:val="24"/>
          <w:lang w:eastAsia="cs-CZ"/>
        </w:rPr>
        <w:t>.</w:t>
      </w:r>
    </w:p>
    <w:p w:rsidR="00BF0973" w:rsidRPr="004602AF" w:rsidRDefault="00BF0973">
      <w:pPr>
        <w:rPr>
          <w:rFonts w:cstheme="minorHAnsi"/>
          <w:sz w:val="24"/>
          <w:szCs w:val="24"/>
        </w:rPr>
      </w:pPr>
    </w:p>
    <w:sectPr w:rsidR="00BF0973" w:rsidRPr="00460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2AF"/>
    <w:rsid w:val="004602AF"/>
    <w:rsid w:val="00BF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8495"/>
  <w15:chartTrackingRefBased/>
  <w15:docId w15:val="{FFCF8519-269E-4007-BFEA-4DC6BF19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602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1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16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0484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2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0888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2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611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236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614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536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04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8310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7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204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8004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823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228</Words>
  <Characters>1349</Characters>
  <Application>Microsoft Office Word</Application>
  <DocSecurity>0</DocSecurity>
  <Lines>11</Lines>
  <Paragraphs>3</Paragraphs>
  <ScaleCrop>false</ScaleCrop>
  <Company>FN Olomouc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Bartlová Věra</dc:creator>
  <cp:keywords/>
  <dc:description/>
  <cp:lastModifiedBy>Bartlová Věra</cp:lastModifiedBy>
  <cp:revision>1</cp:revision>
  <dcterms:created xsi:type="dcterms:W3CDTF">2024-06-04T07:27:00Z</dcterms:created>
  <dcterms:modified xsi:type="dcterms:W3CDTF">2024-06-04T07:35:00Z</dcterms:modified>
</cp:coreProperties>
</file>