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425DF" w14:textId="77777777" w:rsidR="00D01D5E" w:rsidRDefault="00D01D5E" w:rsidP="00D01D5E">
      <w:pPr>
        <w:spacing w:before="101" w:after="255"/>
        <w:rPr>
          <w:rFonts w:ascii="Arial" w:eastAsia="Cambria" w:hAnsi="Arial" w:cs="Arial"/>
          <w:color w:val="1F4E79" w:themeColor="accent5" w:themeShade="80"/>
          <w:sz w:val="40"/>
          <w:szCs w:val="40"/>
        </w:rPr>
      </w:pPr>
      <w:r>
        <w:rPr>
          <w:rFonts w:cstheme="minorHAnsi"/>
          <w:sz w:val="60"/>
          <w:szCs w:val="60"/>
        </w:rPr>
        <w:br/>
      </w:r>
      <w:bookmarkStart w:id="0" w:name="_Hlk113528079"/>
      <w:bookmarkStart w:id="1" w:name="_Hlk113538866"/>
      <w:r>
        <w:rPr>
          <w:rFonts w:ascii="Arial" w:eastAsia="Cambria" w:hAnsi="Arial" w:cs="Arial"/>
          <w:color w:val="1F4E79" w:themeColor="accent5" w:themeShade="80"/>
          <w:sz w:val="40"/>
          <w:szCs w:val="40"/>
        </w:rPr>
        <w:t>NÁRODNÍ PLÁN OBNOVY</w:t>
      </w:r>
    </w:p>
    <w:p w14:paraId="27BD9CAD" w14:textId="77777777" w:rsidR="00D01D5E" w:rsidRDefault="00D01D5E" w:rsidP="00D01D5E">
      <w:pPr>
        <w:pStyle w:val="Zkladnodstavec"/>
        <w:spacing w:before="120" w:after="120"/>
        <w:rPr>
          <w:rFonts w:ascii="Arial" w:hAnsi="Arial" w:cs="Arial"/>
          <w:b/>
          <w:bCs/>
          <w:caps/>
          <w:sz w:val="40"/>
          <w:szCs w:val="40"/>
        </w:rPr>
      </w:pPr>
    </w:p>
    <w:p w14:paraId="30306952" w14:textId="77777777" w:rsidR="00D01D5E" w:rsidRDefault="00D01D5E" w:rsidP="00D01D5E">
      <w:pPr>
        <w:pStyle w:val="Zkladnodstavec"/>
        <w:spacing w:before="120" w:after="120"/>
        <w:rPr>
          <w:rFonts w:ascii="Arial" w:hAnsi="Arial" w:cs="Arial"/>
          <w:b/>
          <w:bCs/>
          <w:caps/>
          <w:color w:val="1F4E79" w:themeColor="accent5" w:themeShade="80"/>
          <w:sz w:val="40"/>
          <w:szCs w:val="40"/>
        </w:rPr>
      </w:pPr>
    </w:p>
    <w:p w14:paraId="4C454BC6" w14:textId="77777777" w:rsidR="00D01D5E" w:rsidRDefault="00D01D5E" w:rsidP="00D01D5E">
      <w:pPr>
        <w:pStyle w:val="Nzev"/>
        <w:ind w:left="0"/>
        <w:jc w:val="left"/>
        <w:rPr>
          <w:rFonts w:ascii="Arial" w:eastAsia="Cambria" w:hAnsi="Arial" w:cs="Arial"/>
          <w:color w:val="1F4E79" w:themeColor="accent5" w:themeShade="80"/>
          <w:sz w:val="48"/>
          <w:szCs w:val="48"/>
        </w:rPr>
      </w:pPr>
      <w:r>
        <w:rPr>
          <w:rFonts w:ascii="Arial" w:eastAsia="Cambria" w:hAnsi="Arial" w:cs="Arial"/>
          <w:color w:val="1F4E79" w:themeColor="accent5" w:themeShade="80"/>
          <w:sz w:val="48"/>
          <w:szCs w:val="48"/>
        </w:rPr>
        <w:t xml:space="preserve">OBECNÁ PRAVIDLA </w:t>
      </w:r>
    </w:p>
    <w:p w14:paraId="1978D4BB" w14:textId="77777777" w:rsidR="00D01D5E" w:rsidRDefault="00D01D5E" w:rsidP="00D01D5E">
      <w:pPr>
        <w:pStyle w:val="Nzev"/>
        <w:ind w:left="0"/>
        <w:jc w:val="left"/>
        <w:rPr>
          <w:rFonts w:ascii="Arial" w:eastAsia="Cambria" w:hAnsi="Arial" w:cs="Arial"/>
          <w:color w:val="1F4E79" w:themeColor="accent5" w:themeShade="80"/>
          <w:sz w:val="48"/>
          <w:szCs w:val="48"/>
        </w:rPr>
      </w:pPr>
      <w:r>
        <w:rPr>
          <w:rFonts w:ascii="Arial" w:eastAsia="Cambria" w:hAnsi="Arial" w:cs="Arial"/>
          <w:color w:val="1F4E79" w:themeColor="accent5" w:themeShade="80"/>
          <w:sz w:val="48"/>
          <w:szCs w:val="48"/>
        </w:rPr>
        <w:t xml:space="preserve">PRO ŽADATELE A PŘÍJEMCE </w:t>
      </w:r>
    </w:p>
    <w:p w14:paraId="4B85CFB1" w14:textId="77777777" w:rsidR="00D01D5E" w:rsidRDefault="00D01D5E" w:rsidP="00D01D5E">
      <w:pPr>
        <w:rPr>
          <w:rFonts w:ascii="Calibri" w:eastAsia="Calibri" w:hAnsi="Calibri" w:cs="Calibri"/>
          <w:color w:val="000000"/>
        </w:rPr>
      </w:pPr>
    </w:p>
    <w:p w14:paraId="677D9742" w14:textId="77777777" w:rsidR="00D01D5E" w:rsidRDefault="00D01D5E" w:rsidP="00D01D5E">
      <w:pPr>
        <w:pStyle w:val="Zkladnodstavec"/>
        <w:spacing w:before="120" w:after="120"/>
        <w:rPr>
          <w:rFonts w:ascii="Arial" w:hAnsi="Arial" w:cs="Arial"/>
          <w:caps/>
          <w:sz w:val="40"/>
          <w:szCs w:val="40"/>
        </w:rPr>
      </w:pPr>
    </w:p>
    <w:p w14:paraId="5820B6A3" w14:textId="77777777" w:rsidR="00D01D5E" w:rsidRDefault="00D01D5E" w:rsidP="00D01D5E">
      <w:pPr>
        <w:spacing w:after="255"/>
        <w:ind w:right="3725"/>
        <w:rPr>
          <w:rFonts w:ascii="Arial" w:eastAsia="Cambria" w:hAnsi="Arial" w:cs="Arial"/>
          <w:color w:val="A6A6A6" w:themeColor="background1" w:themeShade="A6"/>
          <w:sz w:val="36"/>
          <w:szCs w:val="36"/>
        </w:rPr>
      </w:pPr>
    </w:p>
    <w:p w14:paraId="7A0B681F" w14:textId="77777777" w:rsidR="00D01D5E" w:rsidRDefault="00D01D5E" w:rsidP="00D01D5E">
      <w:pPr>
        <w:rPr>
          <w:rFonts w:ascii="Arial" w:eastAsia="Calibri" w:hAnsi="Arial" w:cs="Arial"/>
          <w:color w:val="000000"/>
        </w:rPr>
      </w:pPr>
    </w:p>
    <w:p w14:paraId="22A67675" w14:textId="77777777" w:rsidR="00D01D5E" w:rsidRDefault="00D01D5E" w:rsidP="00D01D5E">
      <w:pPr>
        <w:rPr>
          <w:rFonts w:ascii="Arial" w:hAnsi="Arial" w:cs="Arial"/>
        </w:rPr>
      </w:pPr>
    </w:p>
    <w:p w14:paraId="191EDD0F" w14:textId="77777777" w:rsidR="00D01D5E" w:rsidRDefault="00D01D5E" w:rsidP="00D01D5E">
      <w:pPr>
        <w:rPr>
          <w:rFonts w:ascii="Arial" w:hAnsi="Arial" w:cs="Arial"/>
        </w:rPr>
      </w:pPr>
    </w:p>
    <w:p w14:paraId="50135925" w14:textId="653E555A" w:rsidR="00D01D5E" w:rsidRDefault="00D01D5E" w:rsidP="00D01D5E">
      <w:pPr>
        <w:spacing w:after="255"/>
        <w:ind w:right="3725"/>
        <w:jc w:val="both"/>
        <w:rPr>
          <w:rFonts w:ascii="Arial" w:eastAsia="Cambria" w:hAnsi="Arial" w:cs="Arial"/>
          <w:color w:val="A6A6A6" w:themeColor="background1" w:themeShade="A6"/>
          <w:sz w:val="36"/>
          <w:szCs w:val="36"/>
        </w:rPr>
      </w:pPr>
      <w:r>
        <w:rPr>
          <w:rFonts w:ascii="Arial" w:eastAsia="Cambria" w:hAnsi="Arial" w:cs="Arial"/>
          <w:color w:val="A6A6A6" w:themeColor="background1" w:themeShade="A6"/>
          <w:sz w:val="36"/>
          <w:szCs w:val="36"/>
        </w:rPr>
        <w:t>Příloha č. 8</w:t>
      </w:r>
    </w:p>
    <w:p w14:paraId="560CDC0B" w14:textId="77777777" w:rsidR="00D01D5E" w:rsidRPr="00D01D5E" w:rsidRDefault="00D01D5E" w:rsidP="00D01D5E">
      <w:pPr>
        <w:pStyle w:val="Nzev"/>
        <w:ind w:left="0"/>
        <w:jc w:val="left"/>
        <w:rPr>
          <w:rFonts w:ascii="Arial" w:eastAsia="Cambria" w:hAnsi="Arial" w:cs="Arial"/>
          <w:color w:val="1F4E79" w:themeColor="accent5" w:themeShade="80"/>
          <w:sz w:val="48"/>
          <w:szCs w:val="48"/>
        </w:rPr>
      </w:pPr>
      <w:r w:rsidRPr="00D01D5E">
        <w:rPr>
          <w:rFonts w:ascii="Arial" w:eastAsia="Cambria" w:hAnsi="Arial" w:cs="Arial"/>
          <w:color w:val="1F4E79" w:themeColor="accent5" w:themeShade="80"/>
          <w:sz w:val="48"/>
          <w:szCs w:val="48"/>
        </w:rPr>
        <w:t>Tabulka vymezení činností, které budou provozovány v rámci pořizované investice</w:t>
      </w:r>
    </w:p>
    <w:p w14:paraId="73F7BE4E" w14:textId="77777777" w:rsidR="00D01D5E" w:rsidRDefault="00D01D5E" w:rsidP="00D01D5E">
      <w:pPr>
        <w:pStyle w:val="Zkladnodstavec"/>
        <w:rPr>
          <w:rFonts w:ascii="Arial" w:hAnsi="Arial" w:cs="Arial"/>
          <w:caps/>
          <w:color w:val="A6A6A6" w:themeColor="background1" w:themeShade="A6"/>
          <w:sz w:val="32"/>
          <w:szCs w:val="40"/>
        </w:rPr>
      </w:pPr>
    </w:p>
    <w:p w14:paraId="024CB019" w14:textId="77777777" w:rsidR="00D01D5E" w:rsidRDefault="00D01D5E" w:rsidP="00D01D5E">
      <w:pPr>
        <w:pStyle w:val="Zkladnodstavec"/>
        <w:rPr>
          <w:rFonts w:ascii="Arial" w:hAnsi="Arial" w:cs="Arial"/>
          <w:caps/>
          <w:color w:val="A6A6A6" w:themeColor="background1" w:themeShade="A6"/>
          <w:sz w:val="32"/>
          <w:szCs w:val="40"/>
        </w:rPr>
      </w:pPr>
    </w:p>
    <w:p w14:paraId="530C6900" w14:textId="77777777" w:rsidR="00D01D5E" w:rsidRDefault="00D01D5E" w:rsidP="00D01D5E">
      <w:pPr>
        <w:pStyle w:val="Zkladnodstavec"/>
        <w:rPr>
          <w:rFonts w:ascii="Arial" w:hAnsi="Arial" w:cs="Arial"/>
          <w:caps/>
          <w:color w:val="A6A6A6" w:themeColor="background1" w:themeShade="A6"/>
          <w:sz w:val="32"/>
          <w:szCs w:val="40"/>
        </w:rPr>
      </w:pPr>
    </w:p>
    <w:p w14:paraId="0EAA2BC1" w14:textId="53778B49" w:rsidR="00D01D5E" w:rsidRDefault="00EE0BAC" w:rsidP="00D01D5E">
      <w:pPr>
        <w:spacing w:after="255"/>
        <w:ind w:right="3725"/>
        <w:rPr>
          <w:rFonts w:ascii="Arial" w:eastAsia="Cambria" w:hAnsi="Arial" w:cs="Arial"/>
          <w:color w:val="A6A6A6" w:themeColor="background1" w:themeShade="A6"/>
          <w:sz w:val="36"/>
          <w:szCs w:val="36"/>
        </w:rPr>
      </w:pPr>
      <w:bookmarkStart w:id="2" w:name="_Hlk113455226"/>
      <w:r>
        <w:rPr>
          <w:rFonts w:ascii="Arial" w:eastAsia="Cambria" w:hAnsi="Arial" w:cs="Arial"/>
          <w:color w:val="A6A6A6" w:themeColor="background1" w:themeShade="A6"/>
          <w:sz w:val="36"/>
          <w:szCs w:val="36"/>
        </w:rPr>
        <w:t xml:space="preserve">Verze </w:t>
      </w:r>
      <w:r w:rsidR="00D01D5E">
        <w:rPr>
          <w:rFonts w:ascii="Arial" w:eastAsia="Cambria" w:hAnsi="Arial" w:cs="Arial"/>
          <w:color w:val="A6A6A6" w:themeColor="background1" w:themeShade="A6"/>
          <w:sz w:val="36"/>
          <w:szCs w:val="36"/>
        </w:rPr>
        <w:t>1.0</w:t>
      </w:r>
    </w:p>
    <w:p w14:paraId="1BCBAD2C" w14:textId="37C1B5AD" w:rsidR="00775BAC" w:rsidRPr="00D77560" w:rsidRDefault="00D01D5E" w:rsidP="00D01D5E">
      <w:pPr>
        <w:spacing w:after="255"/>
        <w:ind w:right="3725"/>
        <w:rPr>
          <w:rFonts w:ascii="Arial" w:hAnsi="Arial" w:cs="Arial"/>
          <w:b/>
          <w:sz w:val="24"/>
          <w:szCs w:val="24"/>
        </w:rPr>
      </w:pPr>
      <w:r>
        <w:rPr>
          <w:rFonts w:ascii="Arial" w:eastAsia="Cambria" w:hAnsi="Arial" w:cs="Arial"/>
          <w:color w:val="A6A6A6" w:themeColor="background1" w:themeShade="A6"/>
          <w:sz w:val="36"/>
          <w:szCs w:val="36"/>
        </w:rPr>
        <w:t xml:space="preserve">Platnost od </w:t>
      </w:r>
      <w:r w:rsidR="00CD5A39">
        <w:rPr>
          <w:rFonts w:ascii="Arial" w:eastAsia="Cambria" w:hAnsi="Arial" w:cs="Arial"/>
          <w:color w:val="A6A6A6" w:themeColor="background1" w:themeShade="A6"/>
          <w:sz w:val="36"/>
          <w:szCs w:val="36"/>
        </w:rPr>
        <w:t>21</w:t>
      </w:r>
      <w:r>
        <w:rPr>
          <w:rFonts w:ascii="Arial" w:eastAsia="Cambria" w:hAnsi="Arial" w:cs="Arial"/>
          <w:color w:val="A6A6A6" w:themeColor="background1" w:themeShade="A6"/>
          <w:sz w:val="36"/>
          <w:szCs w:val="36"/>
        </w:rPr>
        <w:t xml:space="preserve">. </w:t>
      </w:r>
      <w:r w:rsidR="00CD5A39">
        <w:rPr>
          <w:rFonts w:ascii="Arial" w:eastAsia="Cambria" w:hAnsi="Arial" w:cs="Arial"/>
          <w:color w:val="A6A6A6" w:themeColor="background1" w:themeShade="A6"/>
          <w:sz w:val="36"/>
          <w:szCs w:val="36"/>
        </w:rPr>
        <w:t>9</w:t>
      </w:r>
      <w:r>
        <w:rPr>
          <w:rFonts w:ascii="Arial" w:eastAsia="Cambria" w:hAnsi="Arial" w:cs="Arial"/>
          <w:color w:val="A6A6A6" w:themeColor="background1" w:themeShade="A6"/>
          <w:sz w:val="36"/>
          <w:szCs w:val="36"/>
        </w:rPr>
        <w:t>. 2022</w:t>
      </w:r>
      <w:bookmarkEnd w:id="0"/>
      <w:bookmarkEnd w:id="1"/>
      <w:bookmarkEnd w:id="2"/>
    </w:p>
    <w:p w14:paraId="7FDEC0ED" w14:textId="77777777" w:rsidR="00D44A30" w:rsidRPr="00D77560" w:rsidRDefault="00D44A30">
      <w:pPr>
        <w:spacing w:after="160" w:line="259" w:lineRule="auto"/>
        <w:rPr>
          <w:rFonts w:ascii="Arial" w:hAnsi="Arial" w:cs="Arial"/>
          <w:b/>
          <w:bCs/>
          <w:color w:val="000000" w:themeColor="text1"/>
          <w:sz w:val="24"/>
          <w:szCs w:val="24"/>
        </w:rPr>
      </w:pPr>
    </w:p>
    <w:p w14:paraId="1BEC2EA7" w14:textId="77777777" w:rsidR="00894762" w:rsidRPr="00D77560" w:rsidRDefault="00894762">
      <w:pPr>
        <w:spacing w:after="160" w:line="259" w:lineRule="auto"/>
        <w:rPr>
          <w:rFonts w:ascii="Arial" w:hAnsi="Arial" w:cs="Arial"/>
          <w:b/>
          <w:bCs/>
          <w:color w:val="000000" w:themeColor="text1"/>
          <w:sz w:val="24"/>
          <w:szCs w:val="24"/>
        </w:rPr>
        <w:sectPr w:rsidR="00894762" w:rsidRPr="00D77560" w:rsidSect="00997F0E">
          <w:headerReference w:type="default" r:id="rId8"/>
          <w:headerReference w:type="first" r:id="rId9"/>
          <w:footerReference w:type="first" r:id="rId10"/>
          <w:pgSz w:w="11906" w:h="16838"/>
          <w:pgMar w:top="1417" w:right="1417" w:bottom="1417" w:left="1417" w:header="708" w:footer="708" w:gutter="0"/>
          <w:cols w:space="708"/>
          <w:docGrid w:linePitch="360"/>
        </w:sectPr>
      </w:pPr>
    </w:p>
    <w:p w14:paraId="31DF156F" w14:textId="77777777" w:rsidR="00D77560" w:rsidRDefault="00D77560" w:rsidP="00D77560">
      <w:pPr>
        <w:autoSpaceDE w:val="0"/>
        <w:autoSpaceDN w:val="0"/>
        <w:adjustRightInd w:val="0"/>
        <w:spacing w:after="0" w:line="240" w:lineRule="auto"/>
        <w:jc w:val="center"/>
        <w:rPr>
          <w:rFonts w:ascii="Arial" w:hAnsi="Arial" w:cs="Arial"/>
          <w:b/>
          <w:bCs/>
          <w:color w:val="000000" w:themeColor="text1"/>
          <w:sz w:val="24"/>
          <w:szCs w:val="24"/>
        </w:rPr>
      </w:pPr>
    </w:p>
    <w:p w14:paraId="430CC827" w14:textId="77777777" w:rsidR="00165A4F" w:rsidRDefault="00165A4F" w:rsidP="00165A4F">
      <w:pPr>
        <w:autoSpaceDE w:val="0"/>
        <w:autoSpaceDN w:val="0"/>
        <w:adjustRightInd w:val="0"/>
        <w:spacing w:after="0" w:line="240" w:lineRule="auto"/>
        <w:jc w:val="center"/>
        <w:rPr>
          <w:rFonts w:ascii="Arial" w:hAnsi="Arial" w:cs="Arial"/>
          <w:b/>
          <w:bCs/>
          <w:color w:val="000000" w:themeColor="text1"/>
          <w:sz w:val="24"/>
          <w:szCs w:val="24"/>
        </w:rPr>
      </w:pPr>
    </w:p>
    <w:p w14:paraId="05F917FB" w14:textId="31F29A0E" w:rsidR="00165A4F" w:rsidRPr="00801697" w:rsidRDefault="003054CE" w:rsidP="00165A4F">
      <w:pPr>
        <w:autoSpaceDE w:val="0"/>
        <w:autoSpaceDN w:val="0"/>
        <w:adjustRightInd w:val="0"/>
        <w:spacing w:after="0" w:line="240" w:lineRule="auto"/>
        <w:jc w:val="center"/>
        <w:rPr>
          <w:rFonts w:ascii="Arial" w:hAnsi="Arial" w:cs="Arial"/>
          <w:b/>
          <w:bCs/>
          <w:color w:val="000000" w:themeColor="text1"/>
          <w:sz w:val="26"/>
          <w:szCs w:val="26"/>
        </w:rPr>
      </w:pPr>
      <w:bookmarkStart w:id="3" w:name="_Hlk142981886"/>
      <w:r w:rsidRPr="00801697">
        <w:rPr>
          <w:rFonts w:ascii="Arial" w:hAnsi="Arial" w:cs="Arial"/>
          <w:b/>
          <w:bCs/>
          <w:color w:val="000000" w:themeColor="text1"/>
          <w:sz w:val="26"/>
          <w:szCs w:val="26"/>
        </w:rPr>
        <w:t>Tabulka vymezení činností, které budou provozovány v rámci pořizované investice</w:t>
      </w:r>
    </w:p>
    <w:p w14:paraId="613A5B71" w14:textId="77777777" w:rsidR="00D77560" w:rsidRPr="00801697" w:rsidRDefault="00D77560" w:rsidP="00D44A30">
      <w:pPr>
        <w:autoSpaceDE w:val="0"/>
        <w:autoSpaceDN w:val="0"/>
        <w:adjustRightInd w:val="0"/>
        <w:spacing w:after="0" w:line="240" w:lineRule="auto"/>
        <w:jc w:val="both"/>
        <w:rPr>
          <w:rFonts w:ascii="Arial" w:hAnsi="Arial" w:cs="Arial"/>
          <w:sz w:val="26"/>
          <w:szCs w:val="26"/>
        </w:rPr>
      </w:pPr>
    </w:p>
    <w:tbl>
      <w:tblPr>
        <w:tblStyle w:val="Mkatabulky"/>
        <w:tblpPr w:leftFromText="141" w:rightFromText="141" w:vertAnchor="text" w:horzAnchor="margin" w:tblpY="172"/>
        <w:tblW w:w="0" w:type="auto"/>
        <w:tblLook w:val="04A0" w:firstRow="1" w:lastRow="0" w:firstColumn="1" w:lastColumn="0" w:noHBand="0" w:noVBand="1"/>
      </w:tblPr>
      <w:tblGrid>
        <w:gridCol w:w="2830"/>
        <w:gridCol w:w="11057"/>
      </w:tblGrid>
      <w:tr w:rsidR="00894762" w:rsidRPr="00D77560" w14:paraId="583FEDD6" w14:textId="77777777" w:rsidTr="003F29A2">
        <w:trPr>
          <w:trHeight w:val="416"/>
        </w:trPr>
        <w:tc>
          <w:tcPr>
            <w:tcW w:w="2830" w:type="dxa"/>
          </w:tcPr>
          <w:p w14:paraId="052D86D9" w14:textId="77777777" w:rsidR="00894762" w:rsidRPr="00D77560" w:rsidRDefault="00894762" w:rsidP="00894762">
            <w:pPr>
              <w:autoSpaceDE w:val="0"/>
              <w:autoSpaceDN w:val="0"/>
              <w:adjustRightInd w:val="0"/>
              <w:spacing w:after="0"/>
              <w:rPr>
                <w:rFonts w:ascii="Arial" w:hAnsi="Arial" w:cs="Arial"/>
              </w:rPr>
            </w:pPr>
            <w:r w:rsidRPr="00D77560">
              <w:rPr>
                <w:rFonts w:ascii="Arial" w:hAnsi="Arial" w:cs="Arial"/>
              </w:rPr>
              <w:t>Název projektu</w:t>
            </w:r>
          </w:p>
        </w:tc>
        <w:tc>
          <w:tcPr>
            <w:tcW w:w="11057" w:type="dxa"/>
          </w:tcPr>
          <w:p w14:paraId="3E9AEB41" w14:textId="3713074D" w:rsidR="00894762" w:rsidRPr="00105A23" w:rsidRDefault="00105A23" w:rsidP="00894762">
            <w:pPr>
              <w:autoSpaceDE w:val="0"/>
              <w:autoSpaceDN w:val="0"/>
              <w:adjustRightInd w:val="0"/>
              <w:spacing w:after="0"/>
              <w:rPr>
                <w:rFonts w:ascii="Arial" w:hAnsi="Arial" w:cs="Arial"/>
                <w:b/>
              </w:rPr>
            </w:pPr>
            <w:r>
              <w:rPr>
                <w:rFonts w:ascii="Arial" w:hAnsi="Arial" w:cs="Arial"/>
                <w:b/>
              </w:rPr>
              <w:t>Novostavba onkologického stacionáře – budova P4</w:t>
            </w:r>
          </w:p>
        </w:tc>
      </w:tr>
      <w:tr w:rsidR="00894762" w:rsidRPr="00D77560" w14:paraId="608871B3" w14:textId="77777777" w:rsidTr="003F29A2">
        <w:tc>
          <w:tcPr>
            <w:tcW w:w="2830" w:type="dxa"/>
          </w:tcPr>
          <w:p w14:paraId="56F4700A" w14:textId="754AB6B0" w:rsidR="00894762" w:rsidRPr="00D77560" w:rsidRDefault="00894762" w:rsidP="003F29A2">
            <w:pPr>
              <w:autoSpaceDE w:val="0"/>
              <w:autoSpaceDN w:val="0"/>
              <w:adjustRightInd w:val="0"/>
              <w:spacing w:after="120"/>
              <w:rPr>
                <w:rFonts w:ascii="Arial" w:hAnsi="Arial" w:cs="Arial"/>
              </w:rPr>
            </w:pPr>
            <w:r w:rsidRPr="00D77560">
              <w:rPr>
                <w:rFonts w:ascii="Arial" w:hAnsi="Arial" w:cs="Arial"/>
              </w:rPr>
              <w:t>Název žadatele/příjemce</w:t>
            </w:r>
          </w:p>
        </w:tc>
        <w:tc>
          <w:tcPr>
            <w:tcW w:w="11057" w:type="dxa"/>
          </w:tcPr>
          <w:p w14:paraId="7A7B2006" w14:textId="0EEC5E36" w:rsidR="00894762" w:rsidRPr="00105A23" w:rsidRDefault="00105A23" w:rsidP="003F29A2">
            <w:pPr>
              <w:autoSpaceDE w:val="0"/>
              <w:autoSpaceDN w:val="0"/>
              <w:adjustRightInd w:val="0"/>
              <w:spacing w:after="120"/>
              <w:rPr>
                <w:rFonts w:ascii="Arial" w:hAnsi="Arial" w:cs="Arial"/>
                <w:b/>
              </w:rPr>
            </w:pPr>
            <w:r w:rsidRPr="00105A23">
              <w:rPr>
                <w:rFonts w:ascii="Arial" w:hAnsi="Arial" w:cs="Arial"/>
                <w:b/>
              </w:rPr>
              <w:t>Fakultní nemocnice Olomouc</w:t>
            </w:r>
          </w:p>
        </w:tc>
      </w:tr>
    </w:tbl>
    <w:p w14:paraId="050CA2D9" w14:textId="65018BBD" w:rsidR="003F29A2" w:rsidRDefault="00894762" w:rsidP="003F29A2">
      <w:pPr>
        <w:spacing w:after="240"/>
        <w:rPr>
          <w:rFonts w:ascii="Arial" w:hAnsi="Arial" w:cs="Arial"/>
        </w:rPr>
      </w:pPr>
      <w:r w:rsidRPr="00D77560">
        <w:rPr>
          <w:rFonts w:ascii="Arial" w:hAnsi="Arial" w:cs="Arial"/>
          <w:b/>
          <w:bCs/>
        </w:rPr>
        <w:t xml:space="preserve">Vymezení činností, které budou provozovány v rámci pořizované investice: </w:t>
      </w:r>
      <w:r w:rsidR="003F29A2">
        <w:rPr>
          <w:rFonts w:ascii="Arial" w:hAnsi="Arial" w:cs="Arial"/>
          <w:b/>
          <w:bCs/>
        </w:rPr>
        <w:br/>
      </w:r>
      <w:r w:rsidRPr="00D77560">
        <w:rPr>
          <w:rFonts w:ascii="Arial" w:hAnsi="Arial" w:cs="Arial"/>
        </w:rPr>
        <w:t>(využití má být posuzováno jak v rámci pořizované stavby/rekonstrukce, tak v rámci pořizovaného vybavení)</w:t>
      </w:r>
    </w:p>
    <w:p w14:paraId="63098DF1" w14:textId="1149320F" w:rsidR="00894762" w:rsidRPr="003F29A2" w:rsidRDefault="00894762" w:rsidP="00EF01B5">
      <w:pPr>
        <w:spacing w:after="240"/>
        <w:jc w:val="both"/>
        <w:rPr>
          <w:rFonts w:ascii="Arial" w:hAnsi="Arial" w:cs="Arial"/>
          <w:b/>
          <w:bCs/>
        </w:rPr>
      </w:pPr>
      <w:r w:rsidRPr="00D77560">
        <w:rPr>
          <w:rFonts w:ascii="Arial" w:hAnsi="Arial" w:cs="Arial"/>
          <w:i/>
          <w:iCs/>
        </w:rPr>
        <w:t xml:space="preserve">Dotační podpora bude poskytována jako veřejná podpora slučitelná s vnitřním trhem podle </w:t>
      </w:r>
      <w:bookmarkStart w:id="4" w:name="_Hlk499654275"/>
      <w:r w:rsidRPr="00D77560">
        <w:rPr>
          <w:rFonts w:ascii="Arial" w:hAnsi="Arial" w:cs="Arial"/>
          <w:i/>
          <w:iCs/>
        </w:rPr>
        <w:t xml:space="preserve">Rozhodnutí Komise ze dne 20. 12. 2011 o použití </w:t>
      </w:r>
      <w:r w:rsidR="00D77560">
        <w:rPr>
          <w:rFonts w:ascii="Arial" w:hAnsi="Arial" w:cs="Arial"/>
          <w:i/>
          <w:iCs/>
        </w:rPr>
        <w:br/>
      </w:r>
      <w:r w:rsidRPr="00D77560">
        <w:rPr>
          <w:rFonts w:ascii="Arial" w:hAnsi="Arial" w:cs="Arial"/>
          <w:i/>
          <w:iCs/>
        </w:rPr>
        <w:t xml:space="preserve">čl. 106 odst. 2 Smlouvy o fungování Evropské unie na státní podporu ve formě vyrovnávací platby za závazek veřejné služby udělené určitým podnikům pověřeným poskytování služeb obecného hospodářského zájmu (2012/21/EU, </w:t>
      </w:r>
      <w:proofErr w:type="spellStart"/>
      <w:r w:rsidRPr="00D77560">
        <w:rPr>
          <w:rFonts w:ascii="Arial" w:hAnsi="Arial" w:cs="Arial"/>
          <w:i/>
          <w:iCs/>
        </w:rPr>
        <w:t>Úř</w:t>
      </w:r>
      <w:proofErr w:type="spellEnd"/>
      <w:r w:rsidRPr="00D77560">
        <w:rPr>
          <w:rFonts w:ascii="Arial" w:hAnsi="Arial" w:cs="Arial"/>
          <w:i/>
          <w:iCs/>
        </w:rPr>
        <w:t xml:space="preserve">. </w:t>
      </w:r>
      <w:proofErr w:type="spellStart"/>
      <w:r w:rsidRPr="00D77560">
        <w:rPr>
          <w:rFonts w:ascii="Arial" w:hAnsi="Arial" w:cs="Arial"/>
          <w:i/>
          <w:iCs/>
        </w:rPr>
        <w:t>věst</w:t>
      </w:r>
      <w:proofErr w:type="spellEnd"/>
      <w:r w:rsidRPr="00D77560">
        <w:rPr>
          <w:rFonts w:ascii="Arial" w:hAnsi="Arial" w:cs="Arial"/>
          <w:i/>
          <w:iCs/>
        </w:rPr>
        <w:t>. L 7, 11. 1. 2012)</w:t>
      </w:r>
      <w:bookmarkEnd w:id="4"/>
      <w:r w:rsidRPr="00D77560">
        <w:rPr>
          <w:rFonts w:ascii="Arial" w:hAnsi="Arial" w:cs="Arial"/>
          <w:i/>
          <w:iCs/>
        </w:rPr>
        <w:t>, případně jako podpora nezakládající veřejnou podporu ve smyslu článku 107 odst. 1 Smlouvy o fungování EU.</w:t>
      </w:r>
    </w:p>
    <w:tbl>
      <w:tblPr>
        <w:tblStyle w:val="Mkatabulky"/>
        <w:tblW w:w="0" w:type="auto"/>
        <w:tblLook w:val="04A0" w:firstRow="1" w:lastRow="0" w:firstColumn="1" w:lastColumn="0" w:noHBand="0" w:noVBand="1"/>
      </w:tblPr>
      <w:tblGrid>
        <w:gridCol w:w="4815"/>
        <w:gridCol w:w="3969"/>
        <w:gridCol w:w="1711"/>
        <w:gridCol w:w="3499"/>
      </w:tblGrid>
      <w:tr w:rsidR="00894762" w:rsidRPr="00D77560" w14:paraId="11E92FC8" w14:textId="77777777" w:rsidTr="0022357E">
        <w:tc>
          <w:tcPr>
            <w:tcW w:w="4815" w:type="dxa"/>
          </w:tcPr>
          <w:p w14:paraId="00975496" w14:textId="77777777" w:rsidR="00894762" w:rsidRPr="00D77560" w:rsidRDefault="00894762" w:rsidP="0044745A">
            <w:pPr>
              <w:jc w:val="center"/>
              <w:rPr>
                <w:rFonts w:ascii="Arial" w:hAnsi="Arial" w:cs="Arial"/>
                <w:b/>
                <w:bCs/>
              </w:rPr>
            </w:pPr>
            <w:r w:rsidRPr="00D77560">
              <w:rPr>
                <w:rFonts w:ascii="Arial" w:hAnsi="Arial" w:cs="Arial"/>
                <w:b/>
                <w:bCs/>
              </w:rPr>
              <w:t>Vymezení činností/využití</w:t>
            </w:r>
          </w:p>
        </w:tc>
        <w:tc>
          <w:tcPr>
            <w:tcW w:w="3969" w:type="dxa"/>
          </w:tcPr>
          <w:p w14:paraId="48949F89" w14:textId="77777777" w:rsidR="00894762" w:rsidRPr="00D77560" w:rsidRDefault="00894762" w:rsidP="0044745A">
            <w:pPr>
              <w:jc w:val="center"/>
              <w:rPr>
                <w:rFonts w:ascii="Arial" w:hAnsi="Arial" w:cs="Arial"/>
                <w:b/>
                <w:bCs/>
              </w:rPr>
            </w:pPr>
            <w:r w:rsidRPr="00D77560">
              <w:rPr>
                <w:rFonts w:ascii="Arial" w:hAnsi="Arial" w:cs="Arial"/>
                <w:b/>
                <w:bCs/>
              </w:rPr>
              <w:t>zařazení</w:t>
            </w:r>
          </w:p>
        </w:tc>
        <w:tc>
          <w:tcPr>
            <w:tcW w:w="1711" w:type="dxa"/>
          </w:tcPr>
          <w:p w14:paraId="08B92896" w14:textId="77777777" w:rsidR="00894762" w:rsidRPr="00D77560" w:rsidRDefault="00894762" w:rsidP="0044745A">
            <w:pPr>
              <w:jc w:val="center"/>
              <w:rPr>
                <w:rFonts w:ascii="Arial" w:hAnsi="Arial" w:cs="Arial"/>
                <w:b/>
                <w:bCs/>
              </w:rPr>
            </w:pPr>
            <w:r w:rsidRPr="00D77560">
              <w:rPr>
                <w:rFonts w:ascii="Arial" w:hAnsi="Arial" w:cs="Arial"/>
                <w:b/>
                <w:bCs/>
              </w:rPr>
              <w:t>procenta</w:t>
            </w:r>
          </w:p>
        </w:tc>
        <w:tc>
          <w:tcPr>
            <w:tcW w:w="3499" w:type="dxa"/>
          </w:tcPr>
          <w:p w14:paraId="4256AAF4" w14:textId="77777777" w:rsidR="00894762" w:rsidRPr="00D77560" w:rsidRDefault="00894762" w:rsidP="0044745A">
            <w:pPr>
              <w:jc w:val="center"/>
              <w:rPr>
                <w:rFonts w:ascii="Arial" w:hAnsi="Arial" w:cs="Arial"/>
                <w:b/>
                <w:bCs/>
              </w:rPr>
            </w:pPr>
            <w:r w:rsidRPr="00D77560">
              <w:rPr>
                <w:rFonts w:ascii="Arial" w:hAnsi="Arial" w:cs="Arial"/>
                <w:b/>
                <w:bCs/>
              </w:rPr>
              <w:t>poznámka</w:t>
            </w:r>
          </w:p>
        </w:tc>
      </w:tr>
      <w:tr w:rsidR="000E684B" w:rsidRPr="00D77560" w14:paraId="1711F6C3" w14:textId="77777777" w:rsidTr="00FE2A0B">
        <w:trPr>
          <w:trHeight w:val="562"/>
        </w:trPr>
        <w:tc>
          <w:tcPr>
            <w:tcW w:w="4815" w:type="dxa"/>
            <w:vAlign w:val="bottom"/>
          </w:tcPr>
          <w:p w14:paraId="00CEB304" w14:textId="77777777" w:rsidR="000E684B" w:rsidRPr="00D77560" w:rsidRDefault="000E684B" w:rsidP="0022357E">
            <w:pPr>
              <w:jc w:val="both"/>
              <w:rPr>
                <w:rFonts w:ascii="Arial" w:hAnsi="Arial" w:cs="Arial"/>
              </w:rPr>
            </w:pPr>
            <w:r>
              <w:rPr>
                <w:rFonts w:ascii="Arial" w:hAnsi="Arial" w:cs="Arial"/>
              </w:rPr>
              <w:t xml:space="preserve">Ambulance, sál </w:t>
            </w:r>
            <w:proofErr w:type="spellStart"/>
            <w:r>
              <w:rPr>
                <w:rFonts w:ascii="Arial" w:hAnsi="Arial" w:cs="Arial"/>
              </w:rPr>
              <w:t>chemo</w:t>
            </w:r>
            <w:proofErr w:type="spellEnd"/>
            <w:r>
              <w:rPr>
                <w:rFonts w:ascii="Arial" w:hAnsi="Arial" w:cs="Arial"/>
              </w:rPr>
              <w:t>, odběry, EKG, sálek PICC, péče o cévní vstupy, péče o rány</w:t>
            </w:r>
          </w:p>
          <w:p w14:paraId="39DAB6AA" w14:textId="6FC503EC" w:rsidR="000E684B" w:rsidRPr="00D77560" w:rsidRDefault="00332E60" w:rsidP="0022357E">
            <w:pPr>
              <w:jc w:val="both"/>
              <w:rPr>
                <w:rFonts w:ascii="Arial" w:hAnsi="Arial" w:cs="Arial"/>
              </w:rPr>
            </w:pPr>
            <w:r>
              <w:rPr>
                <w:rFonts w:ascii="Arial" w:hAnsi="Arial" w:cs="Arial"/>
              </w:rPr>
              <w:t xml:space="preserve">Recepce, šatny, edukační místnost pro pacienty, zasedací místnost, předsíně, </w:t>
            </w:r>
            <w:r w:rsidR="00B27809">
              <w:rPr>
                <w:rFonts w:ascii="Arial" w:hAnsi="Arial" w:cs="Arial"/>
              </w:rPr>
              <w:t xml:space="preserve">schodiště, </w:t>
            </w:r>
            <w:r>
              <w:rPr>
                <w:rFonts w:ascii="Arial" w:hAnsi="Arial" w:cs="Arial"/>
              </w:rPr>
              <w:t xml:space="preserve">chodby, WC, kartotéka, spisovna, denní místnost, sklad čistého a špinavého prádla, sesterna pracovna, sesterna přípravna, čekárna, čistící místnost, </w:t>
            </w:r>
            <w:r w:rsidR="00B27809">
              <w:rPr>
                <w:rFonts w:ascii="Arial" w:hAnsi="Arial" w:cs="Arial"/>
              </w:rPr>
              <w:t xml:space="preserve">filtry, </w:t>
            </w:r>
            <w:r>
              <w:rPr>
                <w:rFonts w:ascii="Arial" w:hAnsi="Arial" w:cs="Arial"/>
              </w:rPr>
              <w:t xml:space="preserve">úklidové místnosti, </w:t>
            </w:r>
            <w:proofErr w:type="spellStart"/>
            <w:r>
              <w:rPr>
                <w:rFonts w:ascii="Arial" w:hAnsi="Arial" w:cs="Arial"/>
              </w:rPr>
              <w:t>servovna</w:t>
            </w:r>
            <w:proofErr w:type="spellEnd"/>
            <w:r>
              <w:rPr>
                <w:rFonts w:ascii="Arial" w:hAnsi="Arial" w:cs="Arial"/>
              </w:rPr>
              <w:t xml:space="preserve">, potrubní pošta </w:t>
            </w:r>
            <w:proofErr w:type="spellStart"/>
            <w:r>
              <w:rPr>
                <w:rFonts w:ascii="Arial" w:hAnsi="Arial" w:cs="Arial"/>
              </w:rPr>
              <w:t>monitorovna</w:t>
            </w:r>
            <w:proofErr w:type="spellEnd"/>
            <w:r>
              <w:rPr>
                <w:rFonts w:ascii="Arial" w:hAnsi="Arial" w:cs="Arial"/>
              </w:rPr>
              <w:t xml:space="preserve">, kuchyňka, pracovna – lékaři a </w:t>
            </w:r>
            <w:r>
              <w:rPr>
                <w:rFonts w:ascii="Arial" w:hAnsi="Arial" w:cs="Arial"/>
              </w:rPr>
              <w:lastRenderedPageBreak/>
              <w:t xml:space="preserve">THP, </w:t>
            </w:r>
            <w:r w:rsidR="00B27809">
              <w:rPr>
                <w:rFonts w:ascii="Arial" w:hAnsi="Arial" w:cs="Arial"/>
              </w:rPr>
              <w:t xml:space="preserve">výuková místnost, </w:t>
            </w:r>
            <w:r>
              <w:rPr>
                <w:rFonts w:ascii="Arial" w:hAnsi="Arial" w:cs="Arial"/>
              </w:rPr>
              <w:t>technické zázemí, hygienické zázemí,</w:t>
            </w:r>
            <w:r w:rsidR="00B27809">
              <w:rPr>
                <w:rFonts w:ascii="Arial" w:hAnsi="Arial" w:cs="Arial"/>
              </w:rPr>
              <w:t xml:space="preserve"> </w:t>
            </w:r>
            <w:r>
              <w:rPr>
                <w:rFonts w:ascii="Arial" w:hAnsi="Arial" w:cs="Arial"/>
              </w:rPr>
              <w:t>strojovna výtahů</w:t>
            </w:r>
            <w:r w:rsidR="00B27809">
              <w:rPr>
                <w:rFonts w:ascii="Arial" w:hAnsi="Arial" w:cs="Arial"/>
              </w:rPr>
              <w:t>, rozvodny</w:t>
            </w:r>
          </w:p>
        </w:tc>
        <w:tc>
          <w:tcPr>
            <w:tcW w:w="3969" w:type="dxa"/>
          </w:tcPr>
          <w:p w14:paraId="109B6559" w14:textId="77777777" w:rsidR="000E684B" w:rsidRPr="00D77560" w:rsidRDefault="000E684B" w:rsidP="0022357E">
            <w:pPr>
              <w:jc w:val="both"/>
              <w:rPr>
                <w:rFonts w:ascii="Arial" w:hAnsi="Arial" w:cs="Arial"/>
              </w:rPr>
            </w:pPr>
            <w:r>
              <w:rPr>
                <w:rFonts w:ascii="Arial" w:hAnsi="Arial" w:cs="Arial"/>
              </w:rPr>
              <w:lastRenderedPageBreak/>
              <w:t xml:space="preserve">b) </w:t>
            </w:r>
            <w:r w:rsidRPr="00D77560">
              <w:rPr>
                <w:rFonts w:ascii="Arial" w:hAnsi="Arial" w:cs="Arial"/>
              </w:rPr>
              <w:t>hospodářské činnosti, které mají charakter služeb obecného hospodářského zájmu (</w:t>
            </w:r>
            <w:r>
              <w:rPr>
                <w:rFonts w:ascii="Arial" w:hAnsi="Arial" w:cs="Arial"/>
              </w:rPr>
              <w:t xml:space="preserve">režim </w:t>
            </w:r>
            <w:r w:rsidRPr="00D77560">
              <w:rPr>
                <w:rFonts w:ascii="Arial" w:hAnsi="Arial" w:cs="Arial"/>
              </w:rPr>
              <w:t>SGEI)</w:t>
            </w:r>
            <w:r>
              <w:rPr>
                <w:rFonts w:ascii="Arial" w:hAnsi="Arial" w:cs="Arial"/>
              </w:rPr>
              <w:t xml:space="preserve"> </w:t>
            </w:r>
          </w:p>
          <w:p w14:paraId="169E7BA4" w14:textId="69CAF735" w:rsidR="000E684B" w:rsidRPr="00D77560" w:rsidRDefault="000E684B" w:rsidP="0022357E">
            <w:pPr>
              <w:jc w:val="both"/>
              <w:rPr>
                <w:rFonts w:ascii="Arial" w:hAnsi="Arial" w:cs="Arial"/>
              </w:rPr>
            </w:pPr>
          </w:p>
        </w:tc>
        <w:tc>
          <w:tcPr>
            <w:tcW w:w="1711" w:type="dxa"/>
          </w:tcPr>
          <w:p w14:paraId="4AB42624" w14:textId="37F29B36" w:rsidR="000E684B" w:rsidRPr="00301B04" w:rsidRDefault="00FE2A0B" w:rsidP="000E684B">
            <w:pPr>
              <w:jc w:val="center"/>
              <w:rPr>
                <w:rFonts w:ascii="Arial" w:hAnsi="Arial" w:cs="Arial"/>
              </w:rPr>
            </w:pPr>
            <w:r w:rsidRPr="00301B04">
              <w:rPr>
                <w:rFonts w:ascii="Arial" w:hAnsi="Arial" w:cs="Arial"/>
              </w:rPr>
              <w:t>97</w:t>
            </w:r>
            <w:r w:rsidR="00A12FF5">
              <w:rPr>
                <w:rFonts w:ascii="Arial" w:hAnsi="Arial" w:cs="Arial"/>
              </w:rPr>
              <w:t xml:space="preserve"> </w:t>
            </w:r>
            <w:r w:rsidR="000E684B" w:rsidRPr="00301B04">
              <w:rPr>
                <w:rFonts w:ascii="Arial" w:hAnsi="Arial" w:cs="Arial"/>
              </w:rPr>
              <w:t>%</w:t>
            </w:r>
          </w:p>
          <w:p w14:paraId="58F9FAEC" w14:textId="75A601F9" w:rsidR="000E684B" w:rsidRPr="00301B04" w:rsidRDefault="000E684B" w:rsidP="000E684B">
            <w:pPr>
              <w:jc w:val="center"/>
              <w:rPr>
                <w:rFonts w:ascii="Arial" w:hAnsi="Arial" w:cs="Arial"/>
              </w:rPr>
            </w:pPr>
          </w:p>
        </w:tc>
        <w:tc>
          <w:tcPr>
            <w:tcW w:w="3499" w:type="dxa"/>
          </w:tcPr>
          <w:p w14:paraId="091C205B" w14:textId="2714F36A" w:rsidR="000E684B" w:rsidRPr="00D77560" w:rsidRDefault="000E684B" w:rsidP="0022357E">
            <w:pPr>
              <w:jc w:val="both"/>
              <w:rPr>
                <w:rFonts w:ascii="Arial" w:hAnsi="Arial" w:cs="Arial"/>
              </w:rPr>
            </w:pPr>
            <w:r w:rsidRPr="003A4E8D">
              <w:rPr>
                <w:rFonts w:ascii="Arial" w:hAnsi="Arial" w:cs="Arial"/>
              </w:rPr>
              <w:t>služby zdravotní péče</w:t>
            </w:r>
            <w:r>
              <w:rPr>
                <w:rFonts w:ascii="Arial" w:hAnsi="Arial" w:cs="Arial"/>
              </w:rPr>
              <w:t xml:space="preserve"> + </w:t>
            </w:r>
            <w:r w:rsidRPr="003A4E8D">
              <w:rPr>
                <w:rFonts w:ascii="Arial" w:hAnsi="Arial" w:cs="Arial"/>
              </w:rPr>
              <w:t>technická infrastruktura (veřejné prostory)</w:t>
            </w:r>
            <w:r w:rsidRPr="0022357E">
              <w:rPr>
                <w:rFonts w:ascii="Arial" w:hAnsi="Arial" w:cs="Arial"/>
              </w:rPr>
              <w:t xml:space="preserve">, </w:t>
            </w:r>
            <w:r w:rsidRPr="003A4E8D">
              <w:rPr>
                <w:rFonts w:ascii="Arial" w:hAnsi="Arial" w:cs="Arial"/>
              </w:rPr>
              <w:t>místnost</w:t>
            </w:r>
            <w:r w:rsidRPr="0022357E">
              <w:rPr>
                <w:rFonts w:ascii="Arial" w:hAnsi="Arial" w:cs="Arial"/>
              </w:rPr>
              <w:t>i</w:t>
            </w:r>
            <w:r w:rsidRPr="003A4E8D">
              <w:rPr>
                <w:rFonts w:ascii="Arial" w:hAnsi="Arial" w:cs="Arial"/>
              </w:rPr>
              <w:t xml:space="preserve"> pro personál</w:t>
            </w:r>
          </w:p>
        </w:tc>
      </w:tr>
      <w:tr w:rsidR="00894762" w:rsidRPr="00D77560" w14:paraId="1F213077" w14:textId="77777777" w:rsidTr="0022357E">
        <w:tc>
          <w:tcPr>
            <w:tcW w:w="4815" w:type="dxa"/>
            <w:vAlign w:val="bottom"/>
          </w:tcPr>
          <w:p w14:paraId="2539506D" w14:textId="516C1292" w:rsidR="00894762" w:rsidRPr="00D77560" w:rsidRDefault="00E8383F" w:rsidP="0022357E">
            <w:pPr>
              <w:jc w:val="both"/>
              <w:rPr>
                <w:rFonts w:ascii="Arial" w:hAnsi="Arial" w:cs="Arial"/>
              </w:rPr>
            </w:pPr>
            <w:r>
              <w:rPr>
                <w:rFonts w:ascii="Arial" w:hAnsi="Arial" w:cs="Arial"/>
              </w:rPr>
              <w:t>Klinické studie</w:t>
            </w:r>
            <w:r w:rsidR="00B03DC6">
              <w:rPr>
                <w:rFonts w:ascii="Arial" w:hAnsi="Arial" w:cs="Arial"/>
              </w:rPr>
              <w:t xml:space="preserve"> – </w:t>
            </w:r>
            <w:r w:rsidR="00C255D9">
              <w:rPr>
                <w:rFonts w:ascii="Arial" w:hAnsi="Arial" w:cs="Arial"/>
              </w:rPr>
              <w:t xml:space="preserve">pracovník THP, pracovník THP, sklad, sklad, </w:t>
            </w:r>
            <w:proofErr w:type="spellStart"/>
            <w:r w:rsidR="00C255D9">
              <w:rPr>
                <w:rFonts w:ascii="Arial" w:hAnsi="Arial" w:cs="Arial"/>
              </w:rPr>
              <w:t>monitorovna</w:t>
            </w:r>
            <w:proofErr w:type="spellEnd"/>
            <w:r w:rsidR="00C255D9">
              <w:rPr>
                <w:rFonts w:ascii="Arial" w:hAnsi="Arial" w:cs="Arial"/>
              </w:rPr>
              <w:t xml:space="preserve">, </w:t>
            </w:r>
            <w:r w:rsidR="00B03DC6">
              <w:rPr>
                <w:rFonts w:ascii="Arial" w:hAnsi="Arial" w:cs="Arial"/>
              </w:rPr>
              <w:t xml:space="preserve">sesterna, sesterna, ambulance </w:t>
            </w:r>
          </w:p>
        </w:tc>
        <w:tc>
          <w:tcPr>
            <w:tcW w:w="3969" w:type="dxa"/>
          </w:tcPr>
          <w:p w14:paraId="22CF2B49" w14:textId="24DB7E38" w:rsidR="00894762" w:rsidRPr="00D77560" w:rsidRDefault="006C6BC1" w:rsidP="0022357E">
            <w:pPr>
              <w:jc w:val="both"/>
              <w:rPr>
                <w:rFonts w:ascii="Arial" w:hAnsi="Arial" w:cs="Arial"/>
              </w:rPr>
            </w:pPr>
            <w:r w:rsidRPr="00D77560">
              <w:rPr>
                <w:rFonts w:ascii="Arial" w:hAnsi="Arial" w:cs="Arial"/>
              </w:rPr>
              <w:t>c2) hospodářské činnosti ostatní</w:t>
            </w:r>
          </w:p>
        </w:tc>
        <w:tc>
          <w:tcPr>
            <w:tcW w:w="1711" w:type="dxa"/>
          </w:tcPr>
          <w:p w14:paraId="00BC4BA7" w14:textId="713943AD" w:rsidR="00894762" w:rsidRPr="00301B04" w:rsidRDefault="00FE2A0B" w:rsidP="000E684B">
            <w:pPr>
              <w:jc w:val="center"/>
              <w:rPr>
                <w:rFonts w:ascii="Arial" w:hAnsi="Arial" w:cs="Arial"/>
              </w:rPr>
            </w:pPr>
            <w:r w:rsidRPr="00301B04">
              <w:rPr>
                <w:rFonts w:ascii="Arial" w:hAnsi="Arial" w:cs="Arial"/>
              </w:rPr>
              <w:t>3</w:t>
            </w:r>
            <w:r w:rsidR="00A12FF5">
              <w:rPr>
                <w:rFonts w:ascii="Arial" w:hAnsi="Arial" w:cs="Arial"/>
              </w:rPr>
              <w:t xml:space="preserve"> </w:t>
            </w:r>
            <w:bookmarkStart w:id="5" w:name="_GoBack"/>
            <w:bookmarkEnd w:id="5"/>
            <w:r w:rsidR="000E684B" w:rsidRPr="00301B04">
              <w:rPr>
                <w:rFonts w:ascii="Arial" w:hAnsi="Arial" w:cs="Arial"/>
              </w:rPr>
              <w:t>%</w:t>
            </w:r>
          </w:p>
        </w:tc>
        <w:tc>
          <w:tcPr>
            <w:tcW w:w="3499" w:type="dxa"/>
          </w:tcPr>
          <w:p w14:paraId="52AF035F" w14:textId="70047DD3" w:rsidR="00894762" w:rsidRPr="00D77560" w:rsidRDefault="0022357E" w:rsidP="0022357E">
            <w:pPr>
              <w:jc w:val="both"/>
              <w:rPr>
                <w:rFonts w:ascii="Arial" w:hAnsi="Arial" w:cs="Arial"/>
              </w:rPr>
            </w:pPr>
            <w:r>
              <w:rPr>
                <w:rFonts w:ascii="Arial" w:hAnsi="Arial" w:cs="Arial"/>
              </w:rPr>
              <w:t>Klinické studie</w:t>
            </w:r>
          </w:p>
        </w:tc>
      </w:tr>
    </w:tbl>
    <w:p w14:paraId="3CCA0112" w14:textId="050752EC" w:rsidR="00894762" w:rsidRPr="00D77560" w:rsidRDefault="00894762" w:rsidP="00D77560">
      <w:pPr>
        <w:jc w:val="both"/>
        <w:rPr>
          <w:rFonts w:ascii="Arial" w:hAnsi="Arial" w:cs="Arial"/>
        </w:rPr>
      </w:pPr>
      <w:r w:rsidRPr="00D77560">
        <w:rPr>
          <w:rFonts w:ascii="Arial" w:hAnsi="Arial" w:cs="Arial"/>
          <w:b/>
          <w:bCs/>
        </w:rPr>
        <w:t>Vymezení činností/využití</w:t>
      </w:r>
      <w:r w:rsidRPr="00D77560">
        <w:rPr>
          <w:rFonts w:ascii="Arial" w:hAnsi="Arial" w:cs="Arial"/>
        </w:rPr>
        <w:t>: popis činností/využití (např</w:t>
      </w:r>
      <w:r w:rsidR="00EC4400" w:rsidRPr="00D77560">
        <w:rPr>
          <w:rFonts w:ascii="Arial" w:hAnsi="Arial" w:cs="Arial"/>
        </w:rPr>
        <w:t>. lékárna,</w:t>
      </w:r>
      <w:r w:rsidRPr="00D77560">
        <w:rPr>
          <w:rFonts w:ascii="Arial" w:hAnsi="Arial" w:cs="Arial"/>
        </w:rPr>
        <w:t xml:space="preserve"> jídelna, kantýna, …)</w:t>
      </w:r>
    </w:p>
    <w:bookmarkEnd w:id="3"/>
    <w:p w14:paraId="2C97DE84" w14:textId="782A30F4" w:rsidR="00894762" w:rsidRDefault="00894762" w:rsidP="00D77560">
      <w:pPr>
        <w:jc w:val="both"/>
        <w:rPr>
          <w:rFonts w:ascii="Arial" w:hAnsi="Arial" w:cs="Arial"/>
        </w:rPr>
      </w:pPr>
      <w:r w:rsidRPr="00D77560">
        <w:rPr>
          <w:rFonts w:ascii="Arial" w:hAnsi="Arial" w:cs="Arial"/>
          <w:b/>
          <w:bCs/>
        </w:rPr>
        <w:t>Zařazení</w:t>
      </w:r>
      <w:r w:rsidRPr="00D77560">
        <w:rPr>
          <w:rFonts w:ascii="Arial" w:hAnsi="Arial" w:cs="Arial"/>
        </w:rPr>
        <w:t xml:space="preserve">: jednotlivé činnosti/využití rozdělte na činnosti, a) které nemají tzv. hospodářskou povahu a ve vztahu k niž není příjemce podpory považován za „podnik“, b) hospodářské činnosti, které mají charakter služeb obecného hospodářského zájmu (SGEI), např. zdravotní služby uvedené ve zřizovací listině, c1) hospodářské činnosti, které neovlivňují trh mezi členskými státy EU a c2) hospodářské činnosti ostatní. </w:t>
      </w:r>
    </w:p>
    <w:tbl>
      <w:tblPr>
        <w:tblStyle w:val="Mkatabulky"/>
        <w:tblW w:w="0" w:type="auto"/>
        <w:tblLook w:val="04A0" w:firstRow="1" w:lastRow="0" w:firstColumn="1" w:lastColumn="0" w:noHBand="0" w:noVBand="1"/>
      </w:tblPr>
      <w:tblGrid>
        <w:gridCol w:w="13994"/>
      </w:tblGrid>
      <w:tr w:rsidR="00894762" w:rsidRPr="00D77560" w14:paraId="6C322517" w14:textId="77777777" w:rsidTr="0044745A">
        <w:tc>
          <w:tcPr>
            <w:tcW w:w="13994" w:type="dxa"/>
          </w:tcPr>
          <w:p w14:paraId="594032A9" w14:textId="7CD50EC6" w:rsidR="00894762" w:rsidRDefault="00894762" w:rsidP="00D77560">
            <w:pPr>
              <w:jc w:val="both"/>
              <w:rPr>
                <w:rFonts w:ascii="Arial" w:hAnsi="Arial" w:cs="Arial"/>
                <w:b/>
                <w:bCs/>
              </w:rPr>
            </w:pPr>
            <w:r w:rsidRPr="00D77560">
              <w:rPr>
                <w:rFonts w:ascii="Arial" w:hAnsi="Arial" w:cs="Arial"/>
                <w:b/>
                <w:bCs/>
              </w:rPr>
              <w:t>Charakteristika metody, na základě byla stanovena procenta využití:</w:t>
            </w:r>
          </w:p>
          <w:p w14:paraId="0EE46CE4" w14:textId="50FC056B" w:rsidR="00894762" w:rsidRPr="0022357E" w:rsidRDefault="0022357E" w:rsidP="0022357E">
            <w:pPr>
              <w:jc w:val="both"/>
              <w:rPr>
                <w:rFonts w:ascii="Arial" w:hAnsi="Arial" w:cs="Arial"/>
                <w:iCs/>
              </w:rPr>
            </w:pPr>
            <w:r w:rsidRPr="00301B04">
              <w:rPr>
                <w:rFonts w:ascii="Arial" w:hAnsi="Arial" w:cs="Arial"/>
                <w:iCs/>
              </w:rPr>
              <w:t>Procenta využití jednotlivých činností byla stanovena podílem podlahových ploch jednotlivých činností k celkové podlahové ploše objektu.</w:t>
            </w:r>
            <w:r w:rsidR="00D16B41" w:rsidRPr="00301B04">
              <w:rPr>
                <w:rFonts w:ascii="Arial" w:hAnsi="Arial" w:cs="Arial"/>
                <w:iCs/>
              </w:rPr>
              <w:t xml:space="preserve"> Rozdělení místností, jejich zařazení s uvedením podlahové plochy </w:t>
            </w:r>
            <w:r w:rsidR="00301B04">
              <w:rPr>
                <w:rFonts w:ascii="Arial" w:hAnsi="Arial" w:cs="Arial"/>
                <w:iCs/>
              </w:rPr>
              <w:t>je uvedeno</w:t>
            </w:r>
            <w:r w:rsidR="00D16B41" w:rsidRPr="00301B04">
              <w:rPr>
                <w:rFonts w:ascii="Arial" w:hAnsi="Arial" w:cs="Arial"/>
                <w:iCs/>
              </w:rPr>
              <w:t xml:space="preserve"> v </w:t>
            </w:r>
            <w:r w:rsidR="00332E60" w:rsidRPr="00301B04">
              <w:rPr>
                <w:rFonts w:ascii="Arial" w:hAnsi="Arial" w:cs="Arial"/>
                <w:iCs/>
              </w:rPr>
              <w:t>P</w:t>
            </w:r>
            <w:r w:rsidR="00D16B41" w:rsidRPr="00301B04">
              <w:rPr>
                <w:rFonts w:ascii="Arial" w:hAnsi="Arial" w:cs="Arial"/>
                <w:iCs/>
              </w:rPr>
              <w:t xml:space="preserve">říloze č. 1 </w:t>
            </w:r>
            <w:r w:rsidR="00332E60" w:rsidRPr="00301B04">
              <w:rPr>
                <w:rFonts w:ascii="Arial" w:hAnsi="Arial" w:cs="Arial"/>
                <w:iCs/>
              </w:rPr>
              <w:t>této P</w:t>
            </w:r>
            <w:r w:rsidR="00D16B41" w:rsidRPr="00301B04">
              <w:rPr>
                <w:rFonts w:ascii="Arial" w:hAnsi="Arial" w:cs="Arial"/>
                <w:iCs/>
              </w:rPr>
              <w:t>řílohy</w:t>
            </w:r>
            <w:r w:rsidR="00332E60" w:rsidRPr="00301B04">
              <w:rPr>
                <w:rFonts w:ascii="Arial" w:hAnsi="Arial" w:cs="Arial"/>
                <w:iCs/>
              </w:rPr>
              <w:t xml:space="preserve"> č. 5</w:t>
            </w:r>
            <w:r w:rsidR="00D16B41" w:rsidRPr="00301B04">
              <w:rPr>
                <w:rFonts w:ascii="Arial" w:hAnsi="Arial" w:cs="Arial"/>
                <w:iCs/>
              </w:rPr>
              <w:t xml:space="preserve">. </w:t>
            </w:r>
          </w:p>
        </w:tc>
      </w:tr>
    </w:tbl>
    <w:tbl>
      <w:tblPr>
        <w:tblpPr w:leftFromText="141" w:rightFromText="141" w:vertAnchor="text" w:tblpY="331"/>
        <w:tblW w:w="9199" w:type="dxa"/>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Layout w:type="fixed"/>
        <w:tblLook w:val="0000" w:firstRow="0" w:lastRow="0" w:firstColumn="0" w:lastColumn="0" w:noHBand="0" w:noVBand="0"/>
      </w:tblPr>
      <w:tblGrid>
        <w:gridCol w:w="2253"/>
        <w:gridCol w:w="2694"/>
        <w:gridCol w:w="4252"/>
      </w:tblGrid>
      <w:tr w:rsidR="00F568E3" w:rsidRPr="001874C8" w14:paraId="5E62C548" w14:textId="77777777" w:rsidTr="00696F24">
        <w:trPr>
          <w:trHeight w:val="489"/>
        </w:trPr>
        <w:tc>
          <w:tcPr>
            <w:tcW w:w="4947" w:type="dxa"/>
            <w:gridSpan w:val="2"/>
            <w:tcBorders>
              <w:top w:val="single" w:sz="12" w:space="0" w:color="00000A"/>
              <w:left w:val="single" w:sz="12" w:space="0" w:color="00000A"/>
              <w:bottom w:val="single" w:sz="12" w:space="0" w:color="00000A"/>
              <w:right w:val="single" w:sz="4" w:space="0" w:color="00000A"/>
            </w:tcBorders>
            <w:shd w:val="pct10" w:color="auto" w:fill="auto"/>
            <w:tcMar>
              <w:left w:w="98" w:type="dxa"/>
            </w:tcMar>
          </w:tcPr>
          <w:p w14:paraId="034866F1" w14:textId="292EAAD4" w:rsidR="00F568E3" w:rsidRPr="001874C8" w:rsidRDefault="00F568E3" w:rsidP="00696F24">
            <w:pPr>
              <w:keepLines/>
              <w:spacing w:after="0"/>
              <w:rPr>
                <w:rFonts w:ascii="Arial" w:hAnsi="Arial" w:cs="Arial"/>
                <w:bCs/>
              </w:rPr>
            </w:pPr>
            <w:r w:rsidRPr="001874C8">
              <w:rPr>
                <w:rFonts w:ascii="Arial" w:hAnsi="Arial" w:cs="Arial"/>
                <w:bCs/>
              </w:rPr>
              <w:t>Místo a datum podpisu:</w:t>
            </w:r>
          </w:p>
        </w:tc>
        <w:tc>
          <w:tcPr>
            <w:tcW w:w="4252" w:type="dxa"/>
            <w:tcBorders>
              <w:top w:val="single" w:sz="12" w:space="0" w:color="00000A"/>
              <w:left w:val="single" w:sz="4" w:space="0" w:color="00000A"/>
              <w:bottom w:val="single" w:sz="12" w:space="0" w:color="00000A"/>
              <w:right w:val="single" w:sz="12" w:space="0" w:color="00000A"/>
            </w:tcBorders>
            <w:shd w:val="clear" w:color="auto" w:fill="auto"/>
            <w:tcMar>
              <w:left w:w="108" w:type="dxa"/>
            </w:tcMar>
          </w:tcPr>
          <w:p w14:paraId="0BA1EF37" w14:textId="77777777" w:rsidR="00F568E3" w:rsidRPr="001874C8" w:rsidRDefault="00F568E3" w:rsidP="00696F24">
            <w:pPr>
              <w:keepLines/>
              <w:spacing w:after="0"/>
              <w:jc w:val="both"/>
              <w:rPr>
                <w:rFonts w:ascii="Arial" w:hAnsi="Arial" w:cs="Arial"/>
              </w:rPr>
            </w:pPr>
          </w:p>
        </w:tc>
      </w:tr>
      <w:tr w:rsidR="00F568E3" w:rsidRPr="001874C8" w14:paraId="40D3EE51" w14:textId="77777777" w:rsidTr="00696F24">
        <w:trPr>
          <w:trHeight w:val="284"/>
        </w:trPr>
        <w:tc>
          <w:tcPr>
            <w:tcW w:w="2253" w:type="dxa"/>
            <w:tcBorders>
              <w:top w:val="single" w:sz="12" w:space="0" w:color="00000A"/>
              <w:left w:val="single" w:sz="12" w:space="0" w:color="00000A"/>
              <w:bottom w:val="single" w:sz="12" w:space="0" w:color="00000A"/>
              <w:right w:val="single" w:sz="4" w:space="0" w:color="00000A"/>
            </w:tcBorders>
            <w:shd w:val="clear" w:color="auto" w:fill="E7E6E6"/>
            <w:tcMar>
              <w:left w:w="98" w:type="dxa"/>
            </w:tcMar>
          </w:tcPr>
          <w:p w14:paraId="0E3743C0" w14:textId="77777777" w:rsidR="00F568E3" w:rsidRPr="001874C8" w:rsidRDefault="00F568E3" w:rsidP="00696F24">
            <w:pPr>
              <w:keepLines/>
              <w:spacing w:after="0"/>
              <w:rPr>
                <w:rFonts w:ascii="Arial" w:hAnsi="Arial" w:cs="Arial"/>
                <w:bCs/>
              </w:rPr>
            </w:pPr>
            <w:r w:rsidRPr="001874C8">
              <w:rPr>
                <w:rFonts w:ascii="Arial" w:hAnsi="Arial" w:cs="Arial"/>
                <w:bCs/>
              </w:rPr>
              <w:t>Jméno, příjmení</w:t>
            </w:r>
          </w:p>
          <w:p w14:paraId="792ED6D1" w14:textId="77777777" w:rsidR="00F568E3" w:rsidRPr="001874C8" w:rsidRDefault="00F568E3" w:rsidP="00696F24">
            <w:pPr>
              <w:keepLines/>
              <w:spacing w:after="0"/>
              <w:rPr>
                <w:rFonts w:ascii="Arial" w:hAnsi="Arial" w:cs="Arial"/>
                <w:bCs/>
              </w:rPr>
            </w:pPr>
          </w:p>
        </w:tc>
        <w:tc>
          <w:tcPr>
            <w:tcW w:w="2694" w:type="dxa"/>
            <w:vMerge w:val="restart"/>
            <w:tcBorders>
              <w:top w:val="single" w:sz="12" w:space="0" w:color="00000A"/>
              <w:left w:val="single" w:sz="4" w:space="0" w:color="00000A"/>
              <w:right w:val="single" w:sz="4" w:space="0" w:color="00000A"/>
            </w:tcBorders>
            <w:shd w:val="pct10" w:color="auto" w:fill="auto"/>
          </w:tcPr>
          <w:p w14:paraId="14F4075D" w14:textId="77777777" w:rsidR="00F568E3" w:rsidRPr="001874C8" w:rsidRDefault="00F568E3" w:rsidP="00696F24">
            <w:pPr>
              <w:keepLines/>
              <w:spacing w:after="0"/>
              <w:rPr>
                <w:rFonts w:ascii="Arial" w:hAnsi="Arial" w:cs="Arial"/>
                <w:bCs/>
              </w:rPr>
            </w:pPr>
            <w:r w:rsidRPr="001874C8">
              <w:rPr>
                <w:rFonts w:ascii="Arial" w:hAnsi="Arial" w:cs="Arial"/>
                <w:bCs/>
              </w:rPr>
              <w:t>zástupce statutárního orgánu, popř. osoby oprávněné zastupovat žadatele:</w:t>
            </w:r>
          </w:p>
        </w:tc>
        <w:tc>
          <w:tcPr>
            <w:tcW w:w="4252" w:type="dxa"/>
            <w:tcBorders>
              <w:top w:val="single" w:sz="12" w:space="0" w:color="00000A"/>
              <w:left w:val="single" w:sz="4" w:space="0" w:color="00000A"/>
              <w:bottom w:val="single" w:sz="12" w:space="0" w:color="00000A"/>
              <w:right w:val="single" w:sz="12" w:space="0" w:color="00000A"/>
            </w:tcBorders>
            <w:shd w:val="clear" w:color="auto" w:fill="auto"/>
            <w:tcMar>
              <w:left w:w="108" w:type="dxa"/>
            </w:tcMar>
          </w:tcPr>
          <w:p w14:paraId="70CB42F0" w14:textId="77777777" w:rsidR="00F568E3" w:rsidRPr="001874C8" w:rsidRDefault="00F568E3" w:rsidP="00696F24">
            <w:pPr>
              <w:keepLines/>
              <w:spacing w:after="0"/>
              <w:jc w:val="both"/>
              <w:rPr>
                <w:rFonts w:ascii="Arial" w:hAnsi="Arial" w:cs="Arial"/>
              </w:rPr>
            </w:pPr>
          </w:p>
        </w:tc>
      </w:tr>
      <w:tr w:rsidR="00F568E3" w:rsidRPr="001874C8" w14:paraId="71B0D627" w14:textId="77777777" w:rsidTr="00696F24">
        <w:trPr>
          <w:trHeight w:val="284"/>
        </w:trPr>
        <w:tc>
          <w:tcPr>
            <w:tcW w:w="2253" w:type="dxa"/>
            <w:tcBorders>
              <w:top w:val="single" w:sz="12" w:space="0" w:color="00000A"/>
              <w:left w:val="single" w:sz="12" w:space="0" w:color="00000A"/>
              <w:bottom w:val="single" w:sz="12" w:space="0" w:color="00000A"/>
              <w:right w:val="single" w:sz="4" w:space="0" w:color="00000A"/>
            </w:tcBorders>
            <w:shd w:val="clear" w:color="auto" w:fill="E7E6E6"/>
            <w:tcMar>
              <w:left w:w="98" w:type="dxa"/>
            </w:tcMar>
          </w:tcPr>
          <w:p w14:paraId="1D6A8074" w14:textId="77777777" w:rsidR="00F568E3" w:rsidRPr="001874C8" w:rsidRDefault="00F568E3" w:rsidP="00696F24">
            <w:pPr>
              <w:keepLines/>
              <w:spacing w:after="0"/>
              <w:rPr>
                <w:rFonts w:ascii="Arial" w:hAnsi="Arial" w:cs="Arial"/>
                <w:bCs/>
              </w:rPr>
            </w:pPr>
            <w:r w:rsidRPr="001874C8">
              <w:rPr>
                <w:rFonts w:ascii="Arial" w:hAnsi="Arial" w:cs="Arial"/>
                <w:bCs/>
              </w:rPr>
              <w:t xml:space="preserve">Podpis </w:t>
            </w:r>
          </w:p>
          <w:p w14:paraId="19CEB29E" w14:textId="77777777" w:rsidR="00F568E3" w:rsidRPr="001874C8" w:rsidRDefault="00F568E3" w:rsidP="00696F24">
            <w:pPr>
              <w:keepLines/>
              <w:spacing w:after="0"/>
              <w:rPr>
                <w:rFonts w:ascii="Arial" w:hAnsi="Arial" w:cs="Arial"/>
                <w:bCs/>
              </w:rPr>
            </w:pPr>
          </w:p>
        </w:tc>
        <w:tc>
          <w:tcPr>
            <w:tcW w:w="2694" w:type="dxa"/>
            <w:vMerge/>
            <w:tcBorders>
              <w:left w:val="single" w:sz="4" w:space="0" w:color="00000A"/>
              <w:bottom w:val="single" w:sz="12" w:space="0" w:color="00000A"/>
              <w:right w:val="single" w:sz="4" w:space="0" w:color="00000A"/>
            </w:tcBorders>
            <w:shd w:val="pct10" w:color="auto" w:fill="auto"/>
          </w:tcPr>
          <w:p w14:paraId="29A70E06" w14:textId="77777777" w:rsidR="00F568E3" w:rsidRPr="001874C8" w:rsidRDefault="00F568E3" w:rsidP="00696F24">
            <w:pPr>
              <w:keepLines/>
              <w:spacing w:after="0"/>
              <w:rPr>
                <w:rFonts w:ascii="Arial" w:hAnsi="Arial" w:cs="Arial"/>
                <w:bCs/>
              </w:rPr>
            </w:pPr>
          </w:p>
        </w:tc>
        <w:tc>
          <w:tcPr>
            <w:tcW w:w="4252" w:type="dxa"/>
            <w:tcBorders>
              <w:top w:val="single" w:sz="12" w:space="0" w:color="00000A"/>
              <w:left w:val="single" w:sz="4" w:space="0" w:color="00000A"/>
              <w:bottom w:val="single" w:sz="12" w:space="0" w:color="00000A"/>
              <w:right w:val="single" w:sz="12" w:space="0" w:color="00000A"/>
            </w:tcBorders>
            <w:shd w:val="clear" w:color="auto" w:fill="auto"/>
            <w:tcMar>
              <w:left w:w="108" w:type="dxa"/>
            </w:tcMar>
          </w:tcPr>
          <w:p w14:paraId="08D1BF9E" w14:textId="77777777" w:rsidR="00F568E3" w:rsidRPr="001874C8" w:rsidRDefault="00F568E3" w:rsidP="00696F24">
            <w:pPr>
              <w:keepLines/>
              <w:spacing w:after="0"/>
              <w:jc w:val="both"/>
              <w:rPr>
                <w:rFonts w:ascii="Arial" w:hAnsi="Arial" w:cs="Arial"/>
              </w:rPr>
            </w:pPr>
          </w:p>
        </w:tc>
      </w:tr>
    </w:tbl>
    <w:p w14:paraId="0C6E76E8" w14:textId="77777777" w:rsidR="00F568E3" w:rsidRPr="00D77560" w:rsidRDefault="00F568E3" w:rsidP="004E2DC0">
      <w:pPr>
        <w:autoSpaceDE w:val="0"/>
        <w:autoSpaceDN w:val="0"/>
        <w:adjustRightInd w:val="0"/>
        <w:spacing w:after="0" w:line="240" w:lineRule="auto"/>
        <w:jc w:val="both"/>
        <w:rPr>
          <w:rFonts w:ascii="Arial" w:hAnsi="Arial" w:cs="Arial"/>
          <w:b/>
          <w:bCs/>
          <w:color w:val="000000" w:themeColor="text1"/>
        </w:rPr>
      </w:pPr>
    </w:p>
    <w:sectPr w:rsidR="00F568E3" w:rsidRPr="00D77560" w:rsidSect="00997F0E">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36A84" w14:textId="77777777" w:rsidR="00ED65B2" w:rsidRDefault="00ED65B2" w:rsidP="00AD5FB6">
      <w:pPr>
        <w:spacing w:after="0" w:line="240" w:lineRule="auto"/>
      </w:pPr>
      <w:r>
        <w:separator/>
      </w:r>
    </w:p>
  </w:endnote>
  <w:endnote w:type="continuationSeparator" w:id="0">
    <w:p w14:paraId="3135A7BF" w14:textId="77777777" w:rsidR="00ED65B2" w:rsidRDefault="00ED65B2" w:rsidP="00AD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119"/>
      <w:gridCol w:w="3118"/>
    </w:tblGrid>
    <w:tr w:rsidR="00D01D5E" w14:paraId="14F9BE56" w14:textId="77777777" w:rsidTr="00D01D5E">
      <w:tc>
        <w:tcPr>
          <w:tcW w:w="2830" w:type="dxa"/>
          <w:hideMark/>
        </w:tcPr>
        <w:p w14:paraId="75234EA7" w14:textId="77777777" w:rsidR="00D01D5E" w:rsidRDefault="00D01D5E" w:rsidP="00D01D5E">
          <w:pPr>
            <w:pStyle w:val="Zpat"/>
            <w:rPr>
              <w:rFonts w:ascii="Arial" w:hAnsi="Arial" w:cs="Arial"/>
              <w:sz w:val="18"/>
              <w:szCs w:val="18"/>
            </w:rPr>
          </w:pPr>
          <w:r>
            <w:rPr>
              <w:rFonts w:ascii="Arial" w:hAnsi="Arial" w:cs="Arial"/>
              <w:sz w:val="18"/>
              <w:szCs w:val="18"/>
            </w:rPr>
            <w:t>Verze 1.0</w:t>
          </w:r>
        </w:p>
      </w:tc>
      <w:tc>
        <w:tcPr>
          <w:tcW w:w="3119" w:type="dxa"/>
          <w:hideMark/>
        </w:tcPr>
        <w:p w14:paraId="668D5A78" w14:textId="77777777" w:rsidR="00D01D5E" w:rsidRDefault="00D01D5E" w:rsidP="00D01D5E">
          <w:pPr>
            <w:pStyle w:val="Zpat"/>
            <w:rPr>
              <w:rFonts w:ascii="Arial" w:hAnsi="Arial" w:cs="Arial"/>
              <w:sz w:val="18"/>
              <w:szCs w:val="18"/>
            </w:rPr>
          </w:pPr>
          <w:r>
            <w:rPr>
              <w:rFonts w:ascii="Arial" w:hAnsi="Arial" w:cs="Arial"/>
              <w:sz w:val="18"/>
              <w:szCs w:val="18"/>
            </w:rPr>
            <w:t xml:space="preserve">Platnost </w:t>
          </w:r>
          <w:r>
            <w:rPr>
              <w:rFonts w:ascii="Arial" w:hAnsi="Arial" w:cs="Arial"/>
              <w:sz w:val="18"/>
              <w:szCs w:val="18"/>
              <w:highlight w:val="yellow"/>
            </w:rPr>
            <w:t>od x. x. 2022</w:t>
          </w:r>
        </w:p>
      </w:tc>
      <w:tc>
        <w:tcPr>
          <w:tcW w:w="3118" w:type="dxa"/>
          <w:hideMark/>
        </w:tcPr>
        <w:p w14:paraId="57D4ACE5" w14:textId="77777777" w:rsidR="00D01D5E" w:rsidRDefault="00D01D5E" w:rsidP="00D01D5E">
          <w:pPr>
            <w:pStyle w:val="Zpat"/>
            <w:jc w:val="right"/>
            <w:rPr>
              <w:rFonts w:ascii="Arial" w:hAnsi="Arial" w:cs="Arial"/>
              <w:sz w:val="18"/>
              <w:szCs w:val="18"/>
            </w:rPr>
          </w:pPr>
          <w:r>
            <w:rPr>
              <w:rFonts w:ascii="Arial" w:hAnsi="Arial" w:cs="Arial"/>
              <w:sz w:val="18"/>
              <w:szCs w:val="18"/>
            </w:rPr>
            <w:t xml:space="preserve">Stránka </w:t>
          </w:r>
          <w:r>
            <w:rPr>
              <w:rFonts w:ascii="Arial" w:hAnsi="Arial" w:cs="Arial"/>
              <w:sz w:val="18"/>
              <w:szCs w:val="18"/>
            </w:rPr>
            <w:fldChar w:fldCharType="begin"/>
          </w:r>
          <w:r>
            <w:rPr>
              <w:rFonts w:ascii="Arial" w:hAnsi="Arial" w:cs="Arial"/>
              <w:sz w:val="18"/>
              <w:szCs w:val="18"/>
            </w:rPr>
            <w:instrText>PAGE</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r>
            <w:rPr>
              <w:rFonts w:ascii="Arial" w:hAnsi="Arial" w:cs="Arial"/>
              <w:sz w:val="18"/>
              <w:szCs w:val="18"/>
            </w:rPr>
            <w:t xml:space="preserve"> z </w:t>
          </w:r>
          <w:r>
            <w:rPr>
              <w:rFonts w:ascii="Arial" w:hAnsi="Arial" w:cs="Arial"/>
              <w:sz w:val="18"/>
              <w:szCs w:val="18"/>
            </w:rPr>
            <w:fldChar w:fldCharType="begin"/>
          </w:r>
          <w:r>
            <w:rPr>
              <w:rFonts w:ascii="Arial" w:hAnsi="Arial" w:cs="Arial"/>
              <w:sz w:val="18"/>
              <w:szCs w:val="18"/>
            </w:rPr>
            <w:instrText>NUMPAGES</w:instrText>
          </w:r>
          <w:r>
            <w:rPr>
              <w:rFonts w:ascii="Arial" w:hAnsi="Arial" w:cs="Arial"/>
              <w:sz w:val="18"/>
              <w:szCs w:val="18"/>
            </w:rPr>
            <w:fldChar w:fldCharType="separate"/>
          </w:r>
          <w:r>
            <w:rPr>
              <w:rFonts w:ascii="Arial" w:hAnsi="Arial" w:cs="Arial"/>
              <w:sz w:val="18"/>
              <w:szCs w:val="18"/>
            </w:rPr>
            <w:t>20</w:t>
          </w:r>
          <w:r>
            <w:rPr>
              <w:rFonts w:ascii="Arial" w:hAnsi="Arial" w:cs="Arial"/>
              <w:sz w:val="18"/>
              <w:szCs w:val="18"/>
            </w:rPr>
            <w:fldChar w:fldCharType="end"/>
          </w:r>
        </w:p>
      </w:tc>
    </w:tr>
  </w:tbl>
  <w:p w14:paraId="0A6FB130" w14:textId="77777777" w:rsidR="00D01D5E" w:rsidRDefault="00D01D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3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038"/>
      <w:gridCol w:w="4788"/>
    </w:tblGrid>
    <w:tr w:rsidR="00997F0E" w14:paraId="33E17547" w14:textId="77777777" w:rsidTr="004E2DC0">
      <w:trPr>
        <w:trHeight w:val="347"/>
      </w:trPr>
      <w:tc>
        <w:tcPr>
          <w:tcW w:w="6096" w:type="dxa"/>
          <w:hideMark/>
        </w:tcPr>
        <w:p w14:paraId="5CF14A0C" w14:textId="77777777" w:rsidR="00997F0E" w:rsidRDefault="00997F0E" w:rsidP="00997F0E">
          <w:pPr>
            <w:pStyle w:val="Zpat"/>
            <w:rPr>
              <w:rFonts w:ascii="Arial" w:hAnsi="Arial" w:cs="Arial"/>
              <w:sz w:val="18"/>
              <w:szCs w:val="18"/>
            </w:rPr>
          </w:pPr>
          <w:r>
            <w:rPr>
              <w:rFonts w:ascii="Arial" w:hAnsi="Arial" w:cs="Arial"/>
              <w:sz w:val="18"/>
              <w:szCs w:val="18"/>
            </w:rPr>
            <w:t>Verze 1.0</w:t>
          </w:r>
        </w:p>
      </w:tc>
      <w:tc>
        <w:tcPr>
          <w:tcW w:w="3038" w:type="dxa"/>
          <w:hideMark/>
        </w:tcPr>
        <w:p w14:paraId="2FB2A56C" w14:textId="3B898E9F" w:rsidR="00997F0E" w:rsidRPr="00CD5A39" w:rsidRDefault="00997F0E" w:rsidP="00997F0E">
          <w:pPr>
            <w:pStyle w:val="Zpat"/>
            <w:rPr>
              <w:rFonts w:ascii="Arial" w:hAnsi="Arial" w:cs="Arial"/>
              <w:sz w:val="18"/>
              <w:szCs w:val="18"/>
            </w:rPr>
          </w:pPr>
          <w:r w:rsidRPr="00CD5A39">
            <w:rPr>
              <w:rFonts w:ascii="Arial" w:hAnsi="Arial" w:cs="Arial"/>
              <w:sz w:val="18"/>
              <w:szCs w:val="18"/>
            </w:rPr>
            <w:t xml:space="preserve">Platnost od </w:t>
          </w:r>
          <w:r w:rsidR="00CD5A39" w:rsidRPr="00CD5A39">
            <w:rPr>
              <w:rFonts w:ascii="Arial" w:hAnsi="Arial" w:cs="Arial"/>
              <w:sz w:val="18"/>
              <w:szCs w:val="18"/>
            </w:rPr>
            <w:t>21</w:t>
          </w:r>
          <w:r w:rsidRPr="00CD5A39">
            <w:rPr>
              <w:rFonts w:ascii="Arial" w:hAnsi="Arial" w:cs="Arial"/>
              <w:sz w:val="18"/>
              <w:szCs w:val="18"/>
            </w:rPr>
            <w:t xml:space="preserve">. </w:t>
          </w:r>
          <w:r w:rsidR="00CD5A39" w:rsidRPr="00CD5A39">
            <w:rPr>
              <w:rFonts w:ascii="Arial" w:hAnsi="Arial" w:cs="Arial"/>
              <w:sz w:val="18"/>
              <w:szCs w:val="18"/>
            </w:rPr>
            <w:t>9</w:t>
          </w:r>
          <w:r w:rsidRPr="00CD5A39">
            <w:rPr>
              <w:rFonts w:ascii="Arial" w:hAnsi="Arial" w:cs="Arial"/>
              <w:sz w:val="18"/>
              <w:szCs w:val="18"/>
            </w:rPr>
            <w:t>. 2022</w:t>
          </w:r>
        </w:p>
      </w:tc>
      <w:tc>
        <w:tcPr>
          <w:tcW w:w="4788" w:type="dxa"/>
          <w:hideMark/>
        </w:tcPr>
        <w:p w14:paraId="7380EBC2" w14:textId="77777777" w:rsidR="00997F0E" w:rsidRDefault="00997F0E" w:rsidP="00997F0E">
          <w:pPr>
            <w:pStyle w:val="Zpat"/>
            <w:jc w:val="right"/>
            <w:rPr>
              <w:rFonts w:ascii="Arial" w:hAnsi="Arial" w:cs="Arial"/>
              <w:sz w:val="18"/>
              <w:szCs w:val="18"/>
            </w:rPr>
          </w:pPr>
          <w:r>
            <w:rPr>
              <w:rFonts w:ascii="Arial" w:hAnsi="Arial" w:cs="Arial"/>
              <w:sz w:val="18"/>
              <w:szCs w:val="18"/>
            </w:rPr>
            <w:t xml:space="preserve">Stránka </w:t>
          </w:r>
          <w:r>
            <w:rPr>
              <w:rFonts w:ascii="Arial" w:hAnsi="Arial" w:cs="Arial"/>
              <w:sz w:val="18"/>
              <w:szCs w:val="18"/>
            </w:rPr>
            <w:fldChar w:fldCharType="begin"/>
          </w:r>
          <w:r>
            <w:rPr>
              <w:rFonts w:ascii="Arial" w:hAnsi="Arial" w:cs="Arial"/>
              <w:sz w:val="18"/>
              <w:szCs w:val="18"/>
            </w:rPr>
            <w:instrText>PAGE</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r>
            <w:rPr>
              <w:rFonts w:ascii="Arial" w:hAnsi="Arial" w:cs="Arial"/>
              <w:sz w:val="18"/>
              <w:szCs w:val="18"/>
            </w:rPr>
            <w:t xml:space="preserve"> z </w:t>
          </w:r>
          <w:r>
            <w:rPr>
              <w:rFonts w:ascii="Arial" w:hAnsi="Arial" w:cs="Arial"/>
              <w:sz w:val="18"/>
              <w:szCs w:val="18"/>
            </w:rPr>
            <w:fldChar w:fldCharType="begin"/>
          </w:r>
          <w:r>
            <w:rPr>
              <w:rFonts w:ascii="Arial" w:hAnsi="Arial" w:cs="Arial"/>
              <w:sz w:val="18"/>
              <w:szCs w:val="18"/>
            </w:rPr>
            <w:instrText>NUMPAGES</w:instrText>
          </w:r>
          <w:r>
            <w:rPr>
              <w:rFonts w:ascii="Arial" w:hAnsi="Arial" w:cs="Arial"/>
              <w:sz w:val="18"/>
              <w:szCs w:val="18"/>
            </w:rPr>
            <w:fldChar w:fldCharType="separate"/>
          </w:r>
          <w:r>
            <w:rPr>
              <w:rFonts w:ascii="Arial" w:hAnsi="Arial" w:cs="Arial"/>
              <w:sz w:val="18"/>
              <w:szCs w:val="18"/>
            </w:rPr>
            <w:t>20</w:t>
          </w:r>
          <w:r>
            <w:rPr>
              <w:rFonts w:ascii="Arial" w:hAnsi="Arial" w:cs="Arial"/>
              <w:sz w:val="18"/>
              <w:szCs w:val="18"/>
            </w:rPr>
            <w:fldChar w:fldCharType="end"/>
          </w:r>
        </w:p>
      </w:tc>
    </w:tr>
  </w:tbl>
  <w:p w14:paraId="31388BC6" w14:textId="77777777" w:rsidR="00997F0E" w:rsidRDefault="00997F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3C962" w14:textId="77777777" w:rsidR="00ED65B2" w:rsidRDefault="00ED65B2" w:rsidP="00AD5FB6">
      <w:pPr>
        <w:spacing w:after="0" w:line="240" w:lineRule="auto"/>
      </w:pPr>
      <w:r>
        <w:separator/>
      </w:r>
    </w:p>
  </w:footnote>
  <w:footnote w:type="continuationSeparator" w:id="0">
    <w:p w14:paraId="0DC4C05E" w14:textId="77777777" w:rsidR="00ED65B2" w:rsidRDefault="00ED65B2" w:rsidP="00AD5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255D" w14:textId="18B18747" w:rsidR="003C5ABF" w:rsidRDefault="003C5ABF" w:rsidP="003C5ABF">
    <w:r>
      <w:rPr>
        <w:noProof/>
      </w:rPr>
      <w:drawing>
        <wp:inline distT="0" distB="0" distL="0" distR="0" wp14:anchorId="593C196E" wp14:editId="71A87716">
          <wp:extent cx="2453616" cy="733000"/>
          <wp:effectExtent l="0" t="0" r="444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0415" cy="738018"/>
                  </a:xfrm>
                  <a:prstGeom prst="rect">
                    <a:avLst/>
                  </a:prstGeom>
                  <a:noFill/>
                  <a:ln>
                    <a:noFill/>
                  </a:ln>
                </pic:spPr>
              </pic:pic>
            </a:graphicData>
          </a:graphic>
        </wp:inline>
      </w:drawing>
    </w:r>
    <w:r>
      <w:rPr>
        <w:noProof/>
      </w:rPr>
      <w:drawing>
        <wp:inline distT="0" distB="0" distL="0" distR="0" wp14:anchorId="66ED76EF" wp14:editId="3EF8970D">
          <wp:extent cx="1456704" cy="653714"/>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4442" cy="688600"/>
                  </a:xfrm>
                  <a:prstGeom prst="rect">
                    <a:avLst/>
                  </a:prstGeom>
                  <a:noFill/>
                  <a:ln>
                    <a:noFill/>
                  </a:ln>
                </pic:spPr>
              </pic:pic>
            </a:graphicData>
          </a:graphic>
        </wp:inline>
      </w:drawing>
    </w:r>
    <w:r>
      <w:rPr>
        <w:noProof/>
      </w:rPr>
      <w:drawing>
        <wp:inline distT="0" distB="0" distL="0" distR="0" wp14:anchorId="61C79A99" wp14:editId="4182C75C">
          <wp:extent cx="1610556" cy="755238"/>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3" cstate="print">
                    <a:extLst>
                      <a:ext uri="{28A0092B-C50C-407E-A947-70E740481C1C}">
                        <a14:useLocalDpi xmlns:a14="http://schemas.microsoft.com/office/drawing/2010/main" val="0"/>
                      </a:ext>
                    </a:extLst>
                  </a:blip>
                  <a:srcRect t="11530" b="10867"/>
                  <a:stretch/>
                </pic:blipFill>
                <pic:spPr bwMode="auto">
                  <a:xfrm>
                    <a:off x="0" y="0"/>
                    <a:ext cx="1752956" cy="82201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045" w:type="dxa"/>
      <w:tblLayout w:type="fixed"/>
      <w:tblLook w:val="01E0" w:firstRow="1" w:lastRow="1" w:firstColumn="1" w:lastColumn="1" w:noHBand="0" w:noVBand="0"/>
    </w:tblPr>
    <w:tblGrid>
      <w:gridCol w:w="9671"/>
      <w:gridCol w:w="2687"/>
      <w:gridCol w:w="2687"/>
    </w:tblGrid>
    <w:tr w:rsidR="00BE0289" w14:paraId="2A7D22FB" w14:textId="77777777" w:rsidTr="00C22A21">
      <w:trPr>
        <w:trHeight w:hRule="exact" w:val="1276"/>
      </w:trPr>
      <w:tc>
        <w:tcPr>
          <w:tcW w:w="7128" w:type="dxa"/>
          <w:hideMark/>
        </w:tcPr>
        <w:tbl>
          <w:tblPr>
            <w:tblW w:w="15045" w:type="dxa"/>
            <w:tblLayout w:type="fixed"/>
            <w:tblLook w:val="01E0" w:firstRow="1" w:lastRow="1" w:firstColumn="1" w:lastColumn="1" w:noHBand="0" w:noVBand="0"/>
          </w:tblPr>
          <w:tblGrid>
            <w:gridCol w:w="15045"/>
          </w:tblGrid>
          <w:tr w:rsidR="000A0387" w14:paraId="2352C046" w14:textId="77777777" w:rsidTr="000A0387">
            <w:trPr>
              <w:trHeight w:val="1276"/>
            </w:trPr>
            <w:tc>
              <w:tcPr>
                <w:tcW w:w="9671" w:type="dxa"/>
                <w:hideMark/>
              </w:tcPr>
              <w:p w14:paraId="696002A7" w14:textId="763F71B1" w:rsidR="000A0387" w:rsidRDefault="000A0387" w:rsidP="000A0387">
                <w:pPr>
                  <w:pStyle w:val="Zhlav"/>
                  <w:tabs>
                    <w:tab w:val="clear" w:pos="4536"/>
                  </w:tabs>
                  <w:snapToGrid w:val="0"/>
                  <w:spacing w:after="840" w:line="276" w:lineRule="auto"/>
                  <w:rPr>
                    <w:sz w:val="18"/>
                    <w:szCs w:val="18"/>
                  </w:rPr>
                </w:pPr>
                <w:r>
                  <w:rPr>
                    <w:noProof/>
                  </w:rPr>
                  <w:drawing>
                    <wp:anchor distT="0" distB="0" distL="114300" distR="114300" simplePos="0" relativeHeight="251659264" behindDoc="0" locked="0" layoutInCell="1" allowOverlap="1" wp14:anchorId="5E0D3D65" wp14:editId="4E196FA2">
                      <wp:simplePos x="0" y="0"/>
                      <wp:positionH relativeFrom="column">
                        <wp:posOffset>4508500</wp:posOffset>
                      </wp:positionH>
                      <wp:positionV relativeFrom="paragraph">
                        <wp:posOffset>158750</wp:posOffset>
                      </wp:positionV>
                      <wp:extent cx="1088390" cy="45847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458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CF9466D" wp14:editId="47A8D629">
                      <wp:extent cx="2352675" cy="70485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704850"/>
                              </a:xfrm>
                              <a:prstGeom prst="rect">
                                <a:avLst/>
                              </a:prstGeom>
                              <a:noFill/>
                              <a:ln>
                                <a:noFill/>
                              </a:ln>
                            </pic:spPr>
                          </pic:pic>
                        </a:graphicData>
                      </a:graphic>
                    </wp:inline>
                  </w:drawing>
                </w:r>
                <w:r>
                  <w:rPr>
                    <w:noProof/>
                  </w:rPr>
                  <w:t xml:space="preserve">   </w:t>
                </w:r>
                <w:r>
                  <w:rPr>
                    <w:noProof/>
                  </w:rPr>
                  <w:drawing>
                    <wp:inline distT="0" distB="0" distL="0" distR="0" wp14:anchorId="420F8B4E" wp14:editId="6AD4ECA8">
                      <wp:extent cx="1476375" cy="657225"/>
                      <wp:effectExtent l="0" t="0" r="9525"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6375" cy="657225"/>
                              </a:xfrm>
                              <a:prstGeom prst="rect">
                                <a:avLst/>
                              </a:prstGeom>
                              <a:noFill/>
                              <a:ln>
                                <a:noFill/>
                              </a:ln>
                            </pic:spPr>
                          </pic:pic>
                        </a:graphicData>
                      </a:graphic>
                    </wp:inline>
                  </w:drawing>
                </w:r>
              </w:p>
            </w:tc>
          </w:tr>
        </w:tbl>
        <w:p w14:paraId="7BBC6607" w14:textId="44E69C76" w:rsidR="00BE0289" w:rsidRDefault="00BE0289" w:rsidP="00BE0289">
          <w:pPr>
            <w:pStyle w:val="Zhlav"/>
            <w:tabs>
              <w:tab w:val="clear" w:pos="4536"/>
            </w:tabs>
            <w:snapToGrid w:val="0"/>
            <w:spacing w:after="840" w:line="276" w:lineRule="auto"/>
            <w:rPr>
              <w:sz w:val="18"/>
              <w:szCs w:val="18"/>
            </w:rPr>
          </w:pPr>
          <w:r>
            <w:rPr>
              <w:noProof/>
            </w:rPr>
            <w:t xml:space="preserve">   </w:t>
          </w:r>
        </w:p>
      </w:tc>
      <w:tc>
        <w:tcPr>
          <w:tcW w:w="1980" w:type="dxa"/>
        </w:tcPr>
        <w:p w14:paraId="05A30552" w14:textId="3593E9DA" w:rsidR="00BE0289" w:rsidRDefault="00BE0289" w:rsidP="00BE0289">
          <w:pPr>
            <w:pStyle w:val="Zhlav"/>
            <w:tabs>
              <w:tab w:val="clear" w:pos="4536"/>
            </w:tabs>
            <w:snapToGrid w:val="0"/>
            <w:spacing w:after="840" w:line="276" w:lineRule="auto"/>
            <w:jc w:val="center"/>
          </w:pPr>
        </w:p>
      </w:tc>
      <w:tc>
        <w:tcPr>
          <w:tcW w:w="1980" w:type="dxa"/>
        </w:tcPr>
        <w:p w14:paraId="5A0FC81F" w14:textId="710F626A" w:rsidR="00BE0289" w:rsidRDefault="00BE0289" w:rsidP="00BE0289">
          <w:pPr>
            <w:pStyle w:val="Zhlav"/>
            <w:tabs>
              <w:tab w:val="clear" w:pos="4536"/>
            </w:tabs>
            <w:snapToGrid w:val="0"/>
            <w:spacing w:after="840" w:line="276" w:lineRule="auto"/>
            <w:jc w:val="center"/>
          </w:pPr>
        </w:p>
      </w:tc>
    </w:tr>
  </w:tbl>
  <w:p w14:paraId="0F281062" w14:textId="5E18E2A9" w:rsidR="00960E27" w:rsidRDefault="00960E2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A6766"/>
    <w:multiLevelType w:val="hybridMultilevel"/>
    <w:tmpl w:val="0ACEC2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EAF4AD8"/>
    <w:multiLevelType w:val="hybridMultilevel"/>
    <w:tmpl w:val="137E13E0"/>
    <w:lvl w:ilvl="0" w:tplc="B5228194">
      <w:start w:val="1"/>
      <w:numFmt w:val="bullet"/>
      <w:lvlText w:val=""/>
      <w:lvlJc w:val="left"/>
      <w:pPr>
        <w:ind w:left="720" w:hanging="360"/>
      </w:pPr>
      <w:rPr>
        <w:rFonts w:ascii="Symbol" w:hAnsi="Symbol" w:hint="default"/>
      </w:rPr>
    </w:lvl>
    <w:lvl w:ilvl="1" w:tplc="70A002AA">
      <w:start w:val="1"/>
      <w:numFmt w:val="bullet"/>
      <w:lvlText w:val="o"/>
      <w:lvlJc w:val="left"/>
      <w:pPr>
        <w:ind w:left="1440" w:hanging="360"/>
      </w:pPr>
      <w:rPr>
        <w:rFonts w:ascii="Courier New" w:hAnsi="Courier New" w:hint="default"/>
      </w:rPr>
    </w:lvl>
    <w:lvl w:ilvl="2" w:tplc="9FD8B478">
      <w:start w:val="1"/>
      <w:numFmt w:val="bullet"/>
      <w:lvlText w:val=""/>
      <w:lvlJc w:val="left"/>
      <w:pPr>
        <w:ind w:left="2160" w:hanging="360"/>
      </w:pPr>
      <w:rPr>
        <w:rFonts w:ascii="Wingdings" w:hAnsi="Wingdings" w:hint="default"/>
      </w:rPr>
    </w:lvl>
    <w:lvl w:ilvl="3" w:tplc="0A54B94E">
      <w:start w:val="1"/>
      <w:numFmt w:val="bullet"/>
      <w:lvlText w:val=""/>
      <w:lvlJc w:val="left"/>
      <w:pPr>
        <w:ind w:left="2880" w:hanging="360"/>
      </w:pPr>
      <w:rPr>
        <w:rFonts w:ascii="Symbol" w:hAnsi="Symbol" w:hint="default"/>
      </w:rPr>
    </w:lvl>
    <w:lvl w:ilvl="4" w:tplc="58B45516">
      <w:start w:val="1"/>
      <w:numFmt w:val="bullet"/>
      <w:lvlText w:val="o"/>
      <w:lvlJc w:val="left"/>
      <w:pPr>
        <w:ind w:left="3600" w:hanging="360"/>
      </w:pPr>
      <w:rPr>
        <w:rFonts w:ascii="Courier New" w:hAnsi="Courier New" w:hint="default"/>
      </w:rPr>
    </w:lvl>
    <w:lvl w:ilvl="5" w:tplc="C944BAE0">
      <w:start w:val="1"/>
      <w:numFmt w:val="bullet"/>
      <w:lvlText w:val=""/>
      <w:lvlJc w:val="left"/>
      <w:pPr>
        <w:ind w:left="4320" w:hanging="360"/>
      </w:pPr>
      <w:rPr>
        <w:rFonts w:ascii="Wingdings" w:hAnsi="Wingdings" w:hint="default"/>
      </w:rPr>
    </w:lvl>
    <w:lvl w:ilvl="6" w:tplc="A784170A">
      <w:start w:val="1"/>
      <w:numFmt w:val="bullet"/>
      <w:lvlText w:val=""/>
      <w:lvlJc w:val="left"/>
      <w:pPr>
        <w:ind w:left="5040" w:hanging="360"/>
      </w:pPr>
      <w:rPr>
        <w:rFonts w:ascii="Symbol" w:hAnsi="Symbol" w:hint="default"/>
      </w:rPr>
    </w:lvl>
    <w:lvl w:ilvl="7" w:tplc="443E82A6">
      <w:start w:val="1"/>
      <w:numFmt w:val="bullet"/>
      <w:lvlText w:val="o"/>
      <w:lvlJc w:val="left"/>
      <w:pPr>
        <w:ind w:left="5760" w:hanging="360"/>
      </w:pPr>
      <w:rPr>
        <w:rFonts w:ascii="Courier New" w:hAnsi="Courier New" w:hint="default"/>
      </w:rPr>
    </w:lvl>
    <w:lvl w:ilvl="8" w:tplc="80024802">
      <w:start w:val="1"/>
      <w:numFmt w:val="bullet"/>
      <w:lvlText w:val=""/>
      <w:lvlJc w:val="left"/>
      <w:pPr>
        <w:ind w:left="6480" w:hanging="360"/>
      </w:pPr>
      <w:rPr>
        <w:rFonts w:ascii="Wingdings" w:hAnsi="Wingdings" w:hint="default"/>
      </w:rPr>
    </w:lvl>
  </w:abstractNum>
  <w:abstractNum w:abstractNumId="2" w15:restartNumberingAfterBreak="0">
    <w:nsid w:val="68277A3F"/>
    <w:multiLevelType w:val="hybridMultilevel"/>
    <w:tmpl w:val="0ACEC2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4616D8"/>
    <w:multiLevelType w:val="hybridMultilevel"/>
    <w:tmpl w:val="F1B08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B6"/>
    <w:rsid w:val="00001EF8"/>
    <w:rsid w:val="0004090A"/>
    <w:rsid w:val="00061F92"/>
    <w:rsid w:val="00066C17"/>
    <w:rsid w:val="000A0387"/>
    <w:rsid w:val="000B483E"/>
    <w:rsid w:val="000E684B"/>
    <w:rsid w:val="00105A23"/>
    <w:rsid w:val="001124A1"/>
    <w:rsid w:val="00115E22"/>
    <w:rsid w:val="00165A4F"/>
    <w:rsid w:val="001B2967"/>
    <w:rsid w:val="00207F29"/>
    <w:rsid w:val="0022357E"/>
    <w:rsid w:val="00301B04"/>
    <w:rsid w:val="003054CE"/>
    <w:rsid w:val="00310E3B"/>
    <w:rsid w:val="00332E60"/>
    <w:rsid w:val="003A4E8D"/>
    <w:rsid w:val="003C5ABF"/>
    <w:rsid w:val="003F0400"/>
    <w:rsid w:val="003F29A2"/>
    <w:rsid w:val="004C25B6"/>
    <w:rsid w:val="004E2DC0"/>
    <w:rsid w:val="00516C1F"/>
    <w:rsid w:val="00602D6B"/>
    <w:rsid w:val="00621BD1"/>
    <w:rsid w:val="006C19B1"/>
    <w:rsid w:val="006C6BC1"/>
    <w:rsid w:val="006C6C9D"/>
    <w:rsid w:val="006E1F3C"/>
    <w:rsid w:val="00775BAC"/>
    <w:rsid w:val="00787BF5"/>
    <w:rsid w:val="00796CD0"/>
    <w:rsid w:val="007A513A"/>
    <w:rsid w:val="007E58BA"/>
    <w:rsid w:val="00801697"/>
    <w:rsid w:val="00844FAB"/>
    <w:rsid w:val="00894762"/>
    <w:rsid w:val="008B4148"/>
    <w:rsid w:val="0093217F"/>
    <w:rsid w:val="00952C30"/>
    <w:rsid w:val="00957D44"/>
    <w:rsid w:val="00960E27"/>
    <w:rsid w:val="00997F0E"/>
    <w:rsid w:val="009D12E1"/>
    <w:rsid w:val="009D2CCA"/>
    <w:rsid w:val="009F502B"/>
    <w:rsid w:val="00A12FF5"/>
    <w:rsid w:val="00A4690D"/>
    <w:rsid w:val="00AD5FB6"/>
    <w:rsid w:val="00AF6762"/>
    <w:rsid w:val="00B03DC6"/>
    <w:rsid w:val="00B27809"/>
    <w:rsid w:val="00B3464D"/>
    <w:rsid w:val="00BE0289"/>
    <w:rsid w:val="00C255D9"/>
    <w:rsid w:val="00C60711"/>
    <w:rsid w:val="00CD5A39"/>
    <w:rsid w:val="00D01D5E"/>
    <w:rsid w:val="00D16B41"/>
    <w:rsid w:val="00D44A30"/>
    <w:rsid w:val="00D77560"/>
    <w:rsid w:val="00DA63D9"/>
    <w:rsid w:val="00DC3F81"/>
    <w:rsid w:val="00DF4929"/>
    <w:rsid w:val="00E67C2B"/>
    <w:rsid w:val="00E76845"/>
    <w:rsid w:val="00E8383F"/>
    <w:rsid w:val="00EC4400"/>
    <w:rsid w:val="00ED488A"/>
    <w:rsid w:val="00ED49C4"/>
    <w:rsid w:val="00ED65B2"/>
    <w:rsid w:val="00EE0BAC"/>
    <w:rsid w:val="00EF01B5"/>
    <w:rsid w:val="00F3567F"/>
    <w:rsid w:val="00F568E3"/>
    <w:rsid w:val="00FB4A43"/>
    <w:rsid w:val="00FE2A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14D0F"/>
  <w15:chartTrackingRefBased/>
  <w15:docId w15:val="{17A1FE18-49E2-4A4A-A14C-C91D18C3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D5FB6"/>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rsid w:val="00AD5FB6"/>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Odstavecseseznamem">
    <w:name w:val="List Paragraph"/>
    <w:aliases w:val="Nad,List Paragraph,Odstavec_muj,Odstavec cíl se seznamem,Odstavec se seznamem5,Odrážky,Obrázek,_Odstavec se seznamem,Seznam - odrážky,Odstavec_muj1,Odstavec_muj2,Odstavec_muj3,Nad1,List Paragraph1,Odstavec_muj4,Nad2,List Paragraph2"/>
    <w:basedOn w:val="Normln"/>
    <w:link w:val="OdstavecseseznamemChar"/>
    <w:uiPriority w:val="34"/>
    <w:qFormat/>
    <w:rsid w:val="00AD5FB6"/>
    <w:pPr>
      <w:ind w:left="720"/>
      <w:contextualSpacing/>
    </w:pPr>
    <w:rPr>
      <w:rFonts w:eastAsiaTheme="minorEastAsia"/>
      <w:lang w:eastAsia="cs-CZ"/>
    </w:rPr>
  </w:style>
  <w:style w:type="paragraph" w:styleId="Textpoznpodarou">
    <w:name w:val="footnote text"/>
    <w:basedOn w:val="Normln"/>
    <w:link w:val="TextpoznpodarouChar"/>
    <w:uiPriority w:val="99"/>
    <w:semiHidden/>
    <w:unhideWhenUsed/>
    <w:rsid w:val="00AD5FB6"/>
    <w:pPr>
      <w:spacing w:after="0" w:line="240" w:lineRule="auto"/>
    </w:pPr>
    <w:rPr>
      <w:rFonts w:eastAsiaTheme="minorEastAsia"/>
      <w:sz w:val="20"/>
      <w:szCs w:val="20"/>
      <w:lang w:eastAsia="cs-CZ"/>
    </w:rPr>
  </w:style>
  <w:style w:type="character" w:customStyle="1" w:styleId="TextpoznpodarouChar">
    <w:name w:val="Text pozn. pod čarou Char"/>
    <w:basedOn w:val="Standardnpsmoodstavce"/>
    <w:link w:val="Textpoznpodarou"/>
    <w:uiPriority w:val="99"/>
    <w:semiHidden/>
    <w:rsid w:val="00AD5FB6"/>
    <w:rPr>
      <w:rFonts w:eastAsiaTheme="minorEastAsia"/>
      <w:sz w:val="20"/>
      <w:szCs w:val="20"/>
      <w:lang w:eastAsia="cs-CZ"/>
    </w:rPr>
  </w:style>
  <w:style w:type="character" w:styleId="Znakapoznpodarou">
    <w:name w:val="footnote reference"/>
    <w:basedOn w:val="Standardnpsmoodstavce"/>
    <w:uiPriority w:val="99"/>
    <w:semiHidden/>
    <w:unhideWhenUsed/>
    <w:rsid w:val="00AD5FB6"/>
    <w:rPr>
      <w:vertAlign w:val="superscript"/>
    </w:rPr>
  </w:style>
  <w:style w:type="character" w:customStyle="1" w:styleId="OdstavecseseznamemChar">
    <w:name w:val="Odstavec se seznamem Char"/>
    <w:aliases w:val="Nad Char,List Paragraph Char,Odstavec_muj Char,Odstavec cíl se seznamem Char,Odstavec se seznamem5 Char,Odrážky Char,Obrázek Char,_Odstavec se seznamem Char,Seznam - odrážky Char,Odstavec_muj1 Char,Odstavec_muj2 Char,Nad1 Char"/>
    <w:link w:val="Odstavecseseznamem"/>
    <w:uiPriority w:val="34"/>
    <w:qFormat/>
    <w:locked/>
    <w:rsid w:val="00AD5FB6"/>
    <w:rPr>
      <w:rFonts w:eastAsiaTheme="minorEastAsia"/>
      <w:lang w:eastAsia="cs-CZ"/>
    </w:rPr>
  </w:style>
  <w:style w:type="paragraph" w:customStyle="1" w:styleId="CM4">
    <w:name w:val="CM4"/>
    <w:basedOn w:val="Normln"/>
    <w:next w:val="Normln"/>
    <w:uiPriority w:val="99"/>
    <w:rsid w:val="00AD5FB6"/>
    <w:pPr>
      <w:autoSpaceDE w:val="0"/>
      <w:autoSpaceDN w:val="0"/>
      <w:adjustRightInd w:val="0"/>
      <w:spacing w:after="0" w:line="240" w:lineRule="auto"/>
    </w:pPr>
    <w:rPr>
      <w:rFonts w:ascii="EUAlbertina" w:hAnsi="EUAlbertina"/>
      <w:sz w:val="24"/>
      <w:szCs w:val="24"/>
    </w:rPr>
  </w:style>
  <w:style w:type="paragraph" w:customStyle="1" w:styleId="Default">
    <w:name w:val="Default"/>
    <w:rsid w:val="00AD5FB6"/>
    <w:pPr>
      <w:autoSpaceDE w:val="0"/>
      <w:autoSpaceDN w:val="0"/>
      <w:adjustRightInd w:val="0"/>
      <w:spacing w:after="0" w:line="240" w:lineRule="auto"/>
    </w:pPr>
    <w:rPr>
      <w:rFonts w:ascii="EUAlbertina" w:hAnsi="EUAlbertina" w:cs="EUAlbertina"/>
      <w:color w:val="000000"/>
      <w:sz w:val="24"/>
      <w:szCs w:val="24"/>
    </w:rPr>
  </w:style>
  <w:style w:type="paragraph" w:styleId="Zhlav">
    <w:name w:val="header"/>
    <w:basedOn w:val="Normln"/>
    <w:link w:val="ZhlavChar"/>
    <w:uiPriority w:val="99"/>
    <w:unhideWhenUsed/>
    <w:rsid w:val="00AD5F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5FB6"/>
  </w:style>
  <w:style w:type="paragraph" w:styleId="Zpat">
    <w:name w:val="footer"/>
    <w:basedOn w:val="Normln"/>
    <w:link w:val="ZpatChar"/>
    <w:uiPriority w:val="99"/>
    <w:unhideWhenUsed/>
    <w:qFormat/>
    <w:rsid w:val="00AD5FB6"/>
    <w:pPr>
      <w:tabs>
        <w:tab w:val="center" w:pos="4536"/>
        <w:tab w:val="right" w:pos="9072"/>
      </w:tabs>
      <w:spacing w:after="0" w:line="240" w:lineRule="auto"/>
    </w:pPr>
  </w:style>
  <w:style w:type="character" w:customStyle="1" w:styleId="ZpatChar">
    <w:name w:val="Zápatí Char"/>
    <w:basedOn w:val="Standardnpsmoodstavce"/>
    <w:link w:val="Zpat"/>
    <w:uiPriority w:val="99"/>
    <w:rsid w:val="00AD5FB6"/>
  </w:style>
  <w:style w:type="paragraph" w:styleId="Textbubliny">
    <w:name w:val="Balloon Text"/>
    <w:basedOn w:val="Normln"/>
    <w:link w:val="TextbublinyChar"/>
    <w:uiPriority w:val="99"/>
    <w:semiHidden/>
    <w:unhideWhenUsed/>
    <w:rsid w:val="00AD5F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5FB6"/>
    <w:rPr>
      <w:rFonts w:ascii="Segoe UI" w:hAnsi="Segoe UI" w:cs="Segoe UI"/>
      <w:sz w:val="18"/>
      <w:szCs w:val="18"/>
    </w:rPr>
  </w:style>
  <w:style w:type="character" w:styleId="Odkaznakoment">
    <w:name w:val="annotation reference"/>
    <w:basedOn w:val="Standardnpsmoodstavce"/>
    <w:uiPriority w:val="99"/>
    <w:semiHidden/>
    <w:unhideWhenUsed/>
    <w:rsid w:val="003F0400"/>
    <w:rPr>
      <w:sz w:val="16"/>
      <w:szCs w:val="16"/>
    </w:rPr>
  </w:style>
  <w:style w:type="paragraph" w:styleId="Textkomente">
    <w:name w:val="annotation text"/>
    <w:basedOn w:val="Normln"/>
    <w:link w:val="TextkomenteChar"/>
    <w:uiPriority w:val="99"/>
    <w:semiHidden/>
    <w:unhideWhenUsed/>
    <w:rsid w:val="003F0400"/>
    <w:pPr>
      <w:spacing w:line="240" w:lineRule="auto"/>
    </w:pPr>
    <w:rPr>
      <w:sz w:val="20"/>
      <w:szCs w:val="20"/>
    </w:rPr>
  </w:style>
  <w:style w:type="character" w:customStyle="1" w:styleId="TextkomenteChar">
    <w:name w:val="Text komentáře Char"/>
    <w:basedOn w:val="Standardnpsmoodstavce"/>
    <w:link w:val="Textkomente"/>
    <w:uiPriority w:val="99"/>
    <w:semiHidden/>
    <w:rsid w:val="003F0400"/>
    <w:rPr>
      <w:sz w:val="20"/>
      <w:szCs w:val="20"/>
    </w:rPr>
  </w:style>
  <w:style w:type="paragraph" w:styleId="Pedmtkomente">
    <w:name w:val="annotation subject"/>
    <w:basedOn w:val="Textkomente"/>
    <w:next w:val="Textkomente"/>
    <w:link w:val="PedmtkomenteChar"/>
    <w:uiPriority w:val="99"/>
    <w:semiHidden/>
    <w:unhideWhenUsed/>
    <w:rsid w:val="003F0400"/>
    <w:rPr>
      <w:b/>
      <w:bCs/>
    </w:rPr>
  </w:style>
  <w:style w:type="character" w:customStyle="1" w:styleId="PedmtkomenteChar">
    <w:name w:val="Předmět komentáře Char"/>
    <w:basedOn w:val="TextkomenteChar"/>
    <w:link w:val="Pedmtkomente"/>
    <w:uiPriority w:val="99"/>
    <w:semiHidden/>
    <w:rsid w:val="003F0400"/>
    <w:rPr>
      <w:b/>
      <w:bCs/>
      <w:sz w:val="20"/>
      <w:szCs w:val="20"/>
    </w:rPr>
  </w:style>
  <w:style w:type="paragraph" w:styleId="Zkladntext">
    <w:name w:val="Body Text"/>
    <w:basedOn w:val="Normln"/>
    <w:link w:val="ZkladntextChar"/>
    <w:uiPriority w:val="1"/>
    <w:qFormat/>
    <w:rsid w:val="00FB4A43"/>
    <w:pPr>
      <w:widowControl w:val="0"/>
      <w:autoSpaceDE w:val="0"/>
      <w:autoSpaceDN w:val="0"/>
      <w:spacing w:after="0" w:line="240" w:lineRule="auto"/>
    </w:pPr>
    <w:rPr>
      <w:rFonts w:ascii="Cambria" w:eastAsia="Cambria" w:hAnsi="Cambria" w:cs="Cambria"/>
      <w:sz w:val="24"/>
      <w:szCs w:val="24"/>
      <w:lang w:eastAsia="cs-CZ" w:bidi="cs-CZ"/>
    </w:rPr>
  </w:style>
  <w:style w:type="character" w:customStyle="1" w:styleId="ZkladntextChar">
    <w:name w:val="Základní text Char"/>
    <w:basedOn w:val="Standardnpsmoodstavce"/>
    <w:link w:val="Zkladntext"/>
    <w:uiPriority w:val="1"/>
    <w:rsid w:val="00FB4A43"/>
    <w:rPr>
      <w:rFonts w:ascii="Cambria" w:eastAsia="Cambria" w:hAnsi="Cambria" w:cs="Cambria"/>
      <w:sz w:val="24"/>
      <w:szCs w:val="24"/>
      <w:lang w:eastAsia="cs-CZ" w:bidi="cs-CZ"/>
    </w:rPr>
  </w:style>
  <w:style w:type="table" w:styleId="Mkatabulky">
    <w:name w:val="Table Grid"/>
    <w:basedOn w:val="Normlntabulka"/>
    <w:uiPriority w:val="39"/>
    <w:qFormat/>
    <w:rsid w:val="00957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775BAC"/>
    <w:pPr>
      <w:spacing w:after="0" w:line="240" w:lineRule="auto"/>
      <w:ind w:left="10" w:hanging="10"/>
    </w:pPr>
    <w:rPr>
      <w:rFonts w:ascii="Calibri" w:eastAsia="Calibri" w:hAnsi="Calibri" w:cs="Calibri"/>
      <w:color w:val="000000"/>
      <w:sz w:val="19"/>
      <w:lang w:eastAsia="cs-CZ"/>
    </w:rPr>
  </w:style>
  <w:style w:type="paragraph" w:styleId="Nzev">
    <w:name w:val="Title"/>
    <w:basedOn w:val="Normln"/>
    <w:next w:val="Normln"/>
    <w:link w:val="NzevChar"/>
    <w:uiPriority w:val="10"/>
    <w:qFormat/>
    <w:rsid w:val="00D01D5E"/>
    <w:pPr>
      <w:spacing w:after="0" w:line="240" w:lineRule="auto"/>
      <w:ind w:left="170"/>
      <w:contextualSpacing/>
      <w:jc w:val="both"/>
    </w:pPr>
    <w:rPr>
      <w:rFonts w:asciiTheme="majorHAnsi" w:eastAsiaTheme="majorEastAsia" w:hAnsiTheme="majorHAnsi" w:cstheme="majorBidi"/>
      <w:color w:val="000000"/>
      <w:spacing w:val="-10"/>
      <w:kern w:val="28"/>
      <w:sz w:val="56"/>
      <w:szCs w:val="56"/>
      <w:lang w:eastAsia="cs-CZ"/>
    </w:rPr>
  </w:style>
  <w:style w:type="character" w:customStyle="1" w:styleId="NzevChar">
    <w:name w:val="Název Char"/>
    <w:basedOn w:val="Standardnpsmoodstavce"/>
    <w:link w:val="Nzev"/>
    <w:uiPriority w:val="10"/>
    <w:rsid w:val="00D01D5E"/>
    <w:rPr>
      <w:rFonts w:asciiTheme="majorHAnsi" w:eastAsiaTheme="majorEastAsia" w:hAnsiTheme="majorHAnsi" w:cstheme="majorBidi"/>
      <w:color w:val="000000"/>
      <w:spacing w:val="-10"/>
      <w:kern w:val="28"/>
      <w:sz w:val="56"/>
      <w:szCs w:val="56"/>
      <w:lang w:eastAsia="cs-CZ"/>
    </w:rPr>
  </w:style>
  <w:style w:type="character" w:styleId="Hypertextovodkaz">
    <w:name w:val="Hyperlink"/>
    <w:basedOn w:val="Standardnpsmoodstavce"/>
    <w:uiPriority w:val="99"/>
    <w:unhideWhenUsed/>
    <w:rsid w:val="00066C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7281">
      <w:bodyDiv w:val="1"/>
      <w:marLeft w:val="0"/>
      <w:marRight w:val="0"/>
      <w:marTop w:val="0"/>
      <w:marBottom w:val="0"/>
      <w:divBdr>
        <w:top w:val="none" w:sz="0" w:space="0" w:color="auto"/>
        <w:left w:val="none" w:sz="0" w:space="0" w:color="auto"/>
        <w:bottom w:val="none" w:sz="0" w:space="0" w:color="auto"/>
        <w:right w:val="none" w:sz="0" w:space="0" w:color="auto"/>
      </w:divBdr>
    </w:div>
    <w:div w:id="131100285">
      <w:bodyDiv w:val="1"/>
      <w:marLeft w:val="0"/>
      <w:marRight w:val="0"/>
      <w:marTop w:val="0"/>
      <w:marBottom w:val="0"/>
      <w:divBdr>
        <w:top w:val="none" w:sz="0" w:space="0" w:color="auto"/>
        <w:left w:val="none" w:sz="0" w:space="0" w:color="auto"/>
        <w:bottom w:val="none" w:sz="0" w:space="0" w:color="auto"/>
        <w:right w:val="none" w:sz="0" w:space="0" w:color="auto"/>
      </w:divBdr>
    </w:div>
    <w:div w:id="727067475">
      <w:bodyDiv w:val="1"/>
      <w:marLeft w:val="0"/>
      <w:marRight w:val="0"/>
      <w:marTop w:val="0"/>
      <w:marBottom w:val="0"/>
      <w:divBdr>
        <w:top w:val="none" w:sz="0" w:space="0" w:color="auto"/>
        <w:left w:val="none" w:sz="0" w:space="0" w:color="auto"/>
        <w:bottom w:val="none" w:sz="0" w:space="0" w:color="auto"/>
        <w:right w:val="none" w:sz="0" w:space="0" w:color="auto"/>
      </w:divBdr>
    </w:div>
    <w:div w:id="1208373463">
      <w:bodyDiv w:val="1"/>
      <w:marLeft w:val="0"/>
      <w:marRight w:val="0"/>
      <w:marTop w:val="0"/>
      <w:marBottom w:val="0"/>
      <w:divBdr>
        <w:top w:val="none" w:sz="0" w:space="0" w:color="auto"/>
        <w:left w:val="none" w:sz="0" w:space="0" w:color="auto"/>
        <w:bottom w:val="none" w:sz="0" w:space="0" w:color="auto"/>
        <w:right w:val="none" w:sz="0" w:space="0" w:color="auto"/>
      </w:divBdr>
    </w:div>
    <w:div w:id="1875993184">
      <w:bodyDiv w:val="1"/>
      <w:marLeft w:val="0"/>
      <w:marRight w:val="0"/>
      <w:marTop w:val="0"/>
      <w:marBottom w:val="0"/>
      <w:divBdr>
        <w:top w:val="none" w:sz="0" w:space="0" w:color="auto"/>
        <w:left w:val="none" w:sz="0" w:space="0" w:color="auto"/>
        <w:bottom w:val="none" w:sz="0" w:space="0" w:color="auto"/>
        <w:right w:val="none" w:sz="0" w:space="0" w:color="auto"/>
      </w:divBdr>
    </w:div>
    <w:div w:id="195208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0A847-C6F7-46E9-B4F2-858E7DED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3</Pages>
  <Words>424</Words>
  <Characters>2508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Gavlasová Kateřina Mgr. (MPSV)</dc:creator>
  <cp:keywords/>
  <dc:description/>
  <cp:lastModifiedBy>Neudörflerová Jarmila, Ing.</cp:lastModifiedBy>
  <cp:revision>37</cp:revision>
  <cp:lastPrinted>2023-09-21T12:12:00Z</cp:lastPrinted>
  <dcterms:created xsi:type="dcterms:W3CDTF">2022-08-04T14:08:00Z</dcterms:created>
  <dcterms:modified xsi:type="dcterms:W3CDTF">2023-09-21T12:12:00Z</dcterms:modified>
</cp:coreProperties>
</file>