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EE54" w14:textId="4C143AF3" w:rsidR="00D20EDA" w:rsidRDefault="00200C74">
      <w:pPr>
        <w:rPr>
          <w:b/>
          <w:bCs/>
          <w:sz w:val="28"/>
          <w:szCs w:val="28"/>
        </w:rPr>
      </w:pPr>
      <w:r w:rsidRPr="00C62957">
        <w:rPr>
          <w:b/>
          <w:bCs/>
          <w:sz w:val="28"/>
          <w:szCs w:val="28"/>
        </w:rPr>
        <w:t>PROJEKTOVÝ ZÁMĚR</w:t>
      </w:r>
      <w:r w:rsidR="00577095" w:rsidRPr="00C62957">
        <w:rPr>
          <w:b/>
          <w:bCs/>
          <w:sz w:val="28"/>
          <w:szCs w:val="28"/>
        </w:rPr>
        <w:t xml:space="preserve"> </w:t>
      </w:r>
    </w:p>
    <w:p w14:paraId="6DDD82C8" w14:textId="5C25B5FB" w:rsidR="00200C74" w:rsidRPr="00200C74" w:rsidRDefault="00200C74" w:rsidP="00200C7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Základní informace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00C74" w14:paraId="2971FDEE" w14:textId="77777777" w:rsidTr="00844AF4">
        <w:trPr>
          <w:trHeight w:val="454"/>
        </w:trPr>
        <w:tc>
          <w:tcPr>
            <w:tcW w:w="2547" w:type="dxa"/>
            <w:vAlign w:val="center"/>
          </w:tcPr>
          <w:p w14:paraId="661E7CFA" w14:textId="136E35B0" w:rsidR="00200C74" w:rsidRPr="00200C74" w:rsidRDefault="00200C74" w:rsidP="00200C74">
            <w:pPr>
              <w:rPr>
                <w:b/>
                <w:bCs/>
              </w:rPr>
            </w:pPr>
            <w:r w:rsidRPr="00200C74">
              <w:rPr>
                <w:b/>
                <w:bCs/>
              </w:rPr>
              <w:t>Žadatel projektu:</w:t>
            </w:r>
          </w:p>
        </w:tc>
        <w:tc>
          <w:tcPr>
            <w:tcW w:w="6515" w:type="dxa"/>
            <w:vAlign w:val="center"/>
          </w:tcPr>
          <w:p w14:paraId="3AAD67C0" w14:textId="232909A3" w:rsidR="00200C74" w:rsidRPr="004541D6" w:rsidRDefault="00001E7E" w:rsidP="00200C74">
            <w:pPr>
              <w:rPr>
                <w:b/>
                <w:bCs/>
                <w:sz w:val="24"/>
                <w:szCs w:val="24"/>
              </w:rPr>
            </w:pPr>
            <w:r w:rsidRPr="004541D6">
              <w:rPr>
                <w:b/>
                <w:bCs/>
                <w:sz w:val="24"/>
                <w:szCs w:val="24"/>
              </w:rPr>
              <w:t>Fakultní nemocnice Olomouc</w:t>
            </w:r>
          </w:p>
        </w:tc>
      </w:tr>
      <w:tr w:rsidR="00200C74" w14:paraId="5EC17648" w14:textId="77777777" w:rsidTr="00844AF4">
        <w:trPr>
          <w:trHeight w:val="454"/>
        </w:trPr>
        <w:tc>
          <w:tcPr>
            <w:tcW w:w="2547" w:type="dxa"/>
            <w:vAlign w:val="center"/>
          </w:tcPr>
          <w:p w14:paraId="15274A63" w14:textId="580B257D" w:rsidR="00200C74" w:rsidRPr="00200C74" w:rsidRDefault="00200C74" w:rsidP="00200C74">
            <w:pPr>
              <w:rPr>
                <w:b/>
                <w:bCs/>
              </w:rPr>
            </w:pPr>
            <w:r w:rsidRPr="00200C74">
              <w:rPr>
                <w:b/>
                <w:bCs/>
              </w:rPr>
              <w:t>Název projektu:</w:t>
            </w:r>
          </w:p>
        </w:tc>
        <w:tc>
          <w:tcPr>
            <w:tcW w:w="6515" w:type="dxa"/>
            <w:vAlign w:val="center"/>
          </w:tcPr>
          <w:p w14:paraId="1F5D70EA" w14:textId="5B580BA2" w:rsidR="00200C74" w:rsidRPr="004541D6" w:rsidRDefault="00001E7E" w:rsidP="00200C74">
            <w:pPr>
              <w:rPr>
                <w:b/>
                <w:bCs/>
                <w:sz w:val="24"/>
                <w:szCs w:val="24"/>
              </w:rPr>
            </w:pPr>
            <w:r w:rsidRPr="004541D6">
              <w:rPr>
                <w:b/>
                <w:bCs/>
                <w:sz w:val="24"/>
                <w:szCs w:val="24"/>
              </w:rPr>
              <w:t xml:space="preserve">Novostavba </w:t>
            </w:r>
            <w:r w:rsidR="00751F89" w:rsidRPr="004541D6">
              <w:rPr>
                <w:b/>
                <w:bCs/>
                <w:sz w:val="24"/>
                <w:szCs w:val="24"/>
              </w:rPr>
              <w:t>onkologického stacionáře – budova P4</w:t>
            </w:r>
          </w:p>
        </w:tc>
      </w:tr>
      <w:tr w:rsidR="00200C74" w14:paraId="7450E6E3" w14:textId="77777777" w:rsidTr="00844AF4">
        <w:trPr>
          <w:trHeight w:val="454"/>
        </w:trPr>
        <w:tc>
          <w:tcPr>
            <w:tcW w:w="2547" w:type="dxa"/>
            <w:vAlign w:val="center"/>
          </w:tcPr>
          <w:p w14:paraId="3EE3879E" w14:textId="6E3D4C2C" w:rsidR="00200C74" w:rsidRPr="00200C74" w:rsidRDefault="00200C74" w:rsidP="00200C74">
            <w:pPr>
              <w:rPr>
                <w:b/>
                <w:bCs/>
              </w:rPr>
            </w:pPr>
            <w:r w:rsidRPr="00200C74">
              <w:rPr>
                <w:b/>
                <w:bCs/>
              </w:rPr>
              <w:t>Název operačního programu</w:t>
            </w:r>
            <w:r w:rsidR="00FE3C2B">
              <w:rPr>
                <w:b/>
                <w:bCs/>
              </w:rPr>
              <w:t xml:space="preserve"> či jiného nástroje</w:t>
            </w:r>
            <w:r w:rsidRPr="00200C74">
              <w:rPr>
                <w:b/>
                <w:bCs/>
              </w:rPr>
              <w:t>:</w:t>
            </w:r>
          </w:p>
        </w:tc>
        <w:tc>
          <w:tcPr>
            <w:tcW w:w="6515" w:type="dxa"/>
            <w:vAlign w:val="center"/>
          </w:tcPr>
          <w:p w14:paraId="3BC401AB" w14:textId="77777777" w:rsidR="00001E7E" w:rsidRPr="004541D6" w:rsidRDefault="00001E7E" w:rsidP="00001E7E">
            <w:pPr>
              <w:rPr>
                <w:b/>
                <w:bCs/>
                <w:sz w:val="24"/>
                <w:szCs w:val="24"/>
              </w:rPr>
            </w:pPr>
            <w:r w:rsidRPr="004541D6">
              <w:rPr>
                <w:b/>
                <w:bCs/>
                <w:sz w:val="24"/>
                <w:szCs w:val="24"/>
              </w:rPr>
              <w:t xml:space="preserve">Národní plán obnovy  </w:t>
            </w:r>
          </w:p>
          <w:p w14:paraId="39D67B9C" w14:textId="77777777" w:rsidR="00200C74" w:rsidRPr="004541D6" w:rsidRDefault="00200C74" w:rsidP="00200C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C74" w14:paraId="79BD0BEE" w14:textId="77777777" w:rsidTr="00844AF4">
        <w:trPr>
          <w:trHeight w:val="454"/>
        </w:trPr>
        <w:tc>
          <w:tcPr>
            <w:tcW w:w="2547" w:type="dxa"/>
            <w:vAlign w:val="center"/>
          </w:tcPr>
          <w:p w14:paraId="5EB67CC9" w14:textId="05B89A85" w:rsidR="00200C74" w:rsidRPr="00200C74" w:rsidRDefault="00200C74" w:rsidP="00200C74">
            <w:pPr>
              <w:rPr>
                <w:b/>
                <w:bCs/>
              </w:rPr>
            </w:pPr>
            <w:r w:rsidRPr="00200C74">
              <w:rPr>
                <w:b/>
                <w:bCs/>
              </w:rPr>
              <w:t>Prioritní osa programu</w:t>
            </w:r>
            <w:r w:rsidR="00FE3C2B">
              <w:rPr>
                <w:b/>
                <w:bCs/>
              </w:rPr>
              <w:t xml:space="preserve"> či jiné členění dle nástroje</w:t>
            </w:r>
            <w:r w:rsidRPr="00200C74">
              <w:rPr>
                <w:b/>
                <w:bCs/>
              </w:rPr>
              <w:t>:</w:t>
            </w:r>
          </w:p>
        </w:tc>
        <w:tc>
          <w:tcPr>
            <w:tcW w:w="6515" w:type="dxa"/>
            <w:vAlign w:val="center"/>
          </w:tcPr>
          <w:p w14:paraId="19DE21A2" w14:textId="0D0E80B3" w:rsidR="00200C74" w:rsidRPr="004541D6" w:rsidRDefault="00001E7E" w:rsidP="00200C74">
            <w:pPr>
              <w:rPr>
                <w:b/>
                <w:bCs/>
                <w:sz w:val="24"/>
                <w:szCs w:val="24"/>
              </w:rPr>
            </w:pPr>
            <w:r w:rsidRPr="004541D6">
              <w:rPr>
                <w:b/>
                <w:bCs/>
                <w:sz w:val="24"/>
                <w:szCs w:val="24"/>
              </w:rPr>
              <w:t>6.2 Národní plán na posílení onkologické prevence a péče</w:t>
            </w:r>
          </w:p>
        </w:tc>
      </w:tr>
      <w:tr w:rsidR="00200C74" w14:paraId="2D50B7E0" w14:textId="77777777" w:rsidTr="00844AF4">
        <w:trPr>
          <w:trHeight w:val="454"/>
        </w:trPr>
        <w:tc>
          <w:tcPr>
            <w:tcW w:w="2547" w:type="dxa"/>
            <w:vAlign w:val="center"/>
          </w:tcPr>
          <w:p w14:paraId="647F9F9F" w14:textId="377E491E" w:rsidR="00200C74" w:rsidRPr="00200C74" w:rsidRDefault="00200C74" w:rsidP="00200C74">
            <w:pPr>
              <w:rPr>
                <w:b/>
                <w:bCs/>
              </w:rPr>
            </w:pPr>
            <w:r>
              <w:rPr>
                <w:b/>
                <w:bCs/>
              </w:rPr>
              <w:t>Specifický cíl</w:t>
            </w:r>
            <w:r w:rsidRPr="00200C74">
              <w:rPr>
                <w:b/>
                <w:bCs/>
              </w:rPr>
              <w:t>:</w:t>
            </w:r>
          </w:p>
        </w:tc>
        <w:tc>
          <w:tcPr>
            <w:tcW w:w="6515" w:type="dxa"/>
            <w:vAlign w:val="center"/>
          </w:tcPr>
          <w:p w14:paraId="0F1B81D6" w14:textId="12989377" w:rsidR="00200C74" w:rsidRPr="004541D6" w:rsidRDefault="00001E7E" w:rsidP="00200C74">
            <w:pPr>
              <w:rPr>
                <w:b/>
                <w:bCs/>
                <w:sz w:val="24"/>
                <w:szCs w:val="24"/>
              </w:rPr>
            </w:pPr>
            <w:r w:rsidRPr="004541D6">
              <w:rPr>
                <w:b/>
                <w:bCs/>
                <w:sz w:val="24"/>
                <w:szCs w:val="24"/>
              </w:rPr>
              <w:t>///</w:t>
            </w:r>
          </w:p>
        </w:tc>
      </w:tr>
      <w:tr w:rsidR="00001E7E" w14:paraId="0ED83A3A" w14:textId="77777777" w:rsidTr="00844AF4">
        <w:trPr>
          <w:trHeight w:val="454"/>
        </w:trPr>
        <w:tc>
          <w:tcPr>
            <w:tcW w:w="2547" w:type="dxa"/>
            <w:vAlign w:val="center"/>
          </w:tcPr>
          <w:p w14:paraId="0A85E365" w14:textId="31EC5105" w:rsidR="00001E7E" w:rsidRPr="00200C74" w:rsidRDefault="00001E7E" w:rsidP="00001E7E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výzvy:</w:t>
            </w:r>
          </w:p>
        </w:tc>
        <w:tc>
          <w:tcPr>
            <w:tcW w:w="6515" w:type="dxa"/>
          </w:tcPr>
          <w:p w14:paraId="4D714E5E" w14:textId="7AA81238" w:rsidR="00001E7E" w:rsidRPr="004541D6" w:rsidRDefault="00001E7E" w:rsidP="00001E7E">
            <w:pPr>
              <w:rPr>
                <w:b/>
                <w:bCs/>
                <w:sz w:val="24"/>
                <w:szCs w:val="24"/>
              </w:rPr>
            </w:pPr>
            <w:r w:rsidRPr="004541D6">
              <w:rPr>
                <w:b/>
                <w:bCs/>
                <w:sz w:val="24"/>
                <w:szCs w:val="24"/>
              </w:rPr>
              <w:t xml:space="preserve">8. výzva, Rozvoj vysoce specializované </w:t>
            </w:r>
            <w:proofErr w:type="spellStart"/>
            <w:r w:rsidRPr="004541D6">
              <w:rPr>
                <w:b/>
                <w:bCs/>
                <w:sz w:val="24"/>
                <w:szCs w:val="24"/>
              </w:rPr>
              <w:t>hematoonkologické</w:t>
            </w:r>
            <w:proofErr w:type="spellEnd"/>
            <w:r w:rsidRPr="004541D6">
              <w:rPr>
                <w:b/>
                <w:bCs/>
                <w:sz w:val="24"/>
                <w:szCs w:val="24"/>
              </w:rPr>
              <w:t xml:space="preserve"> a onkologické péče</w:t>
            </w:r>
          </w:p>
        </w:tc>
      </w:tr>
    </w:tbl>
    <w:p w14:paraId="001ED98C" w14:textId="77777777" w:rsidR="00200C74" w:rsidRDefault="00200C74"/>
    <w:p w14:paraId="1C7DB313" w14:textId="033FBA70" w:rsidR="00200C74" w:rsidRPr="00200C74" w:rsidRDefault="00200C74" w:rsidP="00200C74">
      <w:pPr>
        <w:pStyle w:val="Odstavecseseznamem"/>
        <w:numPr>
          <w:ilvl w:val="0"/>
          <w:numId w:val="2"/>
        </w:numPr>
        <w:rPr>
          <w:b/>
          <w:bCs/>
        </w:rPr>
      </w:pPr>
      <w:r w:rsidRPr="00200C74">
        <w:rPr>
          <w:b/>
          <w:bCs/>
        </w:rPr>
        <w:t>Informace k</w:t>
      </w:r>
      <w:r w:rsidR="00577095">
        <w:rPr>
          <w:b/>
          <w:bCs/>
        </w:rPr>
        <w:t> </w:t>
      </w:r>
      <w:r w:rsidRPr="00200C74">
        <w:rPr>
          <w:b/>
          <w:bCs/>
        </w:rPr>
        <w:t>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00C74" w14:paraId="7728F712" w14:textId="77777777" w:rsidTr="00844AF4">
        <w:trPr>
          <w:trHeight w:val="454"/>
        </w:trPr>
        <w:tc>
          <w:tcPr>
            <w:tcW w:w="1838" w:type="dxa"/>
            <w:vAlign w:val="center"/>
          </w:tcPr>
          <w:p w14:paraId="775F0D86" w14:textId="77777777" w:rsidR="00200C74" w:rsidRDefault="00200C74" w:rsidP="00214250">
            <w:pPr>
              <w:rPr>
                <w:b/>
                <w:bCs/>
              </w:rPr>
            </w:pPr>
            <w:r>
              <w:rPr>
                <w:b/>
                <w:bCs/>
              </w:rPr>
              <w:t>Stručný obsah projektu:</w:t>
            </w:r>
          </w:p>
        </w:tc>
        <w:tc>
          <w:tcPr>
            <w:tcW w:w="7224" w:type="dxa"/>
            <w:vAlign w:val="center"/>
          </w:tcPr>
          <w:p w14:paraId="34BB7942" w14:textId="09C93E36" w:rsidR="00B543B3" w:rsidRPr="004541D6" w:rsidRDefault="00B543B3" w:rsidP="00B543B3">
            <w:pPr>
              <w:pStyle w:val="Textkomente"/>
              <w:rPr>
                <w:rFonts w:asciiTheme="minorHAnsi" w:hAnsiTheme="minorHAnsi" w:cstheme="minorHAnsi"/>
              </w:rPr>
            </w:pPr>
            <w:r w:rsidRPr="004541D6">
              <w:rPr>
                <w:rFonts w:asciiTheme="minorHAnsi" w:hAnsiTheme="minorHAnsi" w:cstheme="minorHAnsi"/>
              </w:rPr>
              <w:t xml:space="preserve">Klinická onkologická péče je v České republice organizována v systému Komplexních onkologických center (KOC) zaměřených na léčbu dospělých a dětských pacientů. Taktéž Fakultní nemocnice Olomouc získala statut Komplexní onkologické centrum FN Olomouc (KOC FN Olomouc) a poskytuje </w:t>
            </w:r>
            <w:r w:rsidR="00B56A21" w:rsidRPr="004541D6">
              <w:rPr>
                <w:rFonts w:asciiTheme="minorHAnsi" w:hAnsiTheme="minorHAnsi" w:cstheme="minorHAnsi"/>
              </w:rPr>
              <w:t xml:space="preserve">tak </w:t>
            </w:r>
            <w:r w:rsidRPr="004541D6">
              <w:rPr>
                <w:rFonts w:asciiTheme="minorHAnsi" w:hAnsiTheme="minorHAnsi" w:cstheme="minorHAnsi"/>
              </w:rPr>
              <w:t xml:space="preserve">základní i vysoce specializovanou péči pacientům se zhoubnými nádory Olomouckého kraje, ale i přilehlých regionů Moravskoslezského a Zlínského kraje. </w:t>
            </w:r>
          </w:p>
          <w:p w14:paraId="1801F0B8" w14:textId="5278D818" w:rsidR="00B543B3" w:rsidRPr="004541D6" w:rsidRDefault="00B56A21" w:rsidP="00B56A21">
            <w:pPr>
              <w:pStyle w:val="Textkomente"/>
              <w:rPr>
                <w:rFonts w:asciiTheme="minorHAnsi" w:hAnsiTheme="minorHAnsi" w:cstheme="minorHAnsi"/>
                <w:strike/>
              </w:rPr>
            </w:pPr>
            <w:r w:rsidRPr="004541D6">
              <w:rPr>
                <w:rFonts w:asciiTheme="minorHAnsi" w:hAnsiTheme="minorHAnsi" w:cstheme="minorHAnsi"/>
              </w:rPr>
              <w:t>Fakultní nemocnice Olomouc hodlá využít podporu</w:t>
            </w:r>
            <w:r w:rsidR="00B543B3" w:rsidRPr="004541D6">
              <w:rPr>
                <w:rFonts w:asciiTheme="minorHAnsi" w:hAnsiTheme="minorHAnsi" w:cstheme="minorHAnsi"/>
              </w:rPr>
              <w:t xml:space="preserve"> Národního plánu obnovy financované z Nástroje pro oživení a odolnost </w:t>
            </w:r>
            <w:r w:rsidRPr="004541D6">
              <w:rPr>
                <w:rFonts w:asciiTheme="minorHAnsi" w:hAnsiTheme="minorHAnsi" w:cstheme="minorHAnsi"/>
              </w:rPr>
              <w:t xml:space="preserve">a naplnit cíl projektu, jímž je </w:t>
            </w:r>
            <w:r w:rsidR="00C11A5E" w:rsidRPr="004541D6">
              <w:rPr>
                <w:rFonts w:asciiTheme="minorHAnsi" w:hAnsiTheme="minorHAnsi" w:cstheme="minorHAnsi"/>
              </w:rPr>
              <w:t>výstavba nového</w:t>
            </w:r>
            <w:r w:rsidR="00B543B3" w:rsidRPr="004541D6">
              <w:rPr>
                <w:rFonts w:asciiTheme="minorHAnsi" w:hAnsiTheme="minorHAnsi" w:cstheme="minorHAnsi"/>
              </w:rPr>
              <w:t xml:space="preserve"> pavilonu, který bude zajišťovat ambulantní léčbu všech typů onkologických diagnóz za pomoci inovativních technologií a s využitím mezioborového přístupu. Podpo</w:t>
            </w:r>
            <w:r w:rsidR="00C11A5E" w:rsidRPr="004541D6">
              <w:rPr>
                <w:rFonts w:asciiTheme="minorHAnsi" w:hAnsiTheme="minorHAnsi" w:cstheme="minorHAnsi"/>
              </w:rPr>
              <w:t>řen</w:t>
            </w:r>
            <w:r w:rsidR="00B543B3" w:rsidRPr="004541D6">
              <w:rPr>
                <w:rFonts w:asciiTheme="minorHAnsi" w:hAnsiTheme="minorHAnsi" w:cstheme="minorHAnsi"/>
              </w:rPr>
              <w:t xml:space="preserve"> bude rozvoj precizní a personalizované medicíny uplatňující se v diagnostice, prevenci a léčbě onkologicky nemocných včetně léčby podpůrné a paliativní. Prostory nové</w:t>
            </w:r>
            <w:r w:rsidR="00C11A5E" w:rsidRPr="004541D6">
              <w:rPr>
                <w:rFonts w:asciiTheme="minorHAnsi" w:hAnsiTheme="minorHAnsi" w:cstheme="minorHAnsi"/>
              </w:rPr>
              <w:t>ho pavilonu</w:t>
            </w:r>
            <w:r w:rsidR="00B543B3" w:rsidRPr="004541D6">
              <w:rPr>
                <w:rFonts w:asciiTheme="minorHAnsi" w:hAnsiTheme="minorHAnsi" w:cstheme="minorHAnsi"/>
              </w:rPr>
              <w:t xml:space="preserve"> poskytnou zvýšenou kapacitu pro všechny prováděné činnosti</w:t>
            </w:r>
            <w:r w:rsidR="00032F79" w:rsidRPr="004541D6">
              <w:rPr>
                <w:rFonts w:asciiTheme="minorHAnsi" w:hAnsiTheme="minorHAnsi" w:cstheme="minorHAnsi"/>
              </w:rPr>
              <w:t xml:space="preserve"> cílené personalizované léčby. </w:t>
            </w:r>
            <w:r w:rsidR="00C11A5E" w:rsidRPr="004541D6">
              <w:rPr>
                <w:rFonts w:asciiTheme="minorHAnsi" w:hAnsiTheme="minorHAnsi" w:cstheme="minorHAnsi"/>
                <w:strike/>
              </w:rPr>
              <w:t>V rámci nové budovy bude poskytována onkologická péče se zaměřením na léčbu nádorových onemocnění ve všech fázích nemoci</w:t>
            </w:r>
            <w:r w:rsidR="00032F79" w:rsidRPr="004541D6">
              <w:rPr>
                <w:rFonts w:asciiTheme="minorHAnsi" w:hAnsiTheme="minorHAnsi" w:cstheme="minorHAnsi"/>
                <w:strike/>
              </w:rPr>
              <w:t xml:space="preserve"> </w:t>
            </w:r>
            <w:r w:rsidR="0025248B" w:rsidRPr="004541D6">
              <w:rPr>
                <w:rFonts w:asciiTheme="minorHAnsi" w:hAnsiTheme="minorHAnsi" w:cstheme="minorHAnsi"/>
                <w:strike/>
              </w:rPr>
              <w:t xml:space="preserve">včetně cílené biologické léčby a produktů buněčné terapie. Díky rozvoji moderních diagnostických metod a </w:t>
            </w:r>
            <w:proofErr w:type="spellStart"/>
            <w:r w:rsidR="0025248B" w:rsidRPr="004541D6">
              <w:rPr>
                <w:rFonts w:asciiTheme="minorHAnsi" w:hAnsiTheme="minorHAnsi" w:cstheme="minorHAnsi"/>
                <w:strike/>
              </w:rPr>
              <w:t>teranostiky</w:t>
            </w:r>
            <w:proofErr w:type="spellEnd"/>
            <w:r w:rsidR="0025248B" w:rsidRPr="004541D6">
              <w:rPr>
                <w:rFonts w:asciiTheme="minorHAnsi" w:hAnsiTheme="minorHAnsi" w:cstheme="minorHAnsi"/>
                <w:strike/>
              </w:rPr>
              <w:t xml:space="preserve"> bude</w:t>
            </w:r>
            <w:r w:rsidR="00EE6860" w:rsidRPr="004541D6">
              <w:rPr>
                <w:rFonts w:asciiTheme="minorHAnsi" w:hAnsiTheme="minorHAnsi" w:cstheme="minorHAnsi"/>
                <w:strike/>
              </w:rPr>
              <w:t xml:space="preserve"> se indikace této</w:t>
            </w:r>
            <w:r w:rsidR="0025248B" w:rsidRPr="004541D6">
              <w:rPr>
                <w:rFonts w:asciiTheme="minorHAnsi" w:hAnsiTheme="minorHAnsi" w:cstheme="minorHAnsi"/>
                <w:strike/>
              </w:rPr>
              <w:t xml:space="preserve"> vysoce inovativní léčb</w:t>
            </w:r>
            <w:r w:rsidR="00EE6860" w:rsidRPr="004541D6">
              <w:rPr>
                <w:rFonts w:asciiTheme="minorHAnsi" w:hAnsiTheme="minorHAnsi" w:cstheme="minorHAnsi"/>
                <w:strike/>
              </w:rPr>
              <w:t xml:space="preserve">y nadále rozvíjet a aplikovat v rostoucím měřítku. </w:t>
            </w:r>
            <w:r w:rsidR="0025248B" w:rsidRPr="004541D6">
              <w:rPr>
                <w:rFonts w:asciiTheme="minorHAnsi" w:hAnsiTheme="minorHAnsi" w:cstheme="minorHAnsi"/>
                <w:strike/>
              </w:rPr>
              <w:t>Výstavba nové budovy rovněž vytvoří dostatečně vhodné zázemí pro klinická hodnocení, zejména pro časné fáze zkoušek a pro aplikaci inovativních léčit, včetně terapeutik spadajících pod regulaci zákona o geneticky modifikovaných organismech.</w:t>
            </w:r>
          </w:p>
          <w:p w14:paraId="1496C5A5" w14:textId="3D2DDE77" w:rsidR="00200C74" w:rsidRPr="004541D6" w:rsidRDefault="00200C74" w:rsidP="005E281C">
            <w:pPr>
              <w:rPr>
                <w:rFonts w:cstheme="minorHAnsi"/>
                <w:color w:val="FF0000"/>
              </w:rPr>
            </w:pPr>
          </w:p>
        </w:tc>
      </w:tr>
      <w:tr w:rsidR="00200C74" w14:paraId="23B817E5" w14:textId="77777777" w:rsidTr="00844AF4">
        <w:trPr>
          <w:trHeight w:val="454"/>
        </w:trPr>
        <w:tc>
          <w:tcPr>
            <w:tcW w:w="1838" w:type="dxa"/>
            <w:vAlign w:val="center"/>
          </w:tcPr>
          <w:p w14:paraId="799B6D37" w14:textId="77777777" w:rsidR="00200C74" w:rsidRDefault="00200C74" w:rsidP="002142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Cíl projektu:</w:t>
            </w:r>
          </w:p>
        </w:tc>
        <w:tc>
          <w:tcPr>
            <w:tcW w:w="7224" w:type="dxa"/>
            <w:vAlign w:val="center"/>
          </w:tcPr>
          <w:p w14:paraId="7B147B6B" w14:textId="77777777" w:rsidR="00D713F4" w:rsidRPr="004541D6" w:rsidRDefault="00DC4443" w:rsidP="00EC70A6">
            <w:pPr>
              <w:pStyle w:val="Textkomente"/>
              <w:rPr>
                <w:rFonts w:asciiTheme="minorHAnsi" w:hAnsiTheme="minorHAnsi" w:cstheme="minorHAnsi"/>
              </w:rPr>
            </w:pPr>
            <w:r w:rsidRPr="004541D6">
              <w:rPr>
                <w:rFonts w:asciiTheme="minorHAnsi" w:hAnsiTheme="minorHAnsi" w:cstheme="minorHAnsi"/>
              </w:rPr>
              <w:t xml:space="preserve">Cílem projektu je zvýšení kvality </w:t>
            </w:r>
            <w:r w:rsidR="005E281C" w:rsidRPr="004541D6">
              <w:rPr>
                <w:rFonts w:asciiTheme="minorHAnsi" w:hAnsiTheme="minorHAnsi" w:cstheme="minorHAnsi"/>
              </w:rPr>
              <w:t>vysoce specializované péče v</w:t>
            </w:r>
            <w:r w:rsidR="0020120A" w:rsidRPr="004541D6">
              <w:rPr>
                <w:rFonts w:asciiTheme="minorHAnsi" w:hAnsiTheme="minorHAnsi" w:cstheme="minorHAnsi"/>
              </w:rPr>
              <w:t xml:space="preserve"> rámci </w:t>
            </w:r>
            <w:r w:rsidR="00EC2388" w:rsidRPr="004541D6">
              <w:rPr>
                <w:rFonts w:asciiTheme="minorHAnsi" w:hAnsiTheme="minorHAnsi" w:cstheme="minorHAnsi"/>
              </w:rPr>
              <w:t xml:space="preserve">KOC FN Olomouc. </w:t>
            </w:r>
            <w:r w:rsidR="00032F79" w:rsidRPr="004541D6">
              <w:rPr>
                <w:rFonts w:asciiTheme="minorHAnsi" w:hAnsiTheme="minorHAnsi" w:cstheme="minorHAnsi"/>
              </w:rPr>
              <w:t xml:space="preserve">Realizací projektu dojde k naplnění </w:t>
            </w:r>
            <w:r w:rsidR="00EC2388" w:rsidRPr="004541D6">
              <w:rPr>
                <w:rFonts w:asciiTheme="minorHAnsi" w:hAnsiTheme="minorHAnsi" w:cstheme="minorHAnsi"/>
              </w:rPr>
              <w:t xml:space="preserve">všech daných </w:t>
            </w:r>
            <w:r w:rsidR="00032F79" w:rsidRPr="004541D6">
              <w:rPr>
                <w:rFonts w:asciiTheme="minorHAnsi" w:hAnsiTheme="minorHAnsi" w:cstheme="minorHAnsi"/>
              </w:rPr>
              <w:t>cílů</w:t>
            </w:r>
            <w:r w:rsidR="00EC2388" w:rsidRPr="004541D6">
              <w:rPr>
                <w:rFonts w:asciiTheme="minorHAnsi" w:hAnsiTheme="minorHAnsi" w:cstheme="minorHAnsi"/>
              </w:rPr>
              <w:t xml:space="preserve"> výzvy projektu.  </w:t>
            </w:r>
          </w:p>
          <w:p w14:paraId="424924BF" w14:textId="38CBBCBD" w:rsidR="00D354FB" w:rsidRPr="004541D6" w:rsidRDefault="00EC2388" w:rsidP="00EC70A6">
            <w:pPr>
              <w:pStyle w:val="Textkomente"/>
              <w:rPr>
                <w:rFonts w:asciiTheme="minorHAnsi" w:hAnsiTheme="minorHAnsi" w:cstheme="minorHAnsi"/>
              </w:rPr>
            </w:pPr>
            <w:r w:rsidRPr="004541D6">
              <w:rPr>
                <w:rFonts w:asciiTheme="minorHAnsi" w:hAnsiTheme="minorHAnsi" w:cstheme="minorHAnsi"/>
              </w:rPr>
              <w:t xml:space="preserve">Dojde k: </w:t>
            </w:r>
          </w:p>
          <w:p w14:paraId="257F1612" w14:textId="4052362A" w:rsidR="00EC2388" w:rsidRPr="004541D6" w:rsidRDefault="00EC2388" w:rsidP="00D713F4">
            <w:pPr>
              <w:pStyle w:val="Textkomente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541D6">
              <w:rPr>
                <w:rFonts w:asciiTheme="minorHAnsi" w:hAnsiTheme="minorHAnsi" w:cstheme="minorHAnsi"/>
              </w:rPr>
              <w:t>rozvoji zdravotnických technologií v návaznosti na diagnostiku a protinádorovou i podpůrnou léčbu pacientů</w:t>
            </w:r>
          </w:p>
          <w:p w14:paraId="589528B9" w14:textId="2CF4BC0E" w:rsidR="00D354FB" w:rsidRPr="004541D6" w:rsidRDefault="00D354FB" w:rsidP="00D713F4">
            <w:pPr>
              <w:pStyle w:val="Textkomente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541D6">
              <w:rPr>
                <w:rFonts w:asciiTheme="minorHAnsi" w:hAnsiTheme="minorHAnsi" w:cstheme="minorHAnsi"/>
              </w:rPr>
              <w:t>podpoře inovativní vysoce specializované onkologické péče</w:t>
            </w:r>
          </w:p>
          <w:p w14:paraId="14EDAFF1" w14:textId="21BD9273" w:rsidR="002E363D" w:rsidRPr="004541D6" w:rsidRDefault="00D354FB" w:rsidP="00D713F4">
            <w:pPr>
              <w:pStyle w:val="Textkomente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541D6">
              <w:rPr>
                <w:rFonts w:asciiTheme="minorHAnsi" w:hAnsiTheme="minorHAnsi" w:cstheme="minorHAnsi"/>
              </w:rPr>
              <w:t>rozvoji oblasti personalizované medicíny onkologické péče</w:t>
            </w:r>
          </w:p>
          <w:p w14:paraId="179037BC" w14:textId="17FAD786" w:rsidR="00EC2388" w:rsidRPr="004541D6" w:rsidRDefault="00EC2388" w:rsidP="00EC70A6">
            <w:pPr>
              <w:pStyle w:val="Textkomente"/>
              <w:rPr>
                <w:rFonts w:asciiTheme="minorHAnsi" w:hAnsiTheme="minorHAnsi" w:cstheme="minorHAnsi"/>
                <w:strike/>
              </w:rPr>
            </w:pPr>
            <w:r w:rsidRPr="004541D6">
              <w:rPr>
                <w:rFonts w:asciiTheme="minorHAnsi" w:hAnsiTheme="minorHAnsi" w:cstheme="minorHAnsi"/>
              </w:rPr>
              <w:t xml:space="preserve">V rámci nové budovy bude poskytována onkologická péče </w:t>
            </w:r>
            <w:r w:rsidR="00474235" w:rsidRPr="004541D6">
              <w:rPr>
                <w:rFonts w:asciiTheme="minorHAnsi" w:hAnsiTheme="minorHAnsi" w:cstheme="minorHAnsi"/>
              </w:rPr>
              <w:t xml:space="preserve">ve zvýšené kapacitě </w:t>
            </w:r>
            <w:r w:rsidRPr="004541D6">
              <w:rPr>
                <w:rFonts w:asciiTheme="minorHAnsi" w:hAnsiTheme="minorHAnsi" w:cstheme="minorHAnsi"/>
              </w:rPr>
              <w:t xml:space="preserve">se zaměřením na léčbu nádorových onemocnění ve všech fázích choroby zahrnující aplikaci protinádorové léčby cytostatiky, léčby cílené včetně inovativní léčebných přístupů jako je buněčná a genová terapie, </w:t>
            </w:r>
            <w:r w:rsidR="00474235" w:rsidRPr="004541D6">
              <w:rPr>
                <w:rFonts w:asciiTheme="minorHAnsi" w:hAnsiTheme="minorHAnsi" w:cstheme="minorHAnsi"/>
              </w:rPr>
              <w:t>s využitím pokročilých molekulárně biologických metod umožňujících personalizovanou cílenou terapii.</w:t>
            </w:r>
            <w:r w:rsidRPr="004541D6">
              <w:rPr>
                <w:rFonts w:asciiTheme="minorHAnsi" w:hAnsiTheme="minorHAnsi" w:cstheme="minorHAnsi"/>
              </w:rPr>
              <w:t xml:space="preserve"> </w:t>
            </w:r>
            <w:r w:rsidR="00266A3A" w:rsidRPr="004541D6">
              <w:rPr>
                <w:rFonts w:asciiTheme="minorHAnsi" w:hAnsiTheme="minorHAnsi" w:cstheme="minorHAnsi"/>
              </w:rPr>
              <w:t xml:space="preserve">Díky rozvoji </w:t>
            </w:r>
            <w:proofErr w:type="spellStart"/>
            <w:r w:rsidRPr="004541D6">
              <w:rPr>
                <w:rFonts w:asciiTheme="minorHAnsi" w:hAnsiTheme="minorHAnsi" w:cstheme="minorHAnsi"/>
              </w:rPr>
              <w:t>teranostiky</w:t>
            </w:r>
            <w:proofErr w:type="spellEnd"/>
            <w:r w:rsidR="00266A3A" w:rsidRPr="004541D6">
              <w:rPr>
                <w:rFonts w:asciiTheme="minorHAnsi" w:hAnsiTheme="minorHAnsi" w:cstheme="minorHAnsi"/>
              </w:rPr>
              <w:t xml:space="preserve"> jak v</w:t>
            </w:r>
            <w:r w:rsidR="00844AF4" w:rsidRPr="004541D6">
              <w:rPr>
                <w:rFonts w:asciiTheme="minorHAnsi" w:hAnsiTheme="minorHAnsi" w:cstheme="minorHAnsi"/>
              </w:rPr>
              <w:t> </w:t>
            </w:r>
            <w:r w:rsidR="00266A3A" w:rsidRPr="004541D6">
              <w:rPr>
                <w:rFonts w:asciiTheme="minorHAnsi" w:hAnsiTheme="minorHAnsi" w:cstheme="minorHAnsi"/>
              </w:rPr>
              <w:t>diagnostické</w:t>
            </w:r>
            <w:r w:rsidR="00844AF4" w:rsidRPr="004541D6">
              <w:rPr>
                <w:rFonts w:asciiTheme="minorHAnsi" w:hAnsiTheme="minorHAnsi" w:cstheme="minorHAnsi"/>
              </w:rPr>
              <w:t>,</w:t>
            </w:r>
            <w:r w:rsidR="00266A3A" w:rsidRPr="004541D6">
              <w:rPr>
                <w:rFonts w:asciiTheme="minorHAnsi" w:hAnsiTheme="minorHAnsi" w:cstheme="minorHAnsi"/>
              </w:rPr>
              <w:t xml:space="preserve"> tak terapeutické oblasti, plánujeme další rozšíření indikací a využití nových metod se zapojením multidisciplinárního přístupu pro věší spektrum onkologických diagnóz. V prostorách nové budovy bude p</w:t>
            </w:r>
            <w:r w:rsidRPr="004541D6">
              <w:rPr>
                <w:rFonts w:asciiTheme="minorHAnsi" w:hAnsiTheme="minorHAnsi" w:cstheme="minorHAnsi"/>
              </w:rPr>
              <w:t xml:space="preserve">robíhat </w:t>
            </w:r>
            <w:r w:rsidR="00266A3A" w:rsidRPr="004541D6">
              <w:rPr>
                <w:rFonts w:asciiTheme="minorHAnsi" w:hAnsiTheme="minorHAnsi" w:cstheme="minorHAnsi"/>
              </w:rPr>
              <w:t>důsledná kontrola nemocných v průběhu léčby.</w:t>
            </w:r>
            <w:r w:rsidRPr="004541D6">
              <w:rPr>
                <w:rFonts w:asciiTheme="minorHAnsi" w:hAnsiTheme="minorHAnsi" w:cstheme="minorHAnsi"/>
              </w:rPr>
              <w:t xml:space="preserve"> </w:t>
            </w:r>
            <w:r w:rsidR="00D354FB" w:rsidRPr="004541D6">
              <w:rPr>
                <w:rFonts w:asciiTheme="minorHAnsi" w:hAnsiTheme="minorHAnsi" w:cstheme="minorHAnsi"/>
              </w:rPr>
              <w:t>Nutno zmínit i preventivní včasnou diagnostiku nádorového onemocnění u nových pacientů, ale také časný záchyt recidivy onemocnění léčeného v</w:t>
            </w:r>
            <w:r w:rsidR="00474235" w:rsidRPr="004541D6">
              <w:rPr>
                <w:rFonts w:asciiTheme="minorHAnsi" w:hAnsiTheme="minorHAnsi" w:cstheme="minorHAnsi"/>
              </w:rPr>
              <w:t> </w:t>
            </w:r>
            <w:r w:rsidR="00D354FB" w:rsidRPr="004541D6">
              <w:rPr>
                <w:rFonts w:asciiTheme="minorHAnsi" w:hAnsiTheme="minorHAnsi" w:cstheme="minorHAnsi"/>
              </w:rPr>
              <w:t>minulosti</w:t>
            </w:r>
            <w:r w:rsidR="00474235" w:rsidRPr="004541D6">
              <w:rPr>
                <w:rFonts w:asciiTheme="minorHAnsi" w:hAnsiTheme="minorHAnsi" w:cstheme="minorHAnsi"/>
              </w:rPr>
              <w:t xml:space="preserve"> s využitím sofistikovaných moderních diagnostických metod včetně izolace cirkulujících nádorových buněk.</w:t>
            </w:r>
            <w:r w:rsidR="00D354FB" w:rsidRPr="004541D6">
              <w:rPr>
                <w:rFonts w:asciiTheme="minorHAnsi" w:hAnsiTheme="minorHAnsi" w:cstheme="minorHAnsi"/>
              </w:rPr>
              <w:t xml:space="preserve"> </w:t>
            </w:r>
            <w:r w:rsidRPr="004541D6">
              <w:rPr>
                <w:rFonts w:asciiTheme="minorHAnsi" w:hAnsiTheme="minorHAnsi" w:cstheme="minorHAnsi"/>
              </w:rPr>
              <w:t xml:space="preserve">V budově bude </w:t>
            </w:r>
            <w:r w:rsidR="00D354FB" w:rsidRPr="004541D6">
              <w:rPr>
                <w:rFonts w:asciiTheme="minorHAnsi" w:hAnsiTheme="minorHAnsi" w:cstheme="minorHAnsi"/>
              </w:rPr>
              <w:t xml:space="preserve">dále </w:t>
            </w:r>
            <w:r w:rsidRPr="004541D6">
              <w:rPr>
                <w:rFonts w:asciiTheme="minorHAnsi" w:hAnsiTheme="minorHAnsi" w:cstheme="minorHAnsi"/>
              </w:rPr>
              <w:t xml:space="preserve">umístěna léčba podpůrná včetně aplikace infúzí a krevních derivátů, dále pak nutriční poradna. Součástí budovy bude ambulance paliativní péče, která bude zajišťovat duchovní a psychosociální podporu, léčbu bolesti a odlehčovací punkce. V budově bude přítomna ambulance psychologa se zajištěním psychoterapie pro nemocné i jejich rodiny. Bude zde rovněž umístěn sálek na zavádění a ošetřování cévních vstupů. </w:t>
            </w:r>
            <w:r w:rsidRPr="004541D6">
              <w:rPr>
                <w:rFonts w:asciiTheme="minorHAnsi" w:hAnsiTheme="minorHAnsi" w:cstheme="minorHAnsi"/>
                <w:strike/>
              </w:rPr>
              <w:t>V prostorách budovy bude rovněž oddělení klinických studií, které umožňují zavádění inovativní onkologické léčby do klinické praxe</w:t>
            </w:r>
            <w:r w:rsidR="00EE6860" w:rsidRPr="004541D6">
              <w:rPr>
                <w:rFonts w:asciiTheme="minorHAnsi" w:hAnsiTheme="minorHAnsi" w:cstheme="minorHAnsi"/>
                <w:strike/>
              </w:rPr>
              <w:t xml:space="preserve"> včetně klinických hodnocení fáze I, která se zabývají výzkumem nejnovějších poznatků personalizované medicíny a s využitím těch nejmodernějších diagnostických technologií.</w:t>
            </w:r>
            <w:r w:rsidR="00EE6860" w:rsidRPr="004541D6">
              <w:rPr>
                <w:rFonts w:asciiTheme="minorHAnsi" w:hAnsiTheme="minorHAnsi" w:cstheme="minorHAnsi"/>
              </w:rPr>
              <w:t xml:space="preserve"> </w:t>
            </w:r>
            <w:r w:rsidR="00474235" w:rsidRPr="004541D6">
              <w:rPr>
                <w:rFonts w:asciiTheme="minorHAnsi" w:hAnsiTheme="minorHAnsi" w:cstheme="minorHAnsi"/>
                <w:strike/>
              </w:rPr>
              <w:t xml:space="preserve">Nové prostory umožní rozšíření indikací </w:t>
            </w:r>
            <w:r w:rsidR="00EE6860" w:rsidRPr="004541D6">
              <w:rPr>
                <w:rFonts w:asciiTheme="minorHAnsi" w:hAnsiTheme="minorHAnsi" w:cstheme="minorHAnsi"/>
                <w:strike/>
              </w:rPr>
              <w:t xml:space="preserve">radioterapie s využitím těch nejmodernějších </w:t>
            </w:r>
            <w:r w:rsidR="0020773B" w:rsidRPr="004541D6">
              <w:rPr>
                <w:rFonts w:asciiTheme="minorHAnsi" w:hAnsiTheme="minorHAnsi" w:cstheme="minorHAnsi"/>
                <w:strike/>
              </w:rPr>
              <w:t>radioterapeutických technik včetně stereotaktické radioterapie, ozařování v řízeném dýchání či adaptivní radioterapie s </w:t>
            </w:r>
            <w:proofErr w:type="spellStart"/>
            <w:r w:rsidR="0020773B" w:rsidRPr="004541D6">
              <w:rPr>
                <w:rFonts w:asciiTheme="minorHAnsi" w:hAnsiTheme="minorHAnsi" w:cstheme="minorHAnsi"/>
                <w:strike/>
              </w:rPr>
              <w:t>deformabilní</w:t>
            </w:r>
            <w:proofErr w:type="spellEnd"/>
            <w:r w:rsidR="0020773B" w:rsidRPr="004541D6">
              <w:rPr>
                <w:rFonts w:asciiTheme="minorHAnsi" w:hAnsiTheme="minorHAnsi" w:cstheme="minorHAnsi"/>
                <w:strike/>
              </w:rPr>
              <w:t xml:space="preserve"> registrací obrazu,</w:t>
            </w:r>
            <w:r w:rsidR="00474235" w:rsidRPr="004541D6">
              <w:rPr>
                <w:rFonts w:asciiTheme="minorHAnsi" w:hAnsiTheme="minorHAnsi" w:cstheme="minorHAnsi"/>
                <w:strike/>
              </w:rPr>
              <w:t xml:space="preserve"> Díky individualizovanému příst</w:t>
            </w:r>
            <w:r w:rsidR="003739F5" w:rsidRPr="004541D6">
              <w:rPr>
                <w:rFonts w:asciiTheme="minorHAnsi" w:hAnsiTheme="minorHAnsi" w:cstheme="minorHAnsi"/>
                <w:strike/>
              </w:rPr>
              <w:t>u</w:t>
            </w:r>
            <w:r w:rsidR="00474235" w:rsidRPr="004541D6">
              <w:rPr>
                <w:rFonts w:asciiTheme="minorHAnsi" w:hAnsiTheme="minorHAnsi" w:cstheme="minorHAnsi"/>
                <w:strike/>
              </w:rPr>
              <w:t>pu v rámci me</w:t>
            </w:r>
            <w:r w:rsidR="003739F5" w:rsidRPr="004541D6">
              <w:rPr>
                <w:rFonts w:asciiTheme="minorHAnsi" w:hAnsiTheme="minorHAnsi" w:cstheme="minorHAnsi"/>
                <w:strike/>
              </w:rPr>
              <w:t xml:space="preserve">zioborové spolupráce </w:t>
            </w:r>
            <w:r w:rsidR="00377FC1" w:rsidRPr="004541D6">
              <w:rPr>
                <w:rFonts w:asciiTheme="minorHAnsi" w:hAnsiTheme="minorHAnsi" w:cstheme="minorHAnsi"/>
                <w:strike/>
              </w:rPr>
              <w:t xml:space="preserve">a větší kapacitě pracoviště se bude indikovaně využívat metod </w:t>
            </w:r>
            <w:proofErr w:type="spellStart"/>
            <w:r w:rsidR="00377FC1" w:rsidRPr="004541D6">
              <w:rPr>
                <w:rFonts w:asciiTheme="minorHAnsi" w:hAnsiTheme="minorHAnsi" w:cstheme="minorHAnsi"/>
                <w:strike/>
              </w:rPr>
              <w:t>miniinvazivní</w:t>
            </w:r>
            <w:proofErr w:type="spellEnd"/>
            <w:r w:rsidR="00377FC1" w:rsidRPr="004541D6">
              <w:rPr>
                <w:rFonts w:asciiTheme="minorHAnsi" w:hAnsiTheme="minorHAnsi" w:cstheme="minorHAnsi"/>
                <w:strike/>
              </w:rPr>
              <w:t xml:space="preserve"> chirurgie včetně robotického přístupu. Individualizovaný přístup v léčbě je ve všech ohledech v zájmu pacientů.</w:t>
            </w:r>
          </w:p>
          <w:p w14:paraId="5AB9C499" w14:textId="6DF34257" w:rsidR="00200C74" w:rsidRPr="004541D6" w:rsidRDefault="00877441" w:rsidP="00EC70A6">
            <w:pPr>
              <w:pStyle w:val="Textkomente"/>
              <w:rPr>
                <w:rFonts w:asciiTheme="minorHAnsi" w:hAnsiTheme="minorHAnsi" w:cstheme="minorHAnsi"/>
              </w:rPr>
            </w:pPr>
            <w:r w:rsidRPr="004541D6">
              <w:rPr>
                <w:rFonts w:asciiTheme="minorHAnsi" w:hAnsiTheme="minorHAnsi" w:cstheme="minorHAnsi"/>
              </w:rPr>
              <w:t>Bude zajištěna</w:t>
            </w:r>
            <w:r w:rsidR="00EC70A6" w:rsidRPr="004541D6">
              <w:rPr>
                <w:rFonts w:asciiTheme="minorHAnsi" w:hAnsiTheme="minorHAnsi" w:cstheme="minorHAnsi"/>
              </w:rPr>
              <w:t xml:space="preserve"> </w:t>
            </w:r>
            <w:r w:rsidR="007D7C70" w:rsidRPr="004541D6">
              <w:rPr>
                <w:rFonts w:asciiTheme="minorHAnsi" w:hAnsiTheme="minorHAnsi" w:cstheme="minorHAnsi"/>
              </w:rPr>
              <w:t>nejvyšší možn</w:t>
            </w:r>
            <w:r w:rsidR="00EC70A6" w:rsidRPr="004541D6">
              <w:rPr>
                <w:rFonts w:asciiTheme="minorHAnsi" w:hAnsiTheme="minorHAnsi" w:cstheme="minorHAnsi"/>
              </w:rPr>
              <w:t>á</w:t>
            </w:r>
            <w:r w:rsidR="007D7C70" w:rsidRPr="004541D6">
              <w:rPr>
                <w:rFonts w:asciiTheme="minorHAnsi" w:hAnsiTheme="minorHAnsi" w:cstheme="minorHAnsi"/>
              </w:rPr>
              <w:t xml:space="preserve"> kvalit</w:t>
            </w:r>
            <w:r w:rsidR="00EC70A6" w:rsidRPr="004541D6">
              <w:rPr>
                <w:rFonts w:asciiTheme="minorHAnsi" w:hAnsiTheme="minorHAnsi" w:cstheme="minorHAnsi"/>
              </w:rPr>
              <w:t>a</w:t>
            </w:r>
            <w:r w:rsidR="007D7C70" w:rsidRPr="004541D6">
              <w:rPr>
                <w:rFonts w:asciiTheme="minorHAnsi" w:hAnsiTheme="minorHAnsi" w:cstheme="minorHAnsi"/>
              </w:rPr>
              <w:t xml:space="preserve"> péče a života</w:t>
            </w:r>
            <w:r w:rsidR="00EE6860" w:rsidRPr="004541D6">
              <w:rPr>
                <w:rFonts w:asciiTheme="minorHAnsi" w:hAnsiTheme="minorHAnsi" w:cstheme="minorHAnsi"/>
              </w:rPr>
              <w:t>, současně se zvýší dostupnost moderní léčby</w:t>
            </w:r>
            <w:r w:rsidR="007D7C70" w:rsidRPr="004541D6">
              <w:rPr>
                <w:rFonts w:asciiTheme="minorHAnsi" w:hAnsiTheme="minorHAnsi" w:cstheme="minorHAnsi"/>
              </w:rPr>
              <w:t xml:space="preserve"> pro onkologické pacienty bez ohledu na geografickou polohu či stádium nemoci. Jednotlivé části léčebného procesu </w:t>
            </w:r>
            <w:r w:rsidR="00EC70A6" w:rsidRPr="004541D6">
              <w:rPr>
                <w:rFonts w:asciiTheme="minorHAnsi" w:hAnsiTheme="minorHAnsi" w:cstheme="minorHAnsi"/>
              </w:rPr>
              <w:lastRenderedPageBreak/>
              <w:t>budou</w:t>
            </w:r>
            <w:r w:rsidR="007D7C70" w:rsidRPr="004541D6">
              <w:rPr>
                <w:rFonts w:asciiTheme="minorHAnsi" w:hAnsiTheme="minorHAnsi" w:cstheme="minorHAnsi"/>
              </w:rPr>
              <w:t xml:space="preserve"> individuálně zacíleny, což přisp</w:t>
            </w:r>
            <w:r w:rsidR="00EC70A6" w:rsidRPr="004541D6">
              <w:rPr>
                <w:rFonts w:asciiTheme="minorHAnsi" w:hAnsiTheme="minorHAnsi" w:cstheme="minorHAnsi"/>
              </w:rPr>
              <w:t>ěje</w:t>
            </w:r>
            <w:r w:rsidR="007D7C70" w:rsidRPr="004541D6">
              <w:rPr>
                <w:rFonts w:asciiTheme="minorHAnsi" w:hAnsiTheme="minorHAnsi" w:cstheme="minorHAnsi"/>
              </w:rPr>
              <w:t xml:space="preserve"> k implementaci personalizované medicíny</w:t>
            </w:r>
            <w:r w:rsidR="00D713F4" w:rsidRPr="004541D6">
              <w:rPr>
                <w:rFonts w:asciiTheme="minorHAnsi" w:hAnsiTheme="minorHAnsi" w:cstheme="minorHAnsi"/>
              </w:rPr>
              <w:t>. Pro kon</w:t>
            </w:r>
            <w:r w:rsidR="007D7C70" w:rsidRPr="004541D6">
              <w:rPr>
                <w:rFonts w:asciiTheme="minorHAnsi" w:hAnsiTheme="minorHAnsi" w:cstheme="minorHAnsi"/>
              </w:rPr>
              <w:t>krétního pacienta</w:t>
            </w:r>
            <w:r w:rsidR="00D713F4" w:rsidRPr="004541D6">
              <w:rPr>
                <w:rFonts w:asciiTheme="minorHAnsi" w:hAnsiTheme="minorHAnsi" w:cstheme="minorHAnsi"/>
              </w:rPr>
              <w:t xml:space="preserve"> bude zvolena </w:t>
            </w:r>
            <w:r w:rsidR="00EE6860" w:rsidRPr="004541D6">
              <w:rPr>
                <w:rFonts w:asciiTheme="minorHAnsi" w:hAnsiTheme="minorHAnsi" w:cstheme="minorHAnsi"/>
              </w:rPr>
              <w:t>individualizovaná terapie resp. „léčba šitá na míru“</w:t>
            </w:r>
            <w:r w:rsidR="00D713F4" w:rsidRPr="004541D6">
              <w:rPr>
                <w:rFonts w:asciiTheme="minorHAnsi" w:hAnsiTheme="minorHAnsi" w:cstheme="minorHAnsi"/>
              </w:rPr>
              <w:t xml:space="preserve"> </w:t>
            </w:r>
            <w:r w:rsidR="00EE6860" w:rsidRPr="004541D6">
              <w:rPr>
                <w:rFonts w:asciiTheme="minorHAnsi" w:hAnsiTheme="minorHAnsi" w:cstheme="minorHAnsi"/>
              </w:rPr>
              <w:t>s cílem</w:t>
            </w:r>
            <w:r w:rsidR="00D713F4" w:rsidRPr="004541D6">
              <w:rPr>
                <w:rFonts w:asciiTheme="minorHAnsi" w:hAnsiTheme="minorHAnsi" w:cstheme="minorHAnsi"/>
              </w:rPr>
              <w:t xml:space="preserve"> </w:t>
            </w:r>
            <w:r w:rsidR="007D7C70" w:rsidRPr="004541D6">
              <w:rPr>
                <w:rFonts w:asciiTheme="minorHAnsi" w:hAnsiTheme="minorHAnsi" w:cstheme="minorHAnsi"/>
              </w:rPr>
              <w:t>optimální</w:t>
            </w:r>
            <w:r w:rsidR="00EE6860" w:rsidRPr="004541D6">
              <w:rPr>
                <w:rFonts w:asciiTheme="minorHAnsi" w:hAnsiTheme="minorHAnsi" w:cstheme="minorHAnsi"/>
              </w:rPr>
              <w:t xml:space="preserve">ho léčebného výsledku a za </w:t>
            </w:r>
            <w:r w:rsidR="007D7C70" w:rsidRPr="004541D6">
              <w:rPr>
                <w:rFonts w:asciiTheme="minorHAnsi" w:hAnsiTheme="minorHAnsi" w:cstheme="minorHAnsi"/>
              </w:rPr>
              <w:t>udrže</w:t>
            </w:r>
            <w:r w:rsidR="00D713F4" w:rsidRPr="004541D6">
              <w:rPr>
                <w:rFonts w:asciiTheme="minorHAnsi" w:hAnsiTheme="minorHAnsi" w:cstheme="minorHAnsi"/>
              </w:rPr>
              <w:t>n</w:t>
            </w:r>
            <w:r w:rsidR="00EE6860" w:rsidRPr="004541D6">
              <w:rPr>
                <w:rFonts w:asciiTheme="minorHAnsi" w:hAnsiTheme="minorHAnsi" w:cstheme="minorHAnsi"/>
              </w:rPr>
              <w:t>í</w:t>
            </w:r>
            <w:r w:rsidR="007D7C70" w:rsidRPr="004541D6">
              <w:rPr>
                <w:rFonts w:asciiTheme="minorHAnsi" w:hAnsiTheme="minorHAnsi" w:cstheme="minorHAnsi"/>
              </w:rPr>
              <w:t xml:space="preserve"> </w:t>
            </w:r>
            <w:r w:rsidR="00EE6860" w:rsidRPr="004541D6">
              <w:rPr>
                <w:rFonts w:asciiTheme="minorHAnsi" w:hAnsiTheme="minorHAnsi" w:cstheme="minorHAnsi"/>
              </w:rPr>
              <w:t xml:space="preserve">co nejvyšší </w:t>
            </w:r>
            <w:r w:rsidR="007D7C70" w:rsidRPr="004541D6">
              <w:rPr>
                <w:rFonts w:asciiTheme="minorHAnsi" w:hAnsiTheme="minorHAnsi" w:cstheme="minorHAnsi"/>
              </w:rPr>
              <w:t>kvality jeho života</w:t>
            </w:r>
            <w:r w:rsidR="00EC70A6" w:rsidRPr="004541D6">
              <w:rPr>
                <w:rFonts w:asciiTheme="minorHAnsi" w:hAnsiTheme="minorHAnsi" w:cstheme="minorHAnsi"/>
              </w:rPr>
              <w:t>.</w:t>
            </w:r>
          </w:p>
        </w:tc>
      </w:tr>
      <w:tr w:rsidR="00200C74" w14:paraId="747C91C2" w14:textId="77777777" w:rsidTr="004A38A9">
        <w:trPr>
          <w:trHeight w:val="1738"/>
        </w:trPr>
        <w:tc>
          <w:tcPr>
            <w:tcW w:w="1838" w:type="dxa"/>
            <w:vAlign w:val="center"/>
          </w:tcPr>
          <w:p w14:paraId="68797EC3" w14:textId="77777777" w:rsidR="00200C74" w:rsidRDefault="00200C74" w:rsidP="002142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Klíčové aktivity:</w:t>
            </w:r>
          </w:p>
        </w:tc>
        <w:tc>
          <w:tcPr>
            <w:tcW w:w="7224" w:type="dxa"/>
            <w:vAlign w:val="center"/>
          </w:tcPr>
          <w:p w14:paraId="5C3CC9A7" w14:textId="16A7A604" w:rsidR="00751F89" w:rsidRPr="004541D6" w:rsidRDefault="00751F89" w:rsidP="00EC70A6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>Hlavní aktivit</w:t>
            </w:r>
            <w:r w:rsidR="00850393" w:rsidRPr="004541D6">
              <w:rPr>
                <w:rFonts w:ascii="Calibri" w:hAnsi="Calibri" w:cs="Calibri"/>
              </w:rPr>
              <w:t>ou</w:t>
            </w:r>
            <w:r w:rsidRPr="004541D6">
              <w:rPr>
                <w:rFonts w:ascii="Calibri" w:hAnsi="Calibri" w:cs="Calibri"/>
              </w:rPr>
              <w:t xml:space="preserve"> projektu </w:t>
            </w:r>
            <w:r w:rsidR="00850393" w:rsidRPr="004541D6">
              <w:rPr>
                <w:rFonts w:ascii="Calibri" w:hAnsi="Calibri" w:cs="Calibri"/>
              </w:rPr>
              <w:t xml:space="preserve">je </w:t>
            </w:r>
            <w:r w:rsidRPr="004541D6">
              <w:rPr>
                <w:rFonts w:ascii="Calibri" w:hAnsi="Calibri" w:cs="Calibri"/>
              </w:rPr>
              <w:t xml:space="preserve">novostavba budovy P4 </w:t>
            </w:r>
            <w:r w:rsidR="005A3560" w:rsidRPr="004541D6">
              <w:rPr>
                <w:rFonts w:ascii="Calibri" w:hAnsi="Calibri" w:cs="Calibri"/>
              </w:rPr>
              <w:t xml:space="preserve">onkologického stacionáře v areálu </w:t>
            </w:r>
            <w:r w:rsidRPr="004541D6">
              <w:rPr>
                <w:rFonts w:ascii="Calibri" w:hAnsi="Calibri" w:cs="Calibri"/>
              </w:rPr>
              <w:t>FN Olomouc</w:t>
            </w:r>
            <w:r w:rsidR="001E2221" w:rsidRPr="004541D6">
              <w:rPr>
                <w:rFonts w:ascii="Calibri" w:hAnsi="Calibri" w:cs="Calibri"/>
              </w:rPr>
              <w:t>.</w:t>
            </w:r>
          </w:p>
          <w:p w14:paraId="1800DF20" w14:textId="4129717B" w:rsidR="00200C74" w:rsidRPr="004541D6" w:rsidRDefault="00751F89" w:rsidP="00844AF4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>Vedlejší aktivit</w:t>
            </w:r>
            <w:r w:rsidR="009D1678" w:rsidRPr="004541D6">
              <w:rPr>
                <w:rFonts w:ascii="Calibri" w:hAnsi="Calibri" w:cs="Calibri"/>
              </w:rPr>
              <w:t xml:space="preserve">ou projektu </w:t>
            </w:r>
            <w:r w:rsidR="00E07392" w:rsidRPr="004541D6">
              <w:rPr>
                <w:rFonts w:ascii="Calibri" w:hAnsi="Calibri" w:cs="Calibri"/>
              </w:rPr>
              <w:t>je plánováno</w:t>
            </w:r>
            <w:r w:rsidR="009D1678" w:rsidRPr="004541D6">
              <w:rPr>
                <w:rFonts w:ascii="Calibri" w:hAnsi="Calibri" w:cs="Calibri"/>
              </w:rPr>
              <w:t xml:space="preserve"> splnění povinné </w:t>
            </w:r>
            <w:proofErr w:type="gramStart"/>
            <w:r w:rsidR="009D1678" w:rsidRPr="004541D6">
              <w:rPr>
                <w:rFonts w:ascii="Calibri" w:hAnsi="Calibri" w:cs="Calibri"/>
              </w:rPr>
              <w:t xml:space="preserve">publicity - </w:t>
            </w:r>
            <w:r w:rsidRPr="004541D6">
              <w:rPr>
                <w:rFonts w:ascii="Calibri" w:hAnsi="Calibri" w:cs="Calibri"/>
              </w:rPr>
              <w:t>dočasný</w:t>
            </w:r>
            <w:proofErr w:type="gramEnd"/>
            <w:r w:rsidRPr="004541D6">
              <w:rPr>
                <w:rFonts w:ascii="Calibri" w:hAnsi="Calibri" w:cs="Calibri"/>
              </w:rPr>
              <w:t xml:space="preserve"> billboard, pamětní deska</w:t>
            </w:r>
            <w:r w:rsidR="009D1678" w:rsidRPr="004541D6">
              <w:rPr>
                <w:rFonts w:ascii="Calibri" w:hAnsi="Calibri" w:cs="Calibri"/>
              </w:rPr>
              <w:t xml:space="preserve">, tisková zpráva, informace o projektu na </w:t>
            </w:r>
            <w:r w:rsidR="00E07392" w:rsidRPr="004541D6">
              <w:rPr>
                <w:rFonts w:ascii="Calibri" w:hAnsi="Calibri" w:cs="Calibri"/>
              </w:rPr>
              <w:t>webové</w:t>
            </w:r>
            <w:r w:rsidR="009D1678" w:rsidRPr="004541D6">
              <w:rPr>
                <w:rFonts w:ascii="Calibri" w:hAnsi="Calibri" w:cs="Calibri"/>
              </w:rPr>
              <w:t xml:space="preserve"> stránce FNOL</w:t>
            </w:r>
          </w:p>
        </w:tc>
      </w:tr>
    </w:tbl>
    <w:p w14:paraId="736E8AE9" w14:textId="1333AFE6" w:rsidR="00200C74" w:rsidRDefault="00200C74" w:rsidP="00200C74"/>
    <w:p w14:paraId="62BC744C" w14:textId="0112B743" w:rsidR="00200C74" w:rsidRDefault="00200C74" w:rsidP="00200C74">
      <w:pPr>
        <w:pStyle w:val="Odstavecseseznamem"/>
        <w:numPr>
          <w:ilvl w:val="0"/>
          <w:numId w:val="2"/>
        </w:numPr>
        <w:rPr>
          <w:b/>
          <w:bCs/>
        </w:rPr>
      </w:pPr>
      <w:r w:rsidRPr="00577095">
        <w:rPr>
          <w:b/>
          <w:bCs/>
        </w:rPr>
        <w:t>Financování projektu</w:t>
      </w:r>
      <w:r w:rsidR="00EB773C"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7"/>
        <w:gridCol w:w="7445"/>
      </w:tblGrid>
      <w:tr w:rsidR="00577095" w14:paraId="660F9CFC" w14:textId="77777777" w:rsidTr="00352BD8">
        <w:trPr>
          <w:trHeight w:val="454"/>
        </w:trPr>
        <w:tc>
          <w:tcPr>
            <w:tcW w:w="1413" w:type="dxa"/>
            <w:vAlign w:val="center"/>
          </w:tcPr>
          <w:p w14:paraId="2DC5BF75" w14:textId="44E8EFBA" w:rsidR="00577095" w:rsidRDefault="00577095" w:rsidP="00214250">
            <w:pPr>
              <w:rPr>
                <w:b/>
                <w:bCs/>
              </w:rPr>
            </w:pPr>
            <w:r>
              <w:rPr>
                <w:b/>
                <w:bCs/>
              </w:rPr>
              <w:t>Celkový rozpočet</w:t>
            </w:r>
            <w:r w:rsidR="005A3560">
              <w:rPr>
                <w:b/>
                <w:bCs/>
              </w:rPr>
              <w:t xml:space="preserve">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7649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19"/>
            </w:tblGrid>
            <w:tr w:rsidR="004541D6" w:rsidRPr="004541D6" w14:paraId="17D9BF8E" w14:textId="77777777" w:rsidTr="0099600B">
              <w:trPr>
                <w:trHeight w:val="3579"/>
              </w:trPr>
              <w:tc>
                <w:tcPr>
                  <w:tcW w:w="9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tbl>
                  <w:tblPr>
                    <w:tblW w:w="79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16"/>
                    <w:gridCol w:w="1559"/>
                    <w:gridCol w:w="1560"/>
                    <w:gridCol w:w="2319"/>
                  </w:tblGrid>
                  <w:tr w:rsidR="004541D6" w:rsidRPr="004541D6" w14:paraId="489002EE" w14:textId="77777777" w:rsidTr="00DB4BEC">
                    <w:tc>
                      <w:tcPr>
                        <w:tcW w:w="2516" w:type="dxa"/>
                      </w:tcPr>
                      <w:p w14:paraId="0DCAB44A" w14:textId="77777777" w:rsidR="00DB4BEC" w:rsidRPr="004541D6" w:rsidRDefault="00DB4BEC" w:rsidP="005A356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9" w:type="dxa"/>
                      </w:tcPr>
                      <w:p w14:paraId="347329B7" w14:textId="318F67C7" w:rsidR="00DB4BEC" w:rsidRPr="004541D6" w:rsidRDefault="00DB4BEC" w:rsidP="005A3560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Cena v Kč bez DPH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114191D" w14:textId="4E96553E" w:rsidR="00DB4BEC" w:rsidRPr="004541D6" w:rsidRDefault="00DB4BEC" w:rsidP="005A3560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2024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3B1439E3" w14:textId="555C0892" w:rsidR="00DB4BEC" w:rsidRPr="004541D6" w:rsidRDefault="00DB4BEC" w:rsidP="005A3560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2025</w:t>
                        </w:r>
                      </w:p>
                    </w:tc>
                  </w:tr>
                  <w:tr w:rsidR="004541D6" w:rsidRPr="004541D6" w14:paraId="532B41A2" w14:textId="77777777" w:rsidTr="00DB4BEC">
                    <w:tc>
                      <w:tcPr>
                        <w:tcW w:w="2516" w:type="dxa"/>
                      </w:tcPr>
                      <w:p w14:paraId="751BD7B7" w14:textId="0D3A70D4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Novostavba budovy P4 – způsobilé náklady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82F7D7F" w14:textId="6927E51D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217 880 000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0EE3ED6" w14:textId="61EF6093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108 940 000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2EED7F72" w14:textId="35DD0F8F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108 940 000</w:t>
                        </w:r>
                        <w:bookmarkStart w:id="0" w:name="_GoBack"/>
                        <w:bookmarkEnd w:id="0"/>
                      </w:p>
                    </w:tc>
                  </w:tr>
                  <w:tr w:rsidR="004541D6" w:rsidRPr="004541D6" w14:paraId="4F763B30" w14:textId="77777777" w:rsidTr="00DB4BEC">
                    <w:tc>
                      <w:tcPr>
                        <w:tcW w:w="2516" w:type="dxa"/>
                      </w:tcPr>
                      <w:p w14:paraId="48DC5325" w14:textId="5048B6D9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Novostavba budovy P4 – nezpůsobilé náklady (</w:t>
                        </w:r>
                        <w:r w:rsidR="00352BD8" w:rsidRPr="004541D6">
                          <w:t xml:space="preserve">realizační, </w:t>
                        </w:r>
                        <w:r w:rsidRPr="004541D6">
                          <w:t>nad limit)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76E84F0" w14:textId="3B1A99F8" w:rsidR="00DB4BEC" w:rsidRPr="004541D6" w:rsidRDefault="00DB4BEC" w:rsidP="00352BD8">
                        <w:pPr>
                          <w:spacing w:after="0" w:line="240" w:lineRule="auto"/>
                        </w:pPr>
                        <w:r w:rsidRPr="004541D6">
                          <w:t xml:space="preserve">2 120 000 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5EEC480" w14:textId="0691A334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1 060</w:t>
                        </w:r>
                        <w:r w:rsidR="00352BD8" w:rsidRPr="004541D6">
                          <w:t> </w:t>
                        </w:r>
                        <w:r w:rsidRPr="004541D6">
                          <w:t>000</w:t>
                        </w:r>
                        <w:r w:rsidR="00352BD8" w:rsidRPr="004541D6">
                          <w:t xml:space="preserve"> 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63F5501E" w14:textId="2695E5F2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1 060 000</w:t>
                        </w:r>
                      </w:p>
                    </w:tc>
                  </w:tr>
                  <w:tr w:rsidR="00352BD8" w:rsidRPr="004541D6" w14:paraId="7E375344" w14:textId="77777777" w:rsidTr="00DB4BEC">
                    <w:tc>
                      <w:tcPr>
                        <w:tcW w:w="2516" w:type="dxa"/>
                      </w:tcPr>
                      <w:p w14:paraId="4B92F417" w14:textId="63434209" w:rsidR="00352BD8" w:rsidRPr="004541D6" w:rsidRDefault="00352BD8" w:rsidP="005A3560">
                        <w:pPr>
                          <w:spacing w:after="0" w:line="240" w:lineRule="auto"/>
                        </w:pPr>
                        <w:r w:rsidRPr="004541D6">
                          <w:t>Novostavba budovy P4 – nezpůsobilé náklady</w:t>
                        </w:r>
                        <w:r w:rsidRPr="004541D6">
                          <w:t xml:space="preserve"> </w:t>
                        </w:r>
                        <w:r w:rsidRPr="004541D6">
                          <w:t>– klinické studie)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FAAF2AA" w14:textId="6A117F5C" w:rsidR="00352BD8" w:rsidRPr="004541D6" w:rsidRDefault="00352BD8" w:rsidP="005A3560">
                        <w:pPr>
                          <w:spacing w:after="0" w:line="240" w:lineRule="auto"/>
                        </w:pPr>
                        <w:r w:rsidRPr="004541D6">
                          <w:t>2 904 973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C2C5B92" w14:textId="35E9AF3C" w:rsidR="00352BD8" w:rsidRPr="004541D6" w:rsidRDefault="00352BD8" w:rsidP="005A3560">
                        <w:pPr>
                          <w:spacing w:after="0" w:line="240" w:lineRule="auto"/>
                        </w:pPr>
                        <w:r w:rsidRPr="004541D6">
                          <w:t>1 452 487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0CC1B487" w14:textId="4D984128" w:rsidR="00352BD8" w:rsidRPr="004541D6" w:rsidRDefault="00352BD8" w:rsidP="005A3560">
                        <w:pPr>
                          <w:spacing w:after="0" w:line="240" w:lineRule="auto"/>
                        </w:pPr>
                        <w:r w:rsidRPr="004541D6">
                          <w:t>1 452 48</w:t>
                        </w:r>
                        <w:r w:rsidR="00376345">
                          <w:t>6</w:t>
                        </w:r>
                      </w:p>
                    </w:tc>
                  </w:tr>
                  <w:tr w:rsidR="004541D6" w:rsidRPr="004541D6" w14:paraId="21612DB4" w14:textId="77777777" w:rsidTr="00DB4BEC">
                    <w:tc>
                      <w:tcPr>
                        <w:tcW w:w="2516" w:type="dxa"/>
                      </w:tcPr>
                      <w:p w14:paraId="23931D59" w14:textId="4E18EE3F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 xml:space="preserve">Novostavba budovy P4 – nezpůsobilé </w:t>
                        </w:r>
                        <w:proofErr w:type="gramStart"/>
                        <w:r w:rsidRPr="004541D6">
                          <w:t xml:space="preserve">náklady </w:t>
                        </w:r>
                        <w:r w:rsidR="00352BD8" w:rsidRPr="004541D6">
                          <w:t>-</w:t>
                        </w:r>
                        <w:r w:rsidRPr="004541D6">
                          <w:t>DPH</w:t>
                        </w:r>
                        <w:proofErr w:type="gramEnd"/>
                      </w:p>
                    </w:tc>
                    <w:tc>
                      <w:tcPr>
                        <w:tcW w:w="1559" w:type="dxa"/>
                      </w:tcPr>
                      <w:p w14:paraId="5DD9AED4" w14:textId="7ADC6129" w:rsidR="00DB4BEC" w:rsidRPr="004541D6" w:rsidRDefault="00352BD8" w:rsidP="005A3560">
                        <w:pPr>
                          <w:spacing w:after="0" w:line="240" w:lineRule="auto"/>
                        </w:pPr>
                        <w:r w:rsidRPr="004541D6">
                          <w:t>45 754 800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314F082" w14:textId="7150A7C0" w:rsidR="00DB4BEC" w:rsidRPr="004541D6" w:rsidRDefault="00352BD8" w:rsidP="005A3560">
                        <w:pPr>
                          <w:spacing w:after="0" w:line="240" w:lineRule="auto"/>
                        </w:pPr>
                        <w:r w:rsidRPr="004541D6">
                          <w:t>23 405 022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555B5782" w14:textId="7ED995EC" w:rsidR="00DB4BEC" w:rsidRPr="004541D6" w:rsidRDefault="00352BD8" w:rsidP="005A3560">
                        <w:pPr>
                          <w:spacing w:after="0" w:line="240" w:lineRule="auto"/>
                        </w:pPr>
                        <w:r w:rsidRPr="004541D6">
                          <w:t>23 405 022</w:t>
                        </w:r>
                      </w:p>
                    </w:tc>
                  </w:tr>
                  <w:tr w:rsidR="004541D6" w:rsidRPr="004541D6" w14:paraId="244AC6B1" w14:textId="77777777" w:rsidTr="00DB4BEC">
                    <w:tc>
                      <w:tcPr>
                        <w:tcW w:w="2516" w:type="dxa"/>
                      </w:tcPr>
                      <w:p w14:paraId="05C980B9" w14:textId="28D0E29A" w:rsidR="00DB4BEC" w:rsidRPr="004541D6" w:rsidRDefault="00DB4BEC" w:rsidP="005A3560">
                        <w:pPr>
                          <w:spacing w:after="0" w:line="240" w:lineRule="auto"/>
                        </w:pPr>
                        <w:proofErr w:type="gramStart"/>
                        <w:r w:rsidRPr="004541D6">
                          <w:t>Publicita</w:t>
                        </w:r>
                        <w:r w:rsidR="004541D6">
                          <w:t xml:space="preserve"> - způsobilá</w:t>
                        </w:r>
                        <w:proofErr w:type="gramEnd"/>
                      </w:p>
                    </w:tc>
                    <w:tc>
                      <w:tcPr>
                        <w:tcW w:w="1559" w:type="dxa"/>
                      </w:tcPr>
                      <w:p w14:paraId="1E5BFC58" w14:textId="6D63E4B8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20 000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9EC8C37" w14:textId="219FDF9E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15 000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12CC086E" w14:textId="7A77941A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5 000</w:t>
                        </w:r>
                      </w:p>
                    </w:tc>
                  </w:tr>
                  <w:tr w:rsidR="004541D6" w:rsidRPr="004541D6" w14:paraId="33D525F9" w14:textId="77777777" w:rsidTr="004541D6">
                    <w:trPr>
                      <w:trHeight w:val="522"/>
                    </w:trPr>
                    <w:tc>
                      <w:tcPr>
                        <w:tcW w:w="2516" w:type="dxa"/>
                      </w:tcPr>
                      <w:p w14:paraId="63B53676" w14:textId="1A648C5A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Celkem</w:t>
                        </w:r>
                        <w:r w:rsidR="00C243D7">
                          <w:t xml:space="preserve"> bez DPH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9F7359E" w14:textId="420CE2BD" w:rsidR="00DB4BEC" w:rsidRPr="004541D6" w:rsidRDefault="00DB4BEC" w:rsidP="005A3560">
                        <w:pPr>
                          <w:spacing w:after="0" w:line="240" w:lineRule="auto"/>
                        </w:pPr>
                        <w:r w:rsidRPr="004541D6">
                          <w:t>22</w:t>
                        </w:r>
                        <w:r w:rsidR="004541D6">
                          <w:t>2 9</w:t>
                        </w:r>
                        <w:r w:rsidR="00C243D7">
                          <w:t>2</w:t>
                        </w:r>
                        <w:r w:rsidR="004541D6">
                          <w:t>4 973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BD0C5B0" w14:textId="25ABD07F" w:rsidR="00DB4BEC" w:rsidRPr="004541D6" w:rsidRDefault="00C243D7" w:rsidP="005A3560">
                        <w:pPr>
                          <w:spacing w:after="0" w:line="240" w:lineRule="auto"/>
                        </w:pPr>
                        <w:r>
                          <w:t>111 467 487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733CE23A" w14:textId="1182C411" w:rsidR="00DB4BEC" w:rsidRPr="004541D6" w:rsidRDefault="00C243D7" w:rsidP="005A3560">
                        <w:pPr>
                          <w:spacing w:after="0" w:line="240" w:lineRule="auto"/>
                        </w:pPr>
                        <w:r>
                          <w:t>111 457 48</w:t>
                        </w:r>
                        <w:r w:rsidR="00376345">
                          <w:t>6</w:t>
                        </w:r>
                      </w:p>
                    </w:tc>
                  </w:tr>
                </w:tbl>
                <w:p w14:paraId="131E98D4" w14:textId="47BCAFAC" w:rsidR="0034431D" w:rsidRPr="004541D6" w:rsidRDefault="0034431D" w:rsidP="0034431D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64EBF5A" w14:textId="7B01C40A" w:rsidR="00577095" w:rsidRPr="004541D6" w:rsidRDefault="00577095" w:rsidP="00214250"/>
        </w:tc>
      </w:tr>
      <w:tr w:rsidR="00577095" w14:paraId="0CC68607" w14:textId="77777777" w:rsidTr="00352BD8">
        <w:trPr>
          <w:trHeight w:val="454"/>
        </w:trPr>
        <w:tc>
          <w:tcPr>
            <w:tcW w:w="1413" w:type="dxa"/>
            <w:vAlign w:val="center"/>
          </w:tcPr>
          <w:p w14:paraId="00065FB8" w14:textId="656CA7F8" w:rsidR="00577095" w:rsidRDefault="00577095" w:rsidP="00214250">
            <w:pPr>
              <w:rPr>
                <w:b/>
                <w:bCs/>
              </w:rPr>
            </w:pPr>
            <w:r>
              <w:rPr>
                <w:b/>
                <w:bCs/>
              </w:rPr>
              <w:t>Zdroje financování:</w:t>
            </w:r>
          </w:p>
        </w:tc>
        <w:tc>
          <w:tcPr>
            <w:tcW w:w="7649" w:type="dxa"/>
            <w:vAlign w:val="center"/>
          </w:tcPr>
          <w:p w14:paraId="7D44860C" w14:textId="0ABBFE79" w:rsidR="004541D6" w:rsidRPr="004541D6" w:rsidRDefault="00FF5B01" w:rsidP="004541D6">
            <w:r w:rsidRPr="004541D6">
              <w:t>Národní plán obnovy</w:t>
            </w:r>
            <w:r w:rsidR="004541D6">
              <w:t xml:space="preserve"> – způsobilé výdaje ve výši</w:t>
            </w:r>
            <w:r w:rsidR="004541D6" w:rsidRPr="004541D6">
              <w:t xml:space="preserve"> 217 900 000 Kč</w:t>
            </w:r>
            <w:r w:rsidR="004541D6">
              <w:t>,</w:t>
            </w:r>
            <w:r w:rsidR="004541D6" w:rsidRPr="004541D6">
              <w:t xml:space="preserve"> tj. 100 % způsobilých výdajů projektu</w:t>
            </w:r>
          </w:p>
          <w:p w14:paraId="0F92C61A" w14:textId="523EA13E" w:rsidR="00577095" w:rsidRPr="004541D6" w:rsidRDefault="0020120A" w:rsidP="00214250">
            <w:r w:rsidRPr="004541D6">
              <w:t>vlastní zdroje FNOL</w:t>
            </w:r>
            <w:r w:rsidR="004541D6">
              <w:t xml:space="preserve"> – nezpůsobilé výdaje</w:t>
            </w:r>
          </w:p>
        </w:tc>
      </w:tr>
      <w:tr w:rsidR="00577095" w14:paraId="02A059C1" w14:textId="77777777" w:rsidTr="00352BD8">
        <w:trPr>
          <w:trHeight w:val="454"/>
        </w:trPr>
        <w:tc>
          <w:tcPr>
            <w:tcW w:w="1413" w:type="dxa"/>
            <w:vAlign w:val="center"/>
          </w:tcPr>
          <w:p w14:paraId="34C6EDE1" w14:textId="7000AFFE" w:rsidR="00577095" w:rsidRDefault="00577095" w:rsidP="00214250">
            <w:pPr>
              <w:rPr>
                <w:b/>
                <w:bCs/>
              </w:rPr>
            </w:pPr>
            <w:r>
              <w:rPr>
                <w:b/>
                <w:bCs/>
              </w:rPr>
              <w:t>Výše spolufinancování:</w:t>
            </w:r>
          </w:p>
        </w:tc>
        <w:tc>
          <w:tcPr>
            <w:tcW w:w="7649" w:type="dxa"/>
            <w:vAlign w:val="center"/>
          </w:tcPr>
          <w:p w14:paraId="556D04E7" w14:textId="74FE1C81" w:rsidR="007C74D3" w:rsidRPr="004541D6" w:rsidRDefault="0020120A" w:rsidP="0020120A">
            <w:r w:rsidRPr="004541D6">
              <w:t>Předpokládané celkové výdaje projektu</w:t>
            </w:r>
            <w:r w:rsidR="00E83CD9" w:rsidRPr="004541D6">
              <w:t xml:space="preserve"> </w:t>
            </w:r>
            <w:r w:rsidR="00352BD8" w:rsidRPr="004541D6">
              <w:t>222 924 973</w:t>
            </w:r>
            <w:r w:rsidRPr="004541D6">
              <w:t xml:space="preserve"> Kč bez DPH, z toho způsobilé výdaje projektu ve výši 217 900 000 mil. Kč bez DPH</w:t>
            </w:r>
            <w:r w:rsidR="004541D6">
              <w:t xml:space="preserve"> </w:t>
            </w:r>
            <w:r w:rsidRPr="004541D6">
              <w:t xml:space="preserve">budou hrazeny z 100 % z dotace Národního plánu obnovy. </w:t>
            </w:r>
          </w:p>
          <w:p w14:paraId="7E9D8CC5" w14:textId="03C5C6EC" w:rsidR="00256CE2" w:rsidRPr="004541D6" w:rsidRDefault="00256CE2" w:rsidP="0020120A">
            <w:r w:rsidRPr="004541D6">
              <w:t xml:space="preserve">Nezpůsobilé výdaje projektu </w:t>
            </w:r>
            <w:r w:rsidR="0020120A" w:rsidRPr="004541D6">
              <w:t>bud</w:t>
            </w:r>
            <w:r w:rsidRPr="004541D6">
              <w:t>ou hrazeny z vlastních zdrojů FNOL, jedná se o:</w:t>
            </w:r>
            <w:r w:rsidR="0020120A" w:rsidRPr="004541D6">
              <w:t xml:space="preserve"> </w:t>
            </w:r>
          </w:p>
          <w:p w14:paraId="769D7D6B" w14:textId="77777777" w:rsidR="00256CE2" w:rsidRPr="004541D6" w:rsidRDefault="0020120A" w:rsidP="007C74D3">
            <w:pPr>
              <w:pStyle w:val="Odstavecseseznamem"/>
              <w:numPr>
                <w:ilvl w:val="0"/>
                <w:numId w:val="14"/>
              </w:numPr>
            </w:pPr>
            <w:r w:rsidRPr="004541D6">
              <w:t>DPH</w:t>
            </w:r>
            <w:r w:rsidR="00256CE2" w:rsidRPr="004541D6">
              <w:t xml:space="preserve">, </w:t>
            </w:r>
          </w:p>
          <w:p w14:paraId="4EA09C7D" w14:textId="77586FA3" w:rsidR="00577095" w:rsidRPr="004541D6" w:rsidRDefault="00256CE2" w:rsidP="007C74D3">
            <w:pPr>
              <w:pStyle w:val="Odstavecseseznamem"/>
              <w:numPr>
                <w:ilvl w:val="0"/>
                <w:numId w:val="14"/>
              </w:numPr>
            </w:pPr>
            <w:r w:rsidRPr="004541D6">
              <w:t>část realizačních výdajů</w:t>
            </w:r>
            <w:r w:rsidR="0020120A" w:rsidRPr="004541D6">
              <w:t xml:space="preserve"> (</w:t>
            </w:r>
            <w:r w:rsidRPr="004541D6">
              <w:t>věcně i finančně z důvodu nad limitu</w:t>
            </w:r>
            <w:r w:rsidR="0020120A" w:rsidRPr="004541D6">
              <w:t>) ve výši</w:t>
            </w:r>
            <w:r w:rsidR="00E83CD9" w:rsidRPr="004541D6">
              <w:t xml:space="preserve"> </w:t>
            </w:r>
            <w:r w:rsidR="00352BD8" w:rsidRPr="004541D6">
              <w:t>5 024 973</w:t>
            </w:r>
            <w:r w:rsidR="00E83CD9" w:rsidRPr="004541D6">
              <w:t xml:space="preserve"> </w:t>
            </w:r>
            <w:r w:rsidR="0020120A" w:rsidRPr="004541D6">
              <w:t>mil. Kč</w:t>
            </w:r>
            <w:r w:rsidR="004541D6" w:rsidRPr="004541D6">
              <w:t xml:space="preserve"> bez DPH.</w:t>
            </w:r>
          </w:p>
        </w:tc>
      </w:tr>
      <w:tr w:rsidR="00577095" w14:paraId="4E075E55" w14:textId="77777777" w:rsidTr="00352BD8">
        <w:trPr>
          <w:trHeight w:val="454"/>
        </w:trPr>
        <w:tc>
          <w:tcPr>
            <w:tcW w:w="1413" w:type="dxa"/>
            <w:vAlign w:val="center"/>
          </w:tcPr>
          <w:p w14:paraId="37106C9D" w14:textId="0473D72B" w:rsidR="00577095" w:rsidRDefault="00577095" w:rsidP="00214250">
            <w:pPr>
              <w:rPr>
                <w:b/>
                <w:bCs/>
              </w:rPr>
            </w:pPr>
            <w:r>
              <w:rPr>
                <w:b/>
                <w:bCs/>
              </w:rPr>
              <w:t>Plánované rozložení nákladů do let:</w:t>
            </w:r>
          </w:p>
        </w:tc>
        <w:tc>
          <w:tcPr>
            <w:tcW w:w="7649" w:type="dxa"/>
            <w:vAlign w:val="center"/>
          </w:tcPr>
          <w:p w14:paraId="0C23A1EB" w14:textId="4B180D0F" w:rsidR="00577095" w:rsidRPr="005A3560" w:rsidRDefault="0020120A" w:rsidP="00214250">
            <w:r w:rsidRPr="005A3560">
              <w:t>Viz Celkový rozpočet</w:t>
            </w:r>
            <w:r w:rsidR="00844AF4">
              <w:t xml:space="preserve"> projektu</w:t>
            </w:r>
          </w:p>
        </w:tc>
      </w:tr>
    </w:tbl>
    <w:p w14:paraId="05BB9B30" w14:textId="375430EF" w:rsidR="00577095" w:rsidRDefault="00577095" w:rsidP="00577095"/>
    <w:p w14:paraId="06D3D66F" w14:textId="49669903" w:rsidR="00200C74" w:rsidRPr="00062B52" w:rsidRDefault="00200C74" w:rsidP="00200C74">
      <w:pPr>
        <w:pStyle w:val="Odstavecseseznamem"/>
        <w:numPr>
          <w:ilvl w:val="0"/>
          <w:numId w:val="2"/>
        </w:numPr>
        <w:rPr>
          <w:b/>
          <w:bCs/>
        </w:rPr>
      </w:pPr>
      <w:r w:rsidRPr="00577095">
        <w:rPr>
          <w:b/>
          <w:bCs/>
        </w:rPr>
        <w:t>Doba realizace projektu</w:t>
      </w:r>
      <w:r w:rsidR="00EB773C">
        <w:rPr>
          <w:b/>
          <w:bCs/>
        </w:rPr>
        <w:t xml:space="preserve"> </w:t>
      </w:r>
      <w:r w:rsidR="005A3560" w:rsidRPr="00062B52">
        <w:t>1.1</w:t>
      </w:r>
      <w:r w:rsidR="00062B52" w:rsidRPr="00062B52">
        <w:t>2</w:t>
      </w:r>
      <w:r w:rsidR="005A3560" w:rsidRPr="00062B52">
        <w:t>.202</w:t>
      </w:r>
      <w:r w:rsidR="00062B52" w:rsidRPr="00062B52">
        <w:t>3</w:t>
      </w:r>
      <w:r w:rsidR="005A3560" w:rsidRPr="00062B52">
        <w:t xml:space="preserve"> – 31.1.202</w:t>
      </w:r>
      <w:r w:rsidR="00062B52" w:rsidRPr="00062B52">
        <w:t>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3560" w14:paraId="665548BF" w14:textId="77777777" w:rsidTr="005A3560">
        <w:trPr>
          <w:trHeight w:val="2513"/>
        </w:trPr>
        <w:tc>
          <w:tcPr>
            <w:tcW w:w="9062" w:type="dxa"/>
          </w:tcPr>
          <w:p w14:paraId="7893A6A5" w14:textId="4931AC6A" w:rsidR="005A3560" w:rsidRPr="005A3560" w:rsidRDefault="005A3560" w:rsidP="005A3560">
            <w:r w:rsidRPr="005A3560">
              <w:lastRenderedPageBreak/>
              <w:t xml:space="preserve">Rámcový harmonogram projektu – projekt bude </w:t>
            </w:r>
            <w:proofErr w:type="spellStart"/>
            <w:r w:rsidRPr="005A3560">
              <w:t>jednoetapový</w:t>
            </w:r>
            <w:proofErr w:type="spellEnd"/>
            <w:r w:rsidRPr="005A3560">
              <w:t xml:space="preserve"> </w:t>
            </w:r>
          </w:p>
          <w:tbl>
            <w:tblPr>
              <w:tblW w:w="9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98"/>
              <w:gridCol w:w="2699"/>
            </w:tblGrid>
            <w:tr w:rsidR="005A3560" w:rsidRPr="00377F92" w14:paraId="2C8C7FF9" w14:textId="77777777" w:rsidTr="00D77B93">
              <w:tc>
                <w:tcPr>
                  <w:tcW w:w="6498" w:type="dxa"/>
                </w:tcPr>
                <w:p w14:paraId="536CEEAB" w14:textId="77777777" w:rsidR="005A3560" w:rsidRPr="005A3560" w:rsidRDefault="005A3560" w:rsidP="005A3560">
                  <w:r w:rsidRPr="005A3560">
                    <w:t>Aktivita</w:t>
                  </w:r>
                </w:p>
              </w:tc>
              <w:tc>
                <w:tcPr>
                  <w:tcW w:w="2699" w:type="dxa"/>
                </w:tcPr>
                <w:p w14:paraId="150CF129" w14:textId="77777777" w:rsidR="005A3560" w:rsidRPr="005A3560" w:rsidRDefault="005A3560" w:rsidP="005A3560">
                  <w:r w:rsidRPr="005A3560">
                    <w:t>Rámcový termín</w:t>
                  </w:r>
                </w:p>
              </w:tc>
            </w:tr>
            <w:tr w:rsidR="005A3560" w:rsidRPr="00377F92" w14:paraId="240D552C" w14:textId="77777777" w:rsidTr="00D77B93">
              <w:tc>
                <w:tcPr>
                  <w:tcW w:w="6498" w:type="dxa"/>
                </w:tcPr>
                <w:p w14:paraId="7026F23F" w14:textId="77777777" w:rsidR="005A3560" w:rsidRPr="00304A1B" w:rsidRDefault="005A3560" w:rsidP="005A3560">
                  <w:r w:rsidRPr="00304A1B">
                    <w:t>Rozhodnutí o poskytnutí dotace</w:t>
                  </w:r>
                </w:p>
              </w:tc>
              <w:tc>
                <w:tcPr>
                  <w:tcW w:w="2699" w:type="dxa"/>
                </w:tcPr>
                <w:p w14:paraId="212859E4" w14:textId="77777777" w:rsidR="005A3560" w:rsidRPr="00304A1B" w:rsidRDefault="005A3560" w:rsidP="005A3560">
                  <w:r w:rsidRPr="00304A1B">
                    <w:t>1.12.2023</w:t>
                  </w:r>
                </w:p>
              </w:tc>
            </w:tr>
            <w:tr w:rsidR="005A3560" w:rsidRPr="00377F92" w14:paraId="1E8BC7C7" w14:textId="77777777" w:rsidTr="00D77B93">
              <w:tc>
                <w:tcPr>
                  <w:tcW w:w="6498" w:type="dxa"/>
                </w:tcPr>
                <w:p w14:paraId="2E894E8E" w14:textId="77777777" w:rsidR="005A3560" w:rsidRPr="00304A1B" w:rsidRDefault="005A3560" w:rsidP="005A3560">
                  <w:r w:rsidRPr="00304A1B">
                    <w:t>Realizace veřejné zakázky na zhotovitele stavby</w:t>
                  </w:r>
                </w:p>
              </w:tc>
              <w:tc>
                <w:tcPr>
                  <w:tcW w:w="2699" w:type="dxa"/>
                </w:tcPr>
                <w:p w14:paraId="649761B2" w14:textId="5970DCD8" w:rsidR="005A3560" w:rsidRPr="00304A1B" w:rsidRDefault="005A3560" w:rsidP="005A3560">
                  <w:r w:rsidRPr="00304A1B">
                    <w:t>1.12.2023 – 31.</w:t>
                  </w:r>
                  <w:r w:rsidR="00304A1B" w:rsidRPr="00304A1B">
                    <w:t>3</w:t>
                  </w:r>
                  <w:r w:rsidRPr="00304A1B">
                    <w:t>.2024</w:t>
                  </w:r>
                </w:p>
              </w:tc>
            </w:tr>
            <w:tr w:rsidR="005A3560" w:rsidRPr="00377F92" w14:paraId="0AF5B0D5" w14:textId="77777777" w:rsidTr="00D77B93">
              <w:tc>
                <w:tcPr>
                  <w:tcW w:w="6498" w:type="dxa"/>
                </w:tcPr>
                <w:p w14:paraId="737BD629" w14:textId="77777777" w:rsidR="005A3560" w:rsidRPr="00304A1B" w:rsidRDefault="005A3560" w:rsidP="005A3560">
                  <w:r w:rsidRPr="00304A1B">
                    <w:t>Realizace stavby</w:t>
                  </w:r>
                </w:p>
              </w:tc>
              <w:tc>
                <w:tcPr>
                  <w:tcW w:w="2699" w:type="dxa"/>
                </w:tcPr>
                <w:p w14:paraId="70D3DDED" w14:textId="18030CDD" w:rsidR="005A3560" w:rsidRPr="00304A1B" w:rsidRDefault="005A3560" w:rsidP="005A3560">
                  <w:r w:rsidRPr="00304A1B">
                    <w:t>1.</w:t>
                  </w:r>
                  <w:r w:rsidR="00304A1B" w:rsidRPr="00304A1B">
                    <w:t>4</w:t>
                  </w:r>
                  <w:r w:rsidRPr="00304A1B">
                    <w:t>.2024 – 30.9.2025</w:t>
                  </w:r>
                </w:p>
              </w:tc>
            </w:tr>
            <w:tr w:rsidR="00E300A9" w:rsidRPr="00377F92" w14:paraId="0A88F019" w14:textId="77777777" w:rsidTr="00D77B93">
              <w:tc>
                <w:tcPr>
                  <w:tcW w:w="6498" w:type="dxa"/>
                </w:tcPr>
                <w:p w14:paraId="34229668" w14:textId="07AE924B" w:rsidR="00E300A9" w:rsidRPr="00304A1B" w:rsidRDefault="00E300A9" w:rsidP="005A3560">
                  <w:r w:rsidRPr="00304A1B">
                    <w:t xml:space="preserve">Kolaudační rozhodnutí </w:t>
                  </w:r>
                </w:p>
              </w:tc>
              <w:tc>
                <w:tcPr>
                  <w:tcW w:w="2699" w:type="dxa"/>
                </w:tcPr>
                <w:p w14:paraId="2DF0D0D9" w14:textId="5FD8AB8E" w:rsidR="00E300A9" w:rsidRPr="00304A1B" w:rsidRDefault="008237C6" w:rsidP="005A3560">
                  <w:r w:rsidRPr="00304A1B">
                    <w:t>31.1.2026</w:t>
                  </w:r>
                </w:p>
              </w:tc>
            </w:tr>
          </w:tbl>
          <w:p w14:paraId="0E8D85DE" w14:textId="77777777" w:rsidR="005A3560" w:rsidRDefault="005A3560" w:rsidP="005A3560"/>
        </w:tc>
      </w:tr>
    </w:tbl>
    <w:p w14:paraId="1448C324" w14:textId="550B20EF" w:rsidR="00577095" w:rsidRDefault="00577095" w:rsidP="00577095"/>
    <w:p w14:paraId="7D1872B2" w14:textId="3143943E" w:rsidR="00FE3C2B" w:rsidRDefault="00FE3C2B" w:rsidP="00020CFC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C2B" w14:paraId="7549DD06" w14:textId="77777777" w:rsidTr="004A38A9">
        <w:trPr>
          <w:trHeight w:val="454"/>
        </w:trPr>
        <w:tc>
          <w:tcPr>
            <w:tcW w:w="2122" w:type="dxa"/>
            <w:vAlign w:val="center"/>
          </w:tcPr>
          <w:p w14:paraId="3121CE3E" w14:textId="4CD478FC" w:rsidR="00FE3C2B" w:rsidRDefault="00FE3C2B" w:rsidP="00E45CE7">
            <w:pPr>
              <w:rPr>
                <w:b/>
                <w:bCs/>
              </w:rPr>
            </w:pPr>
            <w:r>
              <w:rPr>
                <w:b/>
                <w:bCs/>
              </w:rPr>
              <w:t>Relevantní specifický cíl /specifické cíle Zdraví 2030:</w:t>
            </w:r>
          </w:p>
        </w:tc>
        <w:tc>
          <w:tcPr>
            <w:tcW w:w="6940" w:type="dxa"/>
            <w:vAlign w:val="center"/>
          </w:tcPr>
          <w:p w14:paraId="1F16B260" w14:textId="52A6B212" w:rsidR="00FE3C2B" w:rsidRPr="004541D6" w:rsidRDefault="007C74D3" w:rsidP="00EC70A6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 xml:space="preserve">Realizací projektu budou </w:t>
            </w:r>
            <w:r w:rsidR="00131B4C" w:rsidRPr="004541D6">
              <w:rPr>
                <w:rFonts w:ascii="Calibri" w:hAnsi="Calibri" w:cs="Calibri"/>
              </w:rPr>
              <w:t>naplněny specifické a dílčí cíle NOPL 2030:</w:t>
            </w:r>
          </w:p>
          <w:p w14:paraId="79275DD4" w14:textId="77777777" w:rsidR="00031E0E" w:rsidRPr="004541D6" w:rsidRDefault="00031E0E" w:rsidP="00EC70A6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>Návaznost na strategie: Evropský plán boje proti rakovině (</w:t>
            </w:r>
            <w:proofErr w:type="spellStart"/>
            <w:r w:rsidRPr="004541D6">
              <w:rPr>
                <w:rFonts w:ascii="Calibri" w:hAnsi="Calibri" w:cs="Calibri"/>
              </w:rPr>
              <w:t>Europe’s</w:t>
            </w:r>
            <w:proofErr w:type="spellEnd"/>
            <w:r w:rsidRPr="004541D6">
              <w:rPr>
                <w:rFonts w:ascii="Calibri" w:hAnsi="Calibri" w:cs="Calibri"/>
              </w:rPr>
              <w:t xml:space="preserve"> </w:t>
            </w:r>
            <w:proofErr w:type="spellStart"/>
            <w:r w:rsidRPr="004541D6">
              <w:rPr>
                <w:rFonts w:ascii="Calibri" w:hAnsi="Calibri" w:cs="Calibri"/>
              </w:rPr>
              <w:t>Beating</w:t>
            </w:r>
            <w:proofErr w:type="spellEnd"/>
            <w:r w:rsidRPr="004541D6">
              <w:rPr>
                <w:rFonts w:ascii="Calibri" w:hAnsi="Calibri" w:cs="Calibri"/>
              </w:rPr>
              <w:t xml:space="preserve"> </w:t>
            </w:r>
            <w:proofErr w:type="spellStart"/>
            <w:r w:rsidRPr="004541D6">
              <w:rPr>
                <w:rFonts w:ascii="Calibri" w:hAnsi="Calibri" w:cs="Calibri"/>
              </w:rPr>
              <w:t>Cancer</w:t>
            </w:r>
            <w:proofErr w:type="spellEnd"/>
            <w:r w:rsidRPr="004541D6">
              <w:rPr>
                <w:rFonts w:ascii="Calibri" w:hAnsi="Calibri" w:cs="Calibri"/>
              </w:rPr>
              <w:t xml:space="preserve"> </w:t>
            </w:r>
            <w:proofErr w:type="spellStart"/>
            <w:r w:rsidRPr="004541D6">
              <w:rPr>
                <w:rFonts w:ascii="Calibri" w:hAnsi="Calibri" w:cs="Calibri"/>
              </w:rPr>
              <w:t>Plan</w:t>
            </w:r>
            <w:proofErr w:type="spellEnd"/>
            <w:r w:rsidRPr="004541D6">
              <w:rPr>
                <w:rFonts w:ascii="Calibri" w:hAnsi="Calibri" w:cs="Calibri"/>
              </w:rPr>
              <w:t>) definuje, že do roku 2030 má mít 90 % potřebných pacientů přístup do vysoce specializovaných center. Stejný cíl přebírá rovněž Národní onkologický plán ČR 2030 (NOPL 2030), jmenovitě mají být naplněny především následující specifické a dílčí cíle NOPL 2030:</w:t>
            </w:r>
          </w:p>
          <w:p w14:paraId="76478F7D" w14:textId="77777777" w:rsidR="00031E0E" w:rsidRPr="004541D6" w:rsidRDefault="00031E0E" w:rsidP="00EC70A6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>3.2 Zajištění rozvoje personalizované medicíny</w:t>
            </w:r>
          </w:p>
          <w:p w14:paraId="3258A9D1" w14:textId="77777777" w:rsidR="00031E0E" w:rsidRPr="004541D6" w:rsidRDefault="00031E0E" w:rsidP="00EC70A6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>3.2.2 Zvýšení kapacity pokročilých molekulárně biologických metod umožňujících personalizovanou cílenou terapii,</w:t>
            </w:r>
          </w:p>
          <w:p w14:paraId="0E779710" w14:textId="77777777" w:rsidR="00031E0E" w:rsidRPr="004541D6" w:rsidRDefault="00031E0E" w:rsidP="00EC70A6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 xml:space="preserve">3.2.3 Zvýšení dostupnosti cílené personalizované léčby, pokročilých metod radioterapie a pokročilých chirurgických metod, včetně </w:t>
            </w:r>
            <w:proofErr w:type="spellStart"/>
            <w:r w:rsidRPr="004541D6">
              <w:rPr>
                <w:rFonts w:ascii="Calibri" w:hAnsi="Calibri" w:cs="Calibri"/>
              </w:rPr>
              <w:t>miniinvazivní</w:t>
            </w:r>
            <w:proofErr w:type="spellEnd"/>
            <w:r w:rsidRPr="004541D6">
              <w:rPr>
                <w:rFonts w:ascii="Calibri" w:hAnsi="Calibri" w:cs="Calibri"/>
              </w:rPr>
              <w:t xml:space="preserve"> chirurgie;</w:t>
            </w:r>
          </w:p>
          <w:p w14:paraId="1CEAF604" w14:textId="77777777" w:rsidR="00031E0E" w:rsidRPr="004541D6" w:rsidRDefault="00031E0E" w:rsidP="00EC70A6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 xml:space="preserve">4.2 Zlepšení stavu infrastruktury jednotlivých poskytovatelů onkologické a </w:t>
            </w:r>
            <w:proofErr w:type="spellStart"/>
            <w:r w:rsidRPr="004541D6">
              <w:rPr>
                <w:rFonts w:ascii="Calibri" w:hAnsi="Calibri" w:cs="Calibri"/>
              </w:rPr>
              <w:t>hematoonkologické</w:t>
            </w:r>
            <w:proofErr w:type="spellEnd"/>
            <w:r w:rsidRPr="004541D6">
              <w:rPr>
                <w:rFonts w:ascii="Calibri" w:hAnsi="Calibri" w:cs="Calibri"/>
              </w:rPr>
              <w:t xml:space="preserve"> péče</w:t>
            </w:r>
          </w:p>
          <w:p w14:paraId="7CECA994" w14:textId="77777777" w:rsidR="00031E0E" w:rsidRPr="004541D6" w:rsidRDefault="00031E0E" w:rsidP="00EC70A6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>4.2.1 Podpora rozvoje infrastruktury a vybavení KOC a HOC (pro dospělé i dětské pacienty),</w:t>
            </w:r>
          </w:p>
          <w:p w14:paraId="1E328077" w14:textId="77777777" w:rsidR="00031E0E" w:rsidRPr="004541D6" w:rsidRDefault="00031E0E" w:rsidP="00EC70A6">
            <w:pPr>
              <w:pStyle w:val="Textkomente"/>
              <w:rPr>
                <w:rFonts w:ascii="Calibri" w:hAnsi="Calibri" w:cs="Calibri"/>
              </w:rPr>
            </w:pPr>
            <w:r w:rsidRPr="004541D6">
              <w:rPr>
                <w:rFonts w:ascii="Calibri" w:hAnsi="Calibri" w:cs="Calibri"/>
              </w:rPr>
              <w:t>4.2.3 Zvýšení dostupnosti onkologické péče ve specifických regionech.</w:t>
            </w:r>
          </w:p>
          <w:p w14:paraId="78F1F4D1" w14:textId="1ED2FBE8" w:rsidR="00131B4C" w:rsidRPr="004541D6" w:rsidRDefault="00131B4C" w:rsidP="00EC70A6">
            <w:pPr>
              <w:pStyle w:val="Textkomente"/>
              <w:rPr>
                <w:rFonts w:ascii="Calibri" w:hAnsi="Calibri" w:cs="Calibri"/>
                <w:i/>
                <w:color w:val="00B050"/>
                <w:sz w:val="20"/>
              </w:rPr>
            </w:pPr>
          </w:p>
        </w:tc>
      </w:tr>
      <w:tr w:rsidR="00FE3C2B" w14:paraId="0141BE31" w14:textId="77777777" w:rsidTr="004A38A9">
        <w:trPr>
          <w:trHeight w:val="454"/>
        </w:trPr>
        <w:tc>
          <w:tcPr>
            <w:tcW w:w="2122" w:type="dxa"/>
            <w:vAlign w:val="center"/>
          </w:tcPr>
          <w:p w14:paraId="2DB12CFC" w14:textId="16443EDF" w:rsidR="00FE3C2B" w:rsidRDefault="00FE3C2B" w:rsidP="00E45C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Relevantní cíle jiných strategických a koncepčních dokumentů: </w:t>
            </w:r>
          </w:p>
        </w:tc>
        <w:tc>
          <w:tcPr>
            <w:tcW w:w="6940" w:type="dxa"/>
            <w:vAlign w:val="center"/>
          </w:tcPr>
          <w:p w14:paraId="0117987E" w14:textId="320742E7" w:rsidR="00FE3C2B" w:rsidRDefault="00844AF4" w:rsidP="00E45CE7">
            <w:r>
              <w:t>///</w:t>
            </w:r>
          </w:p>
        </w:tc>
      </w:tr>
    </w:tbl>
    <w:p w14:paraId="6EF0045D" w14:textId="77777777" w:rsidR="00FE3C2B" w:rsidRPr="00FE3C2B" w:rsidRDefault="00FE3C2B" w:rsidP="00FE3C2B">
      <w:pPr>
        <w:ind w:left="720"/>
        <w:rPr>
          <w:b/>
          <w:bCs/>
        </w:rPr>
      </w:pPr>
    </w:p>
    <w:p w14:paraId="26FB475E" w14:textId="160C9E0F" w:rsidR="00020CFC" w:rsidRDefault="00020CFC" w:rsidP="00020CFC">
      <w:pPr>
        <w:pStyle w:val="Odstavecseseznamem"/>
        <w:numPr>
          <w:ilvl w:val="0"/>
          <w:numId w:val="2"/>
        </w:numPr>
        <w:rPr>
          <w:b/>
          <w:bCs/>
        </w:rPr>
      </w:pPr>
      <w:r w:rsidRPr="00020CFC">
        <w:rPr>
          <w:b/>
          <w:bCs/>
        </w:rPr>
        <w:t>Ostatní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CFC" w14:paraId="531D22BF" w14:textId="77777777" w:rsidTr="00084C3F">
        <w:trPr>
          <w:trHeight w:val="454"/>
        </w:trPr>
        <w:tc>
          <w:tcPr>
            <w:tcW w:w="9062" w:type="dxa"/>
            <w:vAlign w:val="center"/>
          </w:tcPr>
          <w:p w14:paraId="14992B41" w14:textId="77777777" w:rsidR="00020CFC" w:rsidRDefault="00020CFC" w:rsidP="00214250"/>
        </w:tc>
      </w:tr>
    </w:tbl>
    <w:p w14:paraId="29BAE753" w14:textId="717947CC" w:rsidR="00020CFC" w:rsidRDefault="00020CFC" w:rsidP="00020CFC">
      <w:pPr>
        <w:rPr>
          <w:b/>
          <w:bCs/>
        </w:rPr>
      </w:pPr>
    </w:p>
    <w:p w14:paraId="54C460C3" w14:textId="0CC0E8CB" w:rsidR="00CF6F71" w:rsidRDefault="00CF6F71" w:rsidP="00020CFC">
      <w:pPr>
        <w:rPr>
          <w:b/>
          <w:bCs/>
        </w:rPr>
      </w:pPr>
    </w:p>
    <w:p w14:paraId="5FAF5FF4" w14:textId="7269A50D" w:rsidR="00CF6F71" w:rsidRDefault="0020120A" w:rsidP="00020CFC">
      <w:pPr>
        <w:rPr>
          <w:b/>
          <w:bCs/>
        </w:rPr>
      </w:pPr>
      <w:r>
        <w:rPr>
          <w:b/>
          <w:bCs/>
        </w:rPr>
        <w:t>V Olomouci dne……………………….</w:t>
      </w:r>
    </w:p>
    <w:p w14:paraId="4D9A8E3C" w14:textId="3D4F640C" w:rsidR="00CF6F71" w:rsidRDefault="00CF6F71" w:rsidP="00020CFC">
      <w:pPr>
        <w:rPr>
          <w:b/>
          <w:bCs/>
        </w:rPr>
      </w:pPr>
    </w:p>
    <w:p w14:paraId="1AE2F9CE" w14:textId="77777777" w:rsidR="00FF5B01" w:rsidRPr="00FF5B01" w:rsidRDefault="00FF5B01" w:rsidP="00FF5B01">
      <w:pPr>
        <w:spacing w:after="0" w:line="240" w:lineRule="auto"/>
        <w:rPr>
          <w:b/>
          <w:bCs/>
        </w:rPr>
      </w:pPr>
      <w:r w:rsidRPr="00FF5B01">
        <w:rPr>
          <w:b/>
          <w:bCs/>
        </w:rPr>
        <w:t>prof. MUDr. ROMAN HAVLÍK, Ph.D.</w:t>
      </w:r>
    </w:p>
    <w:p w14:paraId="10961BB2" w14:textId="77777777" w:rsidR="00FF5B01" w:rsidRPr="00FF5B01" w:rsidRDefault="00FF5B01" w:rsidP="00FF5B01">
      <w:pPr>
        <w:spacing w:after="0" w:line="240" w:lineRule="auto"/>
        <w:rPr>
          <w:b/>
          <w:bCs/>
        </w:rPr>
      </w:pPr>
      <w:r w:rsidRPr="00FF5B01">
        <w:rPr>
          <w:b/>
          <w:bCs/>
        </w:rPr>
        <w:t xml:space="preserve">ředitel Fakultní nemocnice Olomouc </w:t>
      </w:r>
    </w:p>
    <w:p w14:paraId="7EB31071" w14:textId="368ABF1B" w:rsidR="00751F89" w:rsidRDefault="00751F89" w:rsidP="00020CFC">
      <w:pPr>
        <w:rPr>
          <w:b/>
          <w:bCs/>
        </w:rPr>
      </w:pPr>
    </w:p>
    <w:p w14:paraId="347A4DF4" w14:textId="41A51108" w:rsidR="00751F89" w:rsidRDefault="00751F89" w:rsidP="00751F89"/>
    <w:sectPr w:rsidR="00751F89" w:rsidSect="00C62957">
      <w:headerReference w:type="default" r:id="rId8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0BD7" w14:textId="77777777" w:rsidR="00AB5C55" w:rsidRDefault="00AB5C55" w:rsidP="00E33D09">
      <w:pPr>
        <w:spacing w:after="0" w:line="240" w:lineRule="auto"/>
      </w:pPr>
      <w:r>
        <w:separator/>
      </w:r>
    </w:p>
  </w:endnote>
  <w:endnote w:type="continuationSeparator" w:id="0">
    <w:p w14:paraId="7EFEC6C0" w14:textId="77777777" w:rsidR="00AB5C55" w:rsidRDefault="00AB5C55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8F275" w14:textId="77777777" w:rsidR="00AB5C55" w:rsidRDefault="00AB5C55" w:rsidP="00E33D09">
      <w:pPr>
        <w:spacing w:after="0" w:line="240" w:lineRule="auto"/>
      </w:pPr>
      <w:r>
        <w:separator/>
      </w:r>
    </w:p>
  </w:footnote>
  <w:footnote w:type="continuationSeparator" w:id="0">
    <w:p w14:paraId="7F527942" w14:textId="77777777" w:rsidR="00AB5C55" w:rsidRDefault="00AB5C55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DCFF" w14:textId="77777777" w:rsidR="00001E7E" w:rsidRPr="00C73AF1" w:rsidRDefault="00001E7E" w:rsidP="00001E7E">
    <w:pPr>
      <w:rPr>
        <w:sz w:val="18"/>
        <w:szCs w:val="18"/>
      </w:rPr>
    </w:pPr>
    <w:r w:rsidRPr="00C73AF1">
      <w:rPr>
        <w:b/>
        <w:bCs/>
        <w:caps/>
        <w:noProof/>
        <w:color w:val="2E74B5" w:themeColor="accent5" w:themeShade="BF"/>
        <w:sz w:val="60"/>
        <w:szCs w:val="60"/>
      </w:rPr>
      <w:drawing>
        <wp:inline distT="0" distB="0" distL="0" distR="0" wp14:anchorId="2C341F52" wp14:editId="66A249DB">
          <wp:extent cx="2216150" cy="74422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3AF1">
      <w:rPr>
        <w:b/>
        <w:bCs/>
        <w:caps/>
        <w:noProof/>
        <w:color w:val="2E74B5" w:themeColor="accent5" w:themeShade="BF"/>
        <w:sz w:val="60"/>
        <w:szCs w:val="60"/>
      </w:rPr>
      <w:drawing>
        <wp:inline distT="0" distB="0" distL="0" distR="0" wp14:anchorId="7AF831D1" wp14:editId="1E9C2846">
          <wp:extent cx="1526583" cy="52187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125" cy="52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3AF1">
      <w:rPr>
        <w:rStyle w:val="normaltextrun"/>
        <w:rFonts w:cstheme="minorHAnsi"/>
        <w:color w:val="000000"/>
      </w:rPr>
      <w:t xml:space="preserve">       </w:t>
    </w:r>
    <w:r w:rsidRPr="00C73AF1">
      <w:rPr>
        <w:b/>
        <w:bCs/>
        <w:caps/>
        <w:noProof/>
        <w:color w:val="2E74B5" w:themeColor="accent5" w:themeShade="BF"/>
        <w:sz w:val="60"/>
        <w:szCs w:val="60"/>
      </w:rPr>
      <w:drawing>
        <wp:inline distT="0" distB="0" distL="0" distR="0" wp14:anchorId="67C1B6F5" wp14:editId="0D94B152">
          <wp:extent cx="1456842" cy="72842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34" cy="732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3AF1">
      <w:rPr>
        <w:rStyle w:val="eop"/>
        <w:rFonts w:cstheme="minorHAnsi"/>
        <w:color w:val="000000"/>
      </w:rPr>
      <w:t> </w:t>
    </w:r>
  </w:p>
  <w:p w14:paraId="20BBAF10" w14:textId="1AB3C51E" w:rsidR="00793E5F" w:rsidRPr="00001E7E" w:rsidRDefault="00793E5F" w:rsidP="00001E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9A4"/>
    <w:multiLevelType w:val="hybridMultilevel"/>
    <w:tmpl w:val="812049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307C4"/>
    <w:multiLevelType w:val="hybridMultilevel"/>
    <w:tmpl w:val="D688B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11C8"/>
    <w:multiLevelType w:val="hybridMultilevel"/>
    <w:tmpl w:val="3554574C"/>
    <w:lvl w:ilvl="0" w:tplc="DE1461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6DB"/>
    <w:multiLevelType w:val="multilevel"/>
    <w:tmpl w:val="BE4E6BF0"/>
    <w:lvl w:ilvl="0">
      <w:start w:val="5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928" w:hanging="720"/>
      </w:pPr>
    </w:lvl>
    <w:lvl w:ilvl="2">
      <w:start w:val="1"/>
      <w:numFmt w:val="decimal"/>
      <w:lvlText w:val="%1.%2.%3"/>
      <w:lvlJc w:val="left"/>
      <w:pPr>
        <w:ind w:left="1136" w:hanging="720"/>
      </w:pPr>
    </w:lvl>
    <w:lvl w:ilvl="3">
      <w:start w:val="1"/>
      <w:numFmt w:val="decimal"/>
      <w:lvlText w:val="%1.%2.%3.%4"/>
      <w:lvlJc w:val="left"/>
      <w:pPr>
        <w:ind w:left="1704" w:hanging="1080"/>
      </w:pPr>
    </w:lvl>
    <w:lvl w:ilvl="4">
      <w:start w:val="1"/>
      <w:numFmt w:val="decimal"/>
      <w:lvlText w:val="%1.%2.%3.%4.%5"/>
      <w:lvlJc w:val="left"/>
      <w:pPr>
        <w:ind w:left="2272" w:hanging="1440"/>
      </w:pPr>
    </w:lvl>
    <w:lvl w:ilvl="5">
      <w:start w:val="1"/>
      <w:numFmt w:val="decimal"/>
      <w:lvlText w:val="%1.%2.%3.%4.%5.%6"/>
      <w:lvlJc w:val="left"/>
      <w:pPr>
        <w:ind w:left="2840" w:hanging="1800"/>
      </w:pPr>
    </w:lvl>
    <w:lvl w:ilvl="6">
      <w:start w:val="1"/>
      <w:numFmt w:val="decimal"/>
      <w:lvlText w:val="%1.%2.%3.%4.%5.%6.%7"/>
      <w:lvlJc w:val="left"/>
      <w:pPr>
        <w:ind w:left="3048" w:hanging="1800"/>
      </w:pPr>
    </w:lvl>
    <w:lvl w:ilvl="7">
      <w:start w:val="1"/>
      <w:numFmt w:val="decimal"/>
      <w:lvlText w:val="%1.%2.%3.%4.%5.%6.%7.%8"/>
      <w:lvlJc w:val="left"/>
      <w:pPr>
        <w:ind w:left="3616" w:hanging="2160"/>
      </w:pPr>
    </w:lvl>
    <w:lvl w:ilvl="8">
      <w:start w:val="1"/>
      <w:numFmt w:val="decimal"/>
      <w:lvlText w:val="%1.%2.%3.%4.%5.%6.%7.%8.%9"/>
      <w:lvlJc w:val="left"/>
      <w:pPr>
        <w:ind w:left="4184" w:hanging="2520"/>
      </w:pPr>
    </w:lvl>
  </w:abstractNum>
  <w:abstractNum w:abstractNumId="4" w15:restartNumberingAfterBreak="0">
    <w:nsid w:val="19D960E2"/>
    <w:multiLevelType w:val="hybridMultilevel"/>
    <w:tmpl w:val="F09E9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791D"/>
    <w:multiLevelType w:val="hybridMultilevel"/>
    <w:tmpl w:val="DEECC7F6"/>
    <w:lvl w:ilvl="0" w:tplc="B7524E08">
      <w:start w:val="1"/>
      <w:numFmt w:val="upperRoman"/>
      <w:lvlText w:val="%1."/>
      <w:lvlJc w:val="left"/>
      <w:pPr>
        <w:ind w:left="730" w:hanging="720"/>
      </w:pPr>
    </w:lvl>
    <w:lvl w:ilvl="1" w:tplc="04050019">
      <w:start w:val="1"/>
      <w:numFmt w:val="lowerLetter"/>
      <w:lvlText w:val="%2."/>
      <w:lvlJc w:val="left"/>
      <w:pPr>
        <w:ind w:left="1090" w:hanging="360"/>
      </w:pPr>
    </w:lvl>
    <w:lvl w:ilvl="2" w:tplc="0405001B">
      <w:start w:val="1"/>
      <w:numFmt w:val="lowerRoman"/>
      <w:lvlText w:val="%3."/>
      <w:lvlJc w:val="right"/>
      <w:pPr>
        <w:ind w:left="1810" w:hanging="180"/>
      </w:pPr>
    </w:lvl>
    <w:lvl w:ilvl="3" w:tplc="0405000F">
      <w:start w:val="1"/>
      <w:numFmt w:val="decimal"/>
      <w:lvlText w:val="%4."/>
      <w:lvlJc w:val="left"/>
      <w:pPr>
        <w:ind w:left="2530" w:hanging="360"/>
      </w:pPr>
    </w:lvl>
    <w:lvl w:ilvl="4" w:tplc="04050019">
      <w:start w:val="1"/>
      <w:numFmt w:val="lowerLetter"/>
      <w:lvlText w:val="%5."/>
      <w:lvlJc w:val="left"/>
      <w:pPr>
        <w:ind w:left="3250" w:hanging="360"/>
      </w:pPr>
    </w:lvl>
    <w:lvl w:ilvl="5" w:tplc="0405001B">
      <w:start w:val="1"/>
      <w:numFmt w:val="lowerRoman"/>
      <w:lvlText w:val="%6."/>
      <w:lvlJc w:val="right"/>
      <w:pPr>
        <w:ind w:left="3970" w:hanging="180"/>
      </w:pPr>
    </w:lvl>
    <w:lvl w:ilvl="6" w:tplc="0405000F">
      <w:start w:val="1"/>
      <w:numFmt w:val="decimal"/>
      <w:lvlText w:val="%7."/>
      <w:lvlJc w:val="left"/>
      <w:pPr>
        <w:ind w:left="4690" w:hanging="360"/>
      </w:pPr>
    </w:lvl>
    <w:lvl w:ilvl="7" w:tplc="04050019">
      <w:start w:val="1"/>
      <w:numFmt w:val="lowerLetter"/>
      <w:lvlText w:val="%8."/>
      <w:lvlJc w:val="left"/>
      <w:pPr>
        <w:ind w:left="5410" w:hanging="360"/>
      </w:pPr>
    </w:lvl>
    <w:lvl w:ilvl="8" w:tplc="0405001B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46B96748"/>
    <w:multiLevelType w:val="hybridMultilevel"/>
    <w:tmpl w:val="6AF0E8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A339E"/>
    <w:multiLevelType w:val="hybridMultilevel"/>
    <w:tmpl w:val="8F729AC6"/>
    <w:lvl w:ilvl="0" w:tplc="3A8A0A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11505"/>
    <w:multiLevelType w:val="hybridMultilevel"/>
    <w:tmpl w:val="43CC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52A59"/>
    <w:multiLevelType w:val="hybridMultilevel"/>
    <w:tmpl w:val="B150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E4A17"/>
    <w:multiLevelType w:val="hybridMultilevel"/>
    <w:tmpl w:val="1BB432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75C50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6D1023"/>
    <w:multiLevelType w:val="hybridMultilevel"/>
    <w:tmpl w:val="9CA00E40"/>
    <w:lvl w:ilvl="0" w:tplc="68BEAF3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C94737"/>
    <w:multiLevelType w:val="hybridMultilevel"/>
    <w:tmpl w:val="909A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F5723"/>
    <w:multiLevelType w:val="hybridMultilevel"/>
    <w:tmpl w:val="367A6FC8"/>
    <w:lvl w:ilvl="0" w:tplc="BD3C2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10"/>
  </w:num>
  <w:num w:numId="7">
    <w:abstractNumId w:val="14"/>
  </w:num>
  <w:num w:numId="8">
    <w:abstractNumId w:val="7"/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9"/>
  </w:num>
  <w:num w:numId="15">
    <w:abstractNumId w:val="0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01E7E"/>
    <w:rsid w:val="00020CFC"/>
    <w:rsid w:val="00027DAE"/>
    <w:rsid w:val="00031E0E"/>
    <w:rsid w:val="00032F79"/>
    <w:rsid w:val="00035E45"/>
    <w:rsid w:val="00061A04"/>
    <w:rsid w:val="00062B52"/>
    <w:rsid w:val="0010399D"/>
    <w:rsid w:val="00127387"/>
    <w:rsid w:val="00131B4C"/>
    <w:rsid w:val="001454F7"/>
    <w:rsid w:val="00146B84"/>
    <w:rsid w:val="001616CA"/>
    <w:rsid w:val="001640E7"/>
    <w:rsid w:val="001724D0"/>
    <w:rsid w:val="001C18F2"/>
    <w:rsid w:val="001E2221"/>
    <w:rsid w:val="00200C74"/>
    <w:rsid w:val="0020120A"/>
    <w:rsid w:val="0020773B"/>
    <w:rsid w:val="00207C79"/>
    <w:rsid w:val="0025248B"/>
    <w:rsid w:val="00256CE2"/>
    <w:rsid w:val="00266A3A"/>
    <w:rsid w:val="002739DD"/>
    <w:rsid w:val="002E363D"/>
    <w:rsid w:val="00304A1B"/>
    <w:rsid w:val="003368BE"/>
    <w:rsid w:val="0034431D"/>
    <w:rsid w:val="00352BD8"/>
    <w:rsid w:val="003739F5"/>
    <w:rsid w:val="00376345"/>
    <w:rsid w:val="00377FC1"/>
    <w:rsid w:val="004541D6"/>
    <w:rsid w:val="00474235"/>
    <w:rsid w:val="00497B5F"/>
    <w:rsid w:val="004A38A9"/>
    <w:rsid w:val="004B19A6"/>
    <w:rsid w:val="004B3483"/>
    <w:rsid w:val="00507ECB"/>
    <w:rsid w:val="00522620"/>
    <w:rsid w:val="00572067"/>
    <w:rsid w:val="00577095"/>
    <w:rsid w:val="005A3560"/>
    <w:rsid w:val="005D58E3"/>
    <w:rsid w:val="005D76EF"/>
    <w:rsid w:val="005E281C"/>
    <w:rsid w:val="005F4773"/>
    <w:rsid w:val="00610C38"/>
    <w:rsid w:val="0062539E"/>
    <w:rsid w:val="006B6569"/>
    <w:rsid w:val="006B6ED8"/>
    <w:rsid w:val="00717212"/>
    <w:rsid w:val="0072568F"/>
    <w:rsid w:val="00726251"/>
    <w:rsid w:val="00751F89"/>
    <w:rsid w:val="00793E5F"/>
    <w:rsid w:val="00795875"/>
    <w:rsid w:val="007C3786"/>
    <w:rsid w:val="007C74D3"/>
    <w:rsid w:val="007D7C70"/>
    <w:rsid w:val="007F0D63"/>
    <w:rsid w:val="008237C6"/>
    <w:rsid w:val="008351C9"/>
    <w:rsid w:val="00844AF4"/>
    <w:rsid w:val="00850393"/>
    <w:rsid w:val="008507C5"/>
    <w:rsid w:val="008604EE"/>
    <w:rsid w:val="0086276F"/>
    <w:rsid w:val="00865B04"/>
    <w:rsid w:val="00872218"/>
    <w:rsid w:val="00877441"/>
    <w:rsid w:val="0088387E"/>
    <w:rsid w:val="0092087C"/>
    <w:rsid w:val="009D1678"/>
    <w:rsid w:val="009D773A"/>
    <w:rsid w:val="00A342C2"/>
    <w:rsid w:val="00A63CD6"/>
    <w:rsid w:val="00A76227"/>
    <w:rsid w:val="00AB5C55"/>
    <w:rsid w:val="00AF07F0"/>
    <w:rsid w:val="00B31DFE"/>
    <w:rsid w:val="00B543B3"/>
    <w:rsid w:val="00B56A21"/>
    <w:rsid w:val="00B70137"/>
    <w:rsid w:val="00B7630C"/>
    <w:rsid w:val="00BB5ED4"/>
    <w:rsid w:val="00BE27B8"/>
    <w:rsid w:val="00C11A5E"/>
    <w:rsid w:val="00C21B23"/>
    <w:rsid w:val="00C243D7"/>
    <w:rsid w:val="00C62957"/>
    <w:rsid w:val="00C72753"/>
    <w:rsid w:val="00C97960"/>
    <w:rsid w:val="00CF6F71"/>
    <w:rsid w:val="00D20EDA"/>
    <w:rsid w:val="00D354FB"/>
    <w:rsid w:val="00D37255"/>
    <w:rsid w:val="00D63FBE"/>
    <w:rsid w:val="00D713F4"/>
    <w:rsid w:val="00DA0990"/>
    <w:rsid w:val="00DB4BEC"/>
    <w:rsid w:val="00DC24FF"/>
    <w:rsid w:val="00DC4443"/>
    <w:rsid w:val="00DC646A"/>
    <w:rsid w:val="00DD371F"/>
    <w:rsid w:val="00DD544E"/>
    <w:rsid w:val="00E07392"/>
    <w:rsid w:val="00E300A9"/>
    <w:rsid w:val="00E33D09"/>
    <w:rsid w:val="00E60D3D"/>
    <w:rsid w:val="00E83CD9"/>
    <w:rsid w:val="00EB773C"/>
    <w:rsid w:val="00EC2388"/>
    <w:rsid w:val="00EC70A6"/>
    <w:rsid w:val="00EE6860"/>
    <w:rsid w:val="00F21BAD"/>
    <w:rsid w:val="00F305A2"/>
    <w:rsid w:val="00F60774"/>
    <w:rsid w:val="00F73B6F"/>
    <w:rsid w:val="00FE3C2B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54FB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24D0"/>
    <w:pPr>
      <w:keepNext/>
      <w:keepLines/>
      <w:spacing w:before="360" w:after="240" w:line="268" w:lineRule="auto"/>
      <w:jc w:val="both"/>
      <w:outlineLvl w:val="1"/>
    </w:pPr>
    <w:rPr>
      <w:rFonts w:ascii="Arial" w:eastAsiaTheme="minorEastAsia" w:hAnsi="Arial"/>
      <w:b/>
      <w:bCs/>
      <w:sz w:val="28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 cíl se seznamem,Odstavec se seznamem5,Odrážky,Obrázek,_Odstavec se seznamem,Seznam - odrážky,List Paragraph compact,Normal bullet 2,Paragraphe de liste 2,Reference list,Bullet list,Paragraph"/>
    <w:basedOn w:val="Normln"/>
    <w:link w:val="OdstavecseseznamemChar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Podrozdział,Char1"/>
    <w:basedOn w:val="Normln"/>
    <w:link w:val="TextpoznpodarouChar"/>
    <w:uiPriority w:val="99"/>
    <w:semiHidden/>
    <w:unhideWhenUsed/>
    <w:qFormat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,Podrozdział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semiHidden/>
    <w:unhideWhenUsed/>
    <w:qFormat/>
    <w:rsid w:val="00E33D09"/>
    <w:rPr>
      <w:vertAlign w:val="superscript"/>
    </w:rPr>
  </w:style>
  <w:style w:type="character" w:customStyle="1" w:styleId="normaltextrun">
    <w:name w:val="normaltextrun"/>
    <w:rsid w:val="00001E7E"/>
  </w:style>
  <w:style w:type="character" w:customStyle="1" w:styleId="eop">
    <w:name w:val="eop"/>
    <w:rsid w:val="00001E7E"/>
  </w:style>
  <w:style w:type="paragraph" w:styleId="Normlnweb">
    <w:name w:val="Normal (Web)"/>
    <w:basedOn w:val="Normln"/>
    <w:uiPriority w:val="99"/>
    <w:semiHidden/>
    <w:unhideWhenUsed/>
    <w:rsid w:val="00751F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131B4C"/>
    <w:pPr>
      <w:spacing w:before="120" w:after="120" w:line="271" w:lineRule="auto"/>
      <w:jc w:val="both"/>
    </w:pPr>
    <w:rPr>
      <w:rFonts w:ascii="Arial" w:eastAsiaTheme="minorEastAsia" w:hAnsi="Arial"/>
      <w:szCs w:val="20"/>
      <w:lang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131B4C"/>
    <w:rPr>
      <w:rFonts w:ascii="Arial" w:eastAsiaTheme="minorEastAsia" w:hAnsi="Arial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24D0"/>
    <w:rPr>
      <w:rFonts w:ascii="Arial" w:eastAsiaTheme="minorEastAsia" w:hAnsi="Arial"/>
      <w:b/>
      <w:bCs/>
      <w:sz w:val="28"/>
      <w:szCs w:val="32"/>
      <w:lang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List Paragraph compact Char,Normal bullet 2 Char"/>
    <w:link w:val="Odstavecseseznamem"/>
    <w:qFormat/>
    <w:locked/>
    <w:rsid w:val="001724D0"/>
  </w:style>
  <w:style w:type="character" w:styleId="Hypertextovodkaz">
    <w:name w:val="Hyperlink"/>
    <w:basedOn w:val="Standardnpsmoodstavce"/>
    <w:uiPriority w:val="99"/>
    <w:unhideWhenUsed/>
    <w:qFormat/>
    <w:rsid w:val="007C3786"/>
    <w:rPr>
      <w:color w:val="0000FF"/>
      <w:u w:val="single"/>
    </w:rPr>
  </w:style>
  <w:style w:type="character" w:customStyle="1" w:styleId="K-TabulkaChar">
    <w:name w:val="K-Tabulka Char"/>
    <w:basedOn w:val="Standardnpsmoodstavce"/>
    <w:link w:val="K-Tabulka"/>
    <w:locked/>
    <w:rsid w:val="007C3786"/>
    <w:rPr>
      <w:rFonts w:ascii="Calibri" w:hAnsi="Calibri" w:cs="Calibri"/>
      <w:b/>
      <w:bCs/>
      <w:color w:val="000000"/>
      <w:sz w:val="23"/>
      <w:szCs w:val="23"/>
    </w:rPr>
  </w:style>
  <w:style w:type="paragraph" w:customStyle="1" w:styleId="K-Tabulka">
    <w:name w:val="K-Tabulka"/>
    <w:basedOn w:val="Normln"/>
    <w:link w:val="K-TabulkaChar"/>
    <w:qFormat/>
    <w:rsid w:val="007C3786"/>
    <w:pPr>
      <w:autoSpaceDE w:val="0"/>
      <w:autoSpaceDN w:val="0"/>
      <w:adjustRightInd w:val="0"/>
      <w:spacing w:after="120" w:line="240" w:lineRule="auto"/>
      <w:jc w:val="both"/>
    </w:pPr>
    <w:rPr>
      <w:rFonts w:ascii="Calibri" w:hAnsi="Calibri" w:cs="Calibri"/>
      <w:b/>
      <w:bCs/>
      <w:color w:val="000000"/>
      <w:sz w:val="23"/>
      <w:szCs w:val="23"/>
    </w:rPr>
  </w:style>
  <w:style w:type="character" w:customStyle="1" w:styleId="datalabel">
    <w:name w:val="datalabel"/>
    <w:basedOn w:val="Standardnpsmoodstavce"/>
    <w:rsid w:val="00EB773C"/>
  </w:style>
  <w:style w:type="paragraph" w:styleId="Textbubliny">
    <w:name w:val="Balloon Text"/>
    <w:basedOn w:val="Normln"/>
    <w:link w:val="TextbublinyChar"/>
    <w:uiPriority w:val="99"/>
    <w:semiHidden/>
    <w:unhideWhenUsed/>
    <w:rsid w:val="0003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E5F5-6517-4275-A10F-424C856C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Neudörflerová Jarmila, Ing.</cp:lastModifiedBy>
  <cp:revision>2</cp:revision>
  <cp:lastPrinted>2023-07-25T08:09:00Z</cp:lastPrinted>
  <dcterms:created xsi:type="dcterms:W3CDTF">2023-08-03T06:13:00Z</dcterms:created>
  <dcterms:modified xsi:type="dcterms:W3CDTF">2023-08-03T06:13:00Z</dcterms:modified>
</cp:coreProperties>
</file>