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262842CE"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815410" w:rsidRPr="00815410">
        <w:rPr>
          <w:rFonts w:asciiTheme="minorHAnsi" w:hAnsiTheme="minorHAnsi" w:cstheme="minorHAnsi"/>
          <w:b/>
          <w:sz w:val="20"/>
          <w:szCs w:val="20"/>
        </w:rPr>
        <w:t>Chodící pás se zpětnou vazbou</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ED57BC">
        <w:rPr>
          <w:rFonts w:asciiTheme="minorHAnsi" w:hAnsiTheme="minorHAnsi" w:cstheme="minorHAnsi"/>
          <w:b/>
          <w:sz w:val="20"/>
          <w:szCs w:val="20"/>
        </w:rPr>
        <w:t>0</w:t>
      </w:r>
      <w:r w:rsidR="00030347">
        <w:rPr>
          <w:rFonts w:asciiTheme="minorHAnsi" w:hAnsiTheme="minorHAnsi" w:cstheme="minorHAnsi"/>
          <w:b/>
          <w:sz w:val="20"/>
          <w:szCs w:val="20"/>
        </w:rPr>
        <w:t>6</w:t>
      </w:r>
      <w:r w:rsidR="00815410">
        <w:rPr>
          <w:rFonts w:asciiTheme="minorHAnsi" w:hAnsiTheme="minorHAnsi" w:cstheme="minorHAnsi"/>
          <w:b/>
          <w:sz w:val="20"/>
          <w:szCs w:val="20"/>
        </w:rPr>
        <w:t>50</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7F70B859"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AD3750">
        <w:rPr>
          <w:rFonts w:asciiTheme="minorHAnsi" w:hAnsiTheme="minorHAnsi" w:cstheme="minorHAnsi"/>
          <w:sz w:val="20"/>
          <w:szCs w:val="20"/>
        </w:rPr>
        <w:t>,</w:t>
      </w:r>
    </w:p>
    <w:p w14:paraId="225D3C9F" w14:textId="15959A82" w:rsidR="00AD3750" w:rsidRDefault="00AD3750" w:rsidP="00B156E8">
      <w:pPr>
        <w:pStyle w:val="VOP-pododstavec"/>
        <w:numPr>
          <w:ilvl w:val="0"/>
          <w:numId w:val="0"/>
        </w:numPr>
        <w:spacing w:line="360" w:lineRule="auto"/>
        <w:ind w:left="568" w:hanging="284"/>
        <w:rPr>
          <w:rFonts w:asciiTheme="minorHAnsi" w:hAnsiTheme="minorHAnsi" w:cstheme="minorHAnsi"/>
          <w:sz w:val="20"/>
          <w:szCs w:val="20"/>
        </w:rPr>
      </w:pPr>
      <w:proofErr w:type="spellStart"/>
      <w:r>
        <w:rPr>
          <w:rFonts w:asciiTheme="minorHAnsi" w:hAnsiTheme="minorHAnsi" w:cstheme="minorHAnsi"/>
          <w:sz w:val="20"/>
          <w:szCs w:val="20"/>
        </w:rPr>
        <w:t>ix</w:t>
      </w:r>
      <w:proofErr w:type="spellEnd"/>
      <w:r>
        <w:rPr>
          <w:rFonts w:asciiTheme="minorHAnsi" w:hAnsiTheme="minorHAnsi" w:cstheme="minorHAnsi"/>
          <w:sz w:val="20"/>
          <w:szCs w:val="20"/>
        </w:rPr>
        <w:t>. e</w:t>
      </w:r>
      <w:r w:rsidRPr="00AD3750">
        <w:rPr>
          <w:rFonts w:asciiTheme="minorHAnsi" w:hAnsiTheme="minorHAnsi" w:cstheme="minorHAnsi"/>
          <w:sz w:val="20"/>
          <w:szCs w:val="20"/>
        </w:rPr>
        <w:t>kologická likvidace stávajícího přístroje, včetně protokolu o likvidaci</w:t>
      </w:r>
      <w:r>
        <w:rPr>
          <w:rFonts w:asciiTheme="minorHAnsi" w:hAnsiTheme="minorHAnsi" w:cstheme="minorHAnsi"/>
          <w:sz w:val="20"/>
          <w:szCs w:val="20"/>
        </w:rPr>
        <w:t>.</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lastRenderedPageBreak/>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78EA8162"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030347">
        <w:rPr>
          <w:rFonts w:asciiTheme="minorHAnsi" w:hAnsiTheme="minorHAnsi"/>
          <w:b/>
          <w:sz w:val="20"/>
          <w:szCs w:val="20"/>
        </w:rPr>
        <w:t>6</w:t>
      </w:r>
      <w:r w:rsidR="00815410">
        <w:rPr>
          <w:rFonts w:asciiTheme="minorHAnsi" w:hAnsiTheme="minorHAnsi"/>
          <w:b/>
          <w:sz w:val="20"/>
          <w:szCs w:val="20"/>
        </w:rPr>
        <w:t>50</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5DC004CD"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Pr>
          <w:rFonts w:cs="Calibri"/>
          <w:bCs/>
          <w:sz w:val="20"/>
          <w:szCs w:val="20"/>
        </w:rPr>
        <w:t xml:space="preserve">, </w:t>
      </w:r>
      <w:r w:rsidRPr="00D86AC6">
        <w:rPr>
          <w:rFonts w:cs="Calibri"/>
          <w:bCs/>
          <w:sz w:val="20"/>
          <w:szCs w:val="20"/>
        </w:rPr>
        <w:t xml:space="preserve">tel. 588 44 2269.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25D910AD"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3CDF22F0" w:rsidR="002614EC" w:rsidRPr="002E0112" w:rsidRDefault="00A4257E"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5.</w:t>
      </w:r>
      <w:r>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0B6AFC56" w:rsidR="002614EC" w:rsidRPr="002E0112" w:rsidRDefault="00B156E8"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030347">
        <w:rPr>
          <w:rFonts w:asciiTheme="minorHAnsi" w:hAnsiTheme="minorHAnsi"/>
          <w:b/>
          <w:sz w:val="20"/>
          <w:szCs w:val="20"/>
        </w:rPr>
        <w:t>6</w:t>
      </w:r>
      <w:r w:rsidR="00815410">
        <w:rPr>
          <w:rFonts w:asciiTheme="minorHAnsi" w:hAnsiTheme="minorHAnsi"/>
          <w:b/>
          <w:sz w:val="20"/>
          <w:szCs w:val="20"/>
        </w:rPr>
        <w:t>50</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A7B81D5" w:rsidR="002614EC" w:rsidRPr="002E0112"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B81178" w:rsidR="002614EC"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402014B1" w:rsidR="00C541EC" w:rsidRPr="009C3B67" w:rsidRDefault="00C541EC"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Pr>
          <w:rFonts w:asciiTheme="minorHAnsi" w:hAnsiTheme="minorHAnsi"/>
          <w:sz w:val="20"/>
          <w:szCs w:val="20"/>
        </w:rPr>
        <w:tab/>
      </w:r>
      <w:r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Pr="009C3B67">
        <w:rPr>
          <w:rFonts w:asciiTheme="minorHAnsi" w:hAnsiTheme="minorHAnsi"/>
          <w:sz w:val="20"/>
          <w:szCs w:val="20"/>
        </w:rPr>
        <w:t>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0C83D499" w14:textId="387F9C9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904268">
        <w:rPr>
          <w:rFonts w:asciiTheme="minorHAnsi" w:hAnsiTheme="minorHAnsi" w:cstheme="minorHAnsi"/>
          <w:b/>
          <w:sz w:val="20"/>
          <w:szCs w:val="20"/>
        </w:rPr>
        <w:t xml:space="preserve">Faktura musí obsahovat </w:t>
      </w:r>
      <w:r w:rsidR="00932A30" w:rsidRPr="00904268">
        <w:rPr>
          <w:rFonts w:asciiTheme="minorHAnsi" w:hAnsiTheme="minorHAnsi" w:cstheme="minorHAnsi"/>
          <w:b/>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1"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10999026"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030347">
        <w:rPr>
          <w:rFonts w:asciiTheme="minorHAnsi" w:hAnsiTheme="minorHAnsi" w:cstheme="minorHAnsi"/>
          <w:b/>
          <w:sz w:val="20"/>
          <w:szCs w:val="20"/>
        </w:rPr>
        <w:t>6</w:t>
      </w:r>
      <w:r w:rsidR="00815410">
        <w:rPr>
          <w:rFonts w:asciiTheme="minorHAnsi" w:hAnsiTheme="minorHAnsi" w:cstheme="minorHAnsi"/>
          <w:b/>
          <w:sz w:val="20"/>
          <w:szCs w:val="20"/>
        </w:rPr>
        <w:t>50</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lastRenderedPageBreak/>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27678E94" w14:textId="4BA0A337" w:rsidR="00EE3926" w:rsidRDefault="00EE3926" w:rsidP="007E17EB">
      <w:pPr>
        <w:pStyle w:val="Textkomente"/>
        <w:spacing w:line="360" w:lineRule="auto"/>
        <w:ind w:left="284" w:hanging="284"/>
        <w:jc w:val="both"/>
        <w:rPr>
          <w:rFonts w:asciiTheme="minorHAnsi" w:hAnsiTheme="minorHAnsi" w:cstheme="minorHAnsi"/>
        </w:rPr>
      </w:pPr>
    </w:p>
    <w:p w14:paraId="6CA260CD" w14:textId="77777777" w:rsidR="00932A30" w:rsidRPr="007E17EB" w:rsidRDefault="00932A30" w:rsidP="007E17EB">
      <w:pPr>
        <w:pStyle w:val="Textkomente"/>
        <w:spacing w:line="360" w:lineRule="auto"/>
        <w:ind w:left="284" w:hanging="284"/>
        <w:jc w:val="both"/>
        <w:rPr>
          <w:rFonts w:asciiTheme="minorHAnsi" w:hAnsiTheme="minorHAnsi" w:cstheme="minorHAnsi"/>
        </w:rPr>
      </w:pP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27FA1290"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B52373">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 xml:space="preserve">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 </w:t>
      </w:r>
      <w:r w:rsidR="00B52373">
        <w:rPr>
          <w:rFonts w:asciiTheme="minorHAnsi" w:hAnsiTheme="minorHAnsi" w:cstheme="minorHAnsi"/>
          <w:sz w:val="20"/>
          <w:szCs w:val="20"/>
        </w:rPr>
        <w:t xml:space="preserve">(včetně účetních dokladů) </w:t>
      </w:r>
      <w:r w:rsidR="00932A30" w:rsidRPr="009C3B67">
        <w:rPr>
          <w:rFonts w:asciiTheme="minorHAnsi" w:hAnsiTheme="minorHAnsi" w:cstheme="minorHAnsi"/>
          <w:sz w:val="20"/>
          <w:szCs w:val="20"/>
        </w:rPr>
        <w:t xml:space="preserve">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w:t>
      </w:r>
      <w:r w:rsidR="00932A30" w:rsidRPr="009C3B67">
        <w:rPr>
          <w:rFonts w:asciiTheme="minorHAnsi" w:hAnsiTheme="minorHAnsi" w:cstheme="minorHAnsi"/>
          <w:sz w:val="20"/>
          <w:szCs w:val="20"/>
        </w:rPr>
        <w:lastRenderedPageBreak/>
        <w:t>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3A3E0A6A" w14:textId="77777777" w:rsidR="00932A30" w:rsidRDefault="00932A30" w:rsidP="007E17EB">
      <w:pPr>
        <w:spacing w:line="360" w:lineRule="auto"/>
        <w:ind w:left="284" w:hanging="284"/>
        <w:jc w:val="center"/>
        <w:rPr>
          <w:rFonts w:asciiTheme="minorHAnsi" w:hAnsiTheme="minorHAnsi" w:cstheme="minorHAnsi"/>
          <w:b/>
          <w:sz w:val="20"/>
          <w:szCs w:val="20"/>
        </w:rPr>
      </w:pPr>
    </w:p>
    <w:p w14:paraId="7A809D43" w14:textId="6B2CE7F7" w:rsidR="00511AF2" w:rsidRDefault="00511AF2" w:rsidP="007E17EB">
      <w:pPr>
        <w:spacing w:line="360" w:lineRule="auto"/>
        <w:ind w:left="284" w:hanging="284"/>
        <w:jc w:val="center"/>
        <w:rPr>
          <w:rFonts w:asciiTheme="minorHAnsi" w:hAnsiTheme="minorHAnsi" w:cstheme="minorHAnsi"/>
          <w:b/>
          <w:sz w:val="20"/>
          <w:szCs w:val="20"/>
        </w:rPr>
      </w:pPr>
    </w:p>
    <w:p w14:paraId="34CBD05D" w14:textId="0A054D57" w:rsidR="007C066B" w:rsidRDefault="007C066B" w:rsidP="007E17EB">
      <w:pPr>
        <w:spacing w:line="360" w:lineRule="auto"/>
        <w:ind w:left="284" w:hanging="284"/>
        <w:jc w:val="center"/>
        <w:rPr>
          <w:rFonts w:asciiTheme="minorHAnsi" w:hAnsiTheme="minorHAnsi" w:cstheme="minorHAnsi"/>
          <w:b/>
          <w:sz w:val="20"/>
          <w:szCs w:val="20"/>
        </w:rPr>
      </w:pPr>
    </w:p>
    <w:p w14:paraId="21C145C3" w14:textId="0E9E166B" w:rsidR="00511AF2" w:rsidRDefault="00511AF2"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520917" w:rsidP="007E17EB">
          <w:pPr>
            <w:spacing w:line="360" w:lineRule="auto"/>
            <w:ind w:left="284" w:hanging="284"/>
            <w:rPr>
              <w:rFonts w:asciiTheme="minorHAnsi" w:hAnsiTheme="minorHAnsi" w:cstheme="minorHAnsi"/>
              <w:sz w:val="20"/>
              <w:szCs w:val="20"/>
            </w:rPr>
          </w:pPr>
        </w:p>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520917"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C59F8" w14:textId="77777777" w:rsidR="0034465D" w:rsidRDefault="0034465D" w:rsidP="001521BE">
      <w:r>
        <w:separator/>
      </w:r>
    </w:p>
  </w:endnote>
  <w:endnote w:type="continuationSeparator" w:id="0">
    <w:p w14:paraId="67E8A909" w14:textId="77777777" w:rsidR="0034465D" w:rsidRDefault="0034465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C0FF4" w14:textId="77777777" w:rsidR="0034465D" w:rsidRDefault="0034465D" w:rsidP="001521BE">
      <w:r>
        <w:separator/>
      </w:r>
    </w:p>
  </w:footnote>
  <w:footnote w:type="continuationSeparator" w:id="0">
    <w:p w14:paraId="7AD85047" w14:textId="77777777" w:rsidR="0034465D" w:rsidRDefault="0034465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KZdRqakPC3FJhyQq69Pb1IHS1um62YwDYc7aH/vA1OxIwwN/p2jwNRRsZdCpuOblcr8kfPlt8Lo1CXfez0Jaw==" w:salt="xevH3Rr/SU9qn6f+qWHw0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0347"/>
    <w:rsid w:val="00031127"/>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82784"/>
    <w:rsid w:val="00186A03"/>
    <w:rsid w:val="00197B11"/>
    <w:rsid w:val="001B2561"/>
    <w:rsid w:val="001B3455"/>
    <w:rsid w:val="001C3C0F"/>
    <w:rsid w:val="001D4AC2"/>
    <w:rsid w:val="001E01DD"/>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4465D"/>
    <w:rsid w:val="00354FB3"/>
    <w:rsid w:val="00360320"/>
    <w:rsid w:val="0036145F"/>
    <w:rsid w:val="003628C3"/>
    <w:rsid w:val="00363411"/>
    <w:rsid w:val="00365F73"/>
    <w:rsid w:val="00374CC7"/>
    <w:rsid w:val="0037512B"/>
    <w:rsid w:val="003828CD"/>
    <w:rsid w:val="00393ED4"/>
    <w:rsid w:val="00397881"/>
    <w:rsid w:val="003A7DF6"/>
    <w:rsid w:val="003D0E33"/>
    <w:rsid w:val="003E5AAA"/>
    <w:rsid w:val="003F32D1"/>
    <w:rsid w:val="00402A01"/>
    <w:rsid w:val="00417D53"/>
    <w:rsid w:val="004311D5"/>
    <w:rsid w:val="00433F58"/>
    <w:rsid w:val="00441585"/>
    <w:rsid w:val="00442081"/>
    <w:rsid w:val="00443A0D"/>
    <w:rsid w:val="00444723"/>
    <w:rsid w:val="00460559"/>
    <w:rsid w:val="00465571"/>
    <w:rsid w:val="0047416D"/>
    <w:rsid w:val="004775C6"/>
    <w:rsid w:val="004A2C93"/>
    <w:rsid w:val="004C28E6"/>
    <w:rsid w:val="004C4884"/>
    <w:rsid w:val="004E71D3"/>
    <w:rsid w:val="004F399F"/>
    <w:rsid w:val="0050651F"/>
    <w:rsid w:val="00507DB3"/>
    <w:rsid w:val="00510BD2"/>
    <w:rsid w:val="00511AF2"/>
    <w:rsid w:val="00515D6D"/>
    <w:rsid w:val="00520917"/>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F2137"/>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12343"/>
    <w:rsid w:val="0071386F"/>
    <w:rsid w:val="00713CBB"/>
    <w:rsid w:val="00717E41"/>
    <w:rsid w:val="0072325B"/>
    <w:rsid w:val="00726ED0"/>
    <w:rsid w:val="00742051"/>
    <w:rsid w:val="00743113"/>
    <w:rsid w:val="00756D2C"/>
    <w:rsid w:val="007767A0"/>
    <w:rsid w:val="00781A2C"/>
    <w:rsid w:val="00786A8F"/>
    <w:rsid w:val="0079194A"/>
    <w:rsid w:val="00792233"/>
    <w:rsid w:val="007B3B37"/>
    <w:rsid w:val="007B7056"/>
    <w:rsid w:val="007C066B"/>
    <w:rsid w:val="007E17EB"/>
    <w:rsid w:val="007E5CB3"/>
    <w:rsid w:val="007F2CA5"/>
    <w:rsid w:val="0080604B"/>
    <w:rsid w:val="00807B84"/>
    <w:rsid w:val="00807E41"/>
    <w:rsid w:val="00811F98"/>
    <w:rsid w:val="008137F1"/>
    <w:rsid w:val="00815410"/>
    <w:rsid w:val="00817BA1"/>
    <w:rsid w:val="00824A0E"/>
    <w:rsid w:val="00833447"/>
    <w:rsid w:val="00835945"/>
    <w:rsid w:val="008445C5"/>
    <w:rsid w:val="00845522"/>
    <w:rsid w:val="00845DA3"/>
    <w:rsid w:val="00847306"/>
    <w:rsid w:val="0088613C"/>
    <w:rsid w:val="008871A2"/>
    <w:rsid w:val="00887B17"/>
    <w:rsid w:val="00893048"/>
    <w:rsid w:val="008D173B"/>
    <w:rsid w:val="008E5783"/>
    <w:rsid w:val="008F4D6B"/>
    <w:rsid w:val="00901B49"/>
    <w:rsid w:val="00904268"/>
    <w:rsid w:val="009132ED"/>
    <w:rsid w:val="009245E7"/>
    <w:rsid w:val="00932A30"/>
    <w:rsid w:val="00942B80"/>
    <w:rsid w:val="00963BBF"/>
    <w:rsid w:val="00965458"/>
    <w:rsid w:val="009808D7"/>
    <w:rsid w:val="00981574"/>
    <w:rsid w:val="009B3A39"/>
    <w:rsid w:val="009B7971"/>
    <w:rsid w:val="009C3B67"/>
    <w:rsid w:val="009E21FE"/>
    <w:rsid w:val="009E4615"/>
    <w:rsid w:val="009F7383"/>
    <w:rsid w:val="00A03C9B"/>
    <w:rsid w:val="00A04971"/>
    <w:rsid w:val="00A0692A"/>
    <w:rsid w:val="00A3554E"/>
    <w:rsid w:val="00A4257E"/>
    <w:rsid w:val="00A45939"/>
    <w:rsid w:val="00A97D8A"/>
    <w:rsid w:val="00AB3BA0"/>
    <w:rsid w:val="00AB6F02"/>
    <w:rsid w:val="00AB722D"/>
    <w:rsid w:val="00AB79D9"/>
    <w:rsid w:val="00AD3750"/>
    <w:rsid w:val="00AD4551"/>
    <w:rsid w:val="00AD47A5"/>
    <w:rsid w:val="00AD75A9"/>
    <w:rsid w:val="00AE1620"/>
    <w:rsid w:val="00AF292C"/>
    <w:rsid w:val="00B02052"/>
    <w:rsid w:val="00B0241F"/>
    <w:rsid w:val="00B06A8D"/>
    <w:rsid w:val="00B13A55"/>
    <w:rsid w:val="00B156E8"/>
    <w:rsid w:val="00B251FC"/>
    <w:rsid w:val="00B52373"/>
    <w:rsid w:val="00B57CFD"/>
    <w:rsid w:val="00B616EE"/>
    <w:rsid w:val="00B67EAB"/>
    <w:rsid w:val="00B71CAD"/>
    <w:rsid w:val="00BA7A3B"/>
    <w:rsid w:val="00BD38B3"/>
    <w:rsid w:val="00BE4FAB"/>
    <w:rsid w:val="00BF6371"/>
    <w:rsid w:val="00C11818"/>
    <w:rsid w:val="00C1243C"/>
    <w:rsid w:val="00C17A38"/>
    <w:rsid w:val="00C17E6B"/>
    <w:rsid w:val="00C24795"/>
    <w:rsid w:val="00C33EE5"/>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5A44"/>
    <w:rsid w:val="00CC7AD3"/>
    <w:rsid w:val="00CD647C"/>
    <w:rsid w:val="00CF0474"/>
    <w:rsid w:val="00D10251"/>
    <w:rsid w:val="00D12E5F"/>
    <w:rsid w:val="00D24ED3"/>
    <w:rsid w:val="00D276CE"/>
    <w:rsid w:val="00D36B5C"/>
    <w:rsid w:val="00D370C6"/>
    <w:rsid w:val="00D42CDA"/>
    <w:rsid w:val="00D44608"/>
    <w:rsid w:val="00D450F2"/>
    <w:rsid w:val="00D616CD"/>
    <w:rsid w:val="00D653E5"/>
    <w:rsid w:val="00D67D6B"/>
    <w:rsid w:val="00D70F81"/>
    <w:rsid w:val="00D86AC6"/>
    <w:rsid w:val="00D93904"/>
    <w:rsid w:val="00D94926"/>
    <w:rsid w:val="00DB4874"/>
    <w:rsid w:val="00DD1993"/>
    <w:rsid w:val="00DD35DD"/>
    <w:rsid w:val="00DF008F"/>
    <w:rsid w:val="00E04A3A"/>
    <w:rsid w:val="00E12C9D"/>
    <w:rsid w:val="00E12E97"/>
    <w:rsid w:val="00E303C7"/>
    <w:rsid w:val="00E32027"/>
    <w:rsid w:val="00E326C1"/>
    <w:rsid w:val="00E42504"/>
    <w:rsid w:val="00E42D54"/>
    <w:rsid w:val="00E50D82"/>
    <w:rsid w:val="00E60F4A"/>
    <w:rsid w:val="00E67ED0"/>
    <w:rsid w:val="00E70BC5"/>
    <w:rsid w:val="00E818A6"/>
    <w:rsid w:val="00E91641"/>
    <w:rsid w:val="00E945C3"/>
    <w:rsid w:val="00EA3BD0"/>
    <w:rsid w:val="00EA7707"/>
    <w:rsid w:val="00EB31B3"/>
    <w:rsid w:val="00EB51D0"/>
    <w:rsid w:val="00ED29F8"/>
    <w:rsid w:val="00ED57BC"/>
    <w:rsid w:val="00EE3926"/>
    <w:rsid w:val="00EE5403"/>
    <w:rsid w:val="00EF050A"/>
    <w:rsid w:val="00EF1F41"/>
    <w:rsid w:val="00F13194"/>
    <w:rsid w:val="00F1686F"/>
    <w:rsid w:val="00F17C8D"/>
    <w:rsid w:val="00F223EE"/>
    <w:rsid w:val="00F277B8"/>
    <w:rsid w:val="00F35400"/>
    <w:rsid w:val="00F35ED0"/>
    <w:rsid w:val="00F5249B"/>
    <w:rsid w:val="00F628F1"/>
    <w:rsid w:val="00F679B4"/>
    <w:rsid w:val="00F71B09"/>
    <w:rsid w:val="00F9012D"/>
    <w:rsid w:val="00FA3234"/>
    <w:rsid w:val="00FB6B09"/>
    <w:rsid w:val="00FC2C9C"/>
    <w:rsid w:val="00FE3A7D"/>
    <w:rsid w:val="00FE618E"/>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102774"/>
    <w:rsid w:val="001D32E7"/>
    <w:rsid w:val="00217569"/>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4225D"/>
    <w:rsid w:val="009A672B"/>
    <w:rsid w:val="009B1500"/>
    <w:rsid w:val="00A0372C"/>
    <w:rsid w:val="00A0786A"/>
    <w:rsid w:val="00A47345"/>
    <w:rsid w:val="00A548BB"/>
    <w:rsid w:val="00A832C3"/>
    <w:rsid w:val="00A83C6B"/>
    <w:rsid w:val="00A84BDB"/>
    <w:rsid w:val="00A86B29"/>
    <w:rsid w:val="00A87F07"/>
    <w:rsid w:val="00A90D6A"/>
    <w:rsid w:val="00AE719E"/>
    <w:rsid w:val="00B112FA"/>
    <w:rsid w:val="00B44AA6"/>
    <w:rsid w:val="00B54B41"/>
    <w:rsid w:val="00B567FE"/>
    <w:rsid w:val="00B571C8"/>
    <w:rsid w:val="00B858E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73303F41538840EA891B8376FC101A42">
    <w:name w:val="73303F41538840EA891B8376FC101A42"/>
    <w:rsid w:val="002C1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282A9-1EDD-4631-A02A-89076187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3251</Words>
  <Characters>19181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10</cp:revision>
  <cp:lastPrinted>2024-02-29T08:34:00Z</cp:lastPrinted>
  <dcterms:created xsi:type="dcterms:W3CDTF">2024-07-16T04:18:00Z</dcterms:created>
  <dcterms:modified xsi:type="dcterms:W3CDTF">2024-09-05T04:10:00Z</dcterms:modified>
</cp:coreProperties>
</file>