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79027772"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9F1279" w:rsidRPr="009F1279">
        <w:rPr>
          <w:rFonts w:asciiTheme="minorHAnsi" w:hAnsiTheme="minorHAnsi"/>
          <w:b/>
          <w:bCs/>
          <w:sz w:val="40"/>
          <w:szCs w:val="28"/>
        </w:rPr>
        <w:t>Systém virtuální reality</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 xml:space="preserve">zast.: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1AB071DE" w14:textId="6B1EBFC6" w:rsidR="00B5562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9F1279" w:rsidRPr="009F1279">
        <w:rPr>
          <w:rFonts w:asciiTheme="minorHAnsi" w:hAnsiTheme="minorHAnsi" w:cstheme="minorHAnsi"/>
          <w:b/>
          <w:sz w:val="21"/>
          <w:szCs w:val="21"/>
        </w:rPr>
        <w:t>Systém virtuální reality</w:t>
      </w:r>
    </w:p>
    <w:p w14:paraId="37EE5B16" w14:textId="629C2125"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4D9CD1C4" w14:textId="11ACE05E" w:rsidR="00B55626"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CPV klasifikace: </w:t>
      </w:r>
      <w:r w:rsidR="00B55626" w:rsidRPr="00B55626">
        <w:rPr>
          <w:rFonts w:asciiTheme="minorHAnsi" w:hAnsiTheme="minorHAnsi" w:cstheme="minorHAnsi"/>
          <w:b/>
          <w:sz w:val="21"/>
          <w:szCs w:val="21"/>
        </w:rPr>
        <w:t>33150000-6 P</w:t>
      </w:r>
      <w:r w:rsidR="00B55626" w:rsidRPr="00B55626">
        <w:rPr>
          <w:rFonts w:ascii="Calibri" w:hAnsi="Calibri" w:cs="Calibri"/>
          <w:b/>
          <w:sz w:val="21"/>
          <w:szCs w:val="21"/>
        </w:rPr>
        <w:t>ří</w:t>
      </w:r>
      <w:r w:rsidR="00B55626" w:rsidRPr="00B55626">
        <w:rPr>
          <w:rFonts w:asciiTheme="minorHAnsi" w:hAnsiTheme="minorHAnsi" w:cstheme="minorHAnsi"/>
          <w:b/>
          <w:sz w:val="21"/>
          <w:szCs w:val="21"/>
        </w:rPr>
        <w:t>stroje pro radioterapii, mechanoterapii, elektroterapii a</w:t>
      </w:r>
      <w:r w:rsidR="00B55626" w:rsidRPr="00B55626">
        <w:rPr>
          <w:rFonts w:ascii="Calibri" w:hAnsi="Calibri" w:cs="Calibri"/>
          <w:b/>
          <w:sz w:val="21"/>
          <w:szCs w:val="21"/>
        </w:rPr>
        <w:t> </w:t>
      </w:r>
      <w:r w:rsidR="00B55626" w:rsidRPr="00B55626">
        <w:rPr>
          <w:rFonts w:asciiTheme="minorHAnsi" w:hAnsiTheme="minorHAnsi" w:cstheme="minorHAnsi"/>
          <w:b/>
          <w:sz w:val="21"/>
          <w:szCs w:val="21"/>
        </w:rPr>
        <w:t>fyzioterapii</w:t>
      </w:r>
    </w:p>
    <w:p w14:paraId="5C0B471D" w14:textId="1DFF4000"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9C24E9">
        <w:rPr>
          <w:rFonts w:asciiTheme="minorHAnsi" w:hAnsiTheme="minorHAnsi" w:cstheme="minorHAnsi"/>
          <w:b/>
          <w:sz w:val="21"/>
          <w:szCs w:val="21"/>
        </w:rPr>
        <w:t>73</w:t>
      </w:r>
      <w:r w:rsidR="009F1279">
        <w:rPr>
          <w:rFonts w:asciiTheme="minorHAnsi" w:hAnsiTheme="minorHAnsi" w:cstheme="minorHAnsi"/>
          <w:b/>
          <w:sz w:val="21"/>
          <w:szCs w:val="21"/>
        </w:rPr>
        <w:t>8</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78CED78A" w:rsidR="00E3686E" w:rsidRPr="00743D1D" w:rsidRDefault="006B7C20" w:rsidP="00E3686E">
      <w:pPr>
        <w:rPr>
          <w:rFonts w:asciiTheme="minorHAnsi" w:hAnsiTheme="minorHAnsi"/>
          <w:sz w:val="21"/>
          <w:szCs w:val="21"/>
        </w:rPr>
      </w:pPr>
      <w:bookmarkStart w:id="1" w:name="_GoBack"/>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9F1279">
        <w:rPr>
          <w:rFonts w:asciiTheme="minorHAnsi" w:hAnsiTheme="minorHAnsi"/>
          <w:sz w:val="21"/>
          <w:szCs w:val="21"/>
        </w:rPr>
        <w:t>s</w:t>
      </w:r>
      <w:r w:rsidR="009F1279" w:rsidRPr="009F1279">
        <w:rPr>
          <w:rFonts w:asciiTheme="minorHAnsi" w:hAnsiTheme="minorHAnsi"/>
          <w:sz w:val="21"/>
          <w:szCs w:val="21"/>
        </w:rPr>
        <w:t>ystém</w:t>
      </w:r>
      <w:r w:rsidR="009F1279">
        <w:rPr>
          <w:rFonts w:asciiTheme="minorHAnsi" w:hAnsiTheme="minorHAnsi"/>
          <w:sz w:val="21"/>
          <w:szCs w:val="21"/>
        </w:rPr>
        <w:t>u</w:t>
      </w:r>
      <w:r w:rsidR="009F1279" w:rsidRPr="009F1279">
        <w:rPr>
          <w:rFonts w:asciiTheme="minorHAnsi" w:hAnsiTheme="minorHAnsi"/>
          <w:sz w:val="21"/>
          <w:szCs w:val="21"/>
        </w:rPr>
        <w:t xml:space="preserve"> virtuální reality</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w:t>
      </w:r>
      <w:bookmarkEnd w:id="1"/>
      <w:r w:rsidRPr="00743D1D">
        <w:rPr>
          <w:rFonts w:asciiTheme="minorHAnsi" w:hAnsiTheme="minorHAnsi"/>
          <w:sz w:val="21"/>
          <w:szCs w:val="21"/>
        </w:rPr>
        <w:t xml:space="preserve">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6E574E99"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9F1279" w:rsidRPr="009F1279">
        <w:rPr>
          <w:rFonts w:asciiTheme="minorHAnsi" w:hAnsiTheme="minorHAnsi"/>
          <w:b w:val="0"/>
          <w:sz w:val="21"/>
          <w:szCs w:val="21"/>
        </w:rPr>
        <w:t>systému virtuální reality</w:t>
      </w:r>
      <w:r w:rsidR="00EE715C">
        <w:rPr>
          <w:rFonts w:asciiTheme="minorHAnsi" w:hAnsi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w:t>
      </w:r>
      <w:r w:rsidR="00EE715C">
        <w:rPr>
          <w:rFonts w:asciiTheme="minorHAnsi" w:eastAsiaTheme="minorHAnsi" w:hAnsiTheme="minorHAnsi" w:cstheme="minorHAnsi"/>
          <w:b w:val="0"/>
          <w:sz w:val="21"/>
          <w:szCs w:val="21"/>
        </w:rPr>
        <w:t>,</w:t>
      </w:r>
      <w:r w:rsidR="00A11D56" w:rsidRPr="00267093">
        <w:rPr>
          <w:rFonts w:asciiTheme="minorHAnsi" w:eastAsiaTheme="minorHAnsi" w:hAnsiTheme="minorHAnsi" w:cstheme="minorHAnsi"/>
          <w:b w:val="0"/>
          <w:sz w:val="21"/>
          <w:szCs w:val="21"/>
        </w:rPr>
        <w:t xml:space="preserve"> pro Oddělení rehabilitace</w:t>
      </w:r>
      <w:r w:rsidR="00A11D56" w:rsidRPr="00A11D56">
        <w:rPr>
          <w:rFonts w:asciiTheme="minorHAnsi" w:eastAsiaTheme="minorHAnsi" w:hAnsiTheme="minorHAnsi" w:cstheme="minorHAnsi"/>
          <w:sz w:val="21"/>
          <w:szCs w:val="21"/>
        </w:rPr>
        <w:t xml:space="preserve"> činí </w:t>
      </w:r>
      <w:r w:rsidR="009F1279">
        <w:rPr>
          <w:rFonts w:asciiTheme="minorHAnsi" w:eastAsiaTheme="minorHAnsi" w:hAnsiTheme="minorHAnsi" w:cstheme="minorHAnsi"/>
          <w:sz w:val="21"/>
          <w:szCs w:val="21"/>
        </w:rPr>
        <w:t>950</w:t>
      </w:r>
      <w:r w:rsidR="00EE715C">
        <w:rPr>
          <w:rFonts w:asciiTheme="minorHAnsi" w:eastAsiaTheme="minorHAnsi" w:hAnsiTheme="minorHAnsi" w:cstheme="minorHAnsi"/>
          <w:sz w:val="21"/>
          <w:szCs w:val="21"/>
        </w:rPr>
        <w:t xml:space="preserve"> 000</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1C8F6F0E"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9F1279">
        <w:rPr>
          <w:rFonts w:ascii="Calibri" w:hAnsi="Calibri" w:cs="Calibri"/>
          <w:b/>
          <w:szCs w:val="22"/>
        </w:rPr>
        <w:t>48</w:t>
      </w:r>
      <w:r w:rsidR="00267093">
        <w:rPr>
          <w:rFonts w:ascii="Calibri" w:hAnsi="Calibri" w:cs="Calibri"/>
          <w:b/>
          <w:szCs w:val="22"/>
        </w:rPr>
        <w:t xml:space="preserve">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627ADF45" w:rsidR="00E93684" w:rsidRPr="000559F0" w:rsidRDefault="009C460E" w:rsidP="00CE6EBE">
      <w:pPr>
        <w:pStyle w:val="Normln-odrky"/>
        <w:numPr>
          <w:ilvl w:val="0"/>
          <w:numId w:val="12"/>
        </w:numPr>
        <w:jc w:val="both"/>
        <w:rPr>
          <w:rFonts w:asciiTheme="minorHAnsi" w:hAnsiTheme="minorHAnsi" w:cstheme="minorHAnsi"/>
          <w:sz w:val="21"/>
          <w:szCs w:val="21"/>
        </w:rPr>
      </w:pPr>
      <w:bookmarkStart w:id="2" w:name="_Hlk164673645"/>
      <w:r w:rsidRPr="000559F0">
        <w:rPr>
          <w:rFonts w:asciiTheme="minorHAnsi" w:hAnsiTheme="minorHAnsi" w:cstheme="minorHAnsi"/>
          <w:sz w:val="21"/>
          <w:szCs w:val="21"/>
        </w:rPr>
        <w:t xml:space="preserve">vyplněnou tabulku splnění </w:t>
      </w:r>
      <w:r>
        <w:rPr>
          <w:rFonts w:asciiTheme="minorHAnsi" w:hAnsiTheme="minorHAnsi" w:cstheme="minorHAnsi"/>
          <w:sz w:val="21"/>
          <w:szCs w:val="21"/>
        </w:rPr>
        <w:t>minimálních technických</w:t>
      </w:r>
      <w:r w:rsidRPr="000559F0">
        <w:rPr>
          <w:rFonts w:asciiTheme="minorHAnsi" w:hAnsiTheme="minorHAnsi" w:cstheme="minorHAnsi"/>
          <w:sz w:val="21"/>
          <w:szCs w:val="21"/>
        </w:rPr>
        <w:t xml:space="preserve"> podmínek – účastník povinně využije přílohy č. 3 této zadávací dokumentace</w:t>
      </w:r>
      <w:r>
        <w:rPr>
          <w:rFonts w:asciiTheme="minorHAnsi" w:hAnsiTheme="minorHAnsi" w:cstheme="minorHAnsi"/>
          <w:sz w:val="21"/>
          <w:szCs w:val="21"/>
        </w:rPr>
        <w:t>, kdy mimo požadovaného typu a výrobce nabízeného přístroje/přístrojů/zařízení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SÚKL veden</w:t>
      </w:r>
      <w:r>
        <w:rPr>
          <w:rFonts w:asciiTheme="minorHAnsi" w:hAnsiTheme="minorHAnsi" w:cstheme="minorHAnsi"/>
          <w:sz w:val="21"/>
          <w:szCs w:val="21"/>
        </w:rPr>
        <w:t xml:space="preserve"> </w:t>
      </w:r>
      <w:r w:rsidRPr="00183AFC">
        <w:rPr>
          <w:rFonts w:asciiTheme="minorHAnsi" w:hAnsiTheme="minorHAnsi" w:cstheme="minorHAnsi"/>
          <w:b/>
          <w:sz w:val="21"/>
          <w:szCs w:val="21"/>
        </w:rPr>
        <w:t>nebo Basic UDI-DI, nebo potvrzení podání žádosti o registraci nabízeného ZP v registru SÚKL dle zákona o zdravotnických prostředcích</w:t>
      </w:r>
      <w:r w:rsidRPr="00603F15">
        <w:rPr>
          <w:rFonts w:asciiTheme="minorHAnsi" w:hAnsiTheme="minorHAnsi" w:cstheme="minorHAnsi"/>
          <w:i/>
          <w:sz w:val="21"/>
          <w:szCs w:val="21"/>
          <w:lang w:eastAsia="en-US"/>
        </w:rPr>
        <w:t xml:space="preserve">.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2"/>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3" w:name="_Hlk164674093"/>
      <w:r w:rsidRPr="00603F15">
        <w:rPr>
          <w:rFonts w:asciiTheme="minorHAnsi" w:hAnsiTheme="minorHAnsi" w:cstheme="minorHAnsi"/>
          <w:b/>
          <w:sz w:val="21"/>
          <w:szCs w:val="21"/>
          <w:shd w:val="clear" w:color="auto" w:fill="FFFFFF"/>
        </w:rPr>
        <w:lastRenderedPageBreak/>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3"/>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4C3A726C"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8361D0">
        <w:rPr>
          <w:rFonts w:asciiTheme="minorHAnsi" w:eastAsia="Times New Roman" w:hAnsiTheme="minorHAnsi" w:cstheme="minorHAnsi"/>
          <w:b w:val="0"/>
          <w:snapToGrid/>
          <w:sz w:val="21"/>
          <w:szCs w:val="21"/>
          <w:u w:val="none"/>
        </w:rPr>
        <w:t xml:space="preserve">dnem </w:t>
      </w:r>
      <w:r w:rsidR="008361D0" w:rsidRPr="008361D0">
        <w:rPr>
          <w:rFonts w:asciiTheme="minorHAnsi" w:eastAsia="Times New Roman" w:hAnsiTheme="minorHAnsi" w:cstheme="minorHAnsi"/>
          <w:snapToGrid/>
          <w:sz w:val="21"/>
          <w:szCs w:val="21"/>
          <w:u w:val="none"/>
        </w:rPr>
        <w:t>2</w:t>
      </w:r>
      <w:r w:rsidR="008B4E12">
        <w:rPr>
          <w:rFonts w:asciiTheme="minorHAnsi" w:eastAsia="Times New Roman" w:hAnsiTheme="minorHAnsi" w:cstheme="minorHAnsi"/>
          <w:snapToGrid/>
          <w:sz w:val="21"/>
          <w:szCs w:val="21"/>
          <w:u w:val="none"/>
        </w:rPr>
        <w:t>2</w:t>
      </w:r>
      <w:r w:rsidR="00B7077B" w:rsidRPr="008361D0">
        <w:rPr>
          <w:rFonts w:asciiTheme="minorHAnsi" w:eastAsia="Times New Roman" w:hAnsiTheme="minorHAnsi" w:cstheme="minorHAnsi"/>
          <w:snapToGrid/>
          <w:sz w:val="21"/>
          <w:szCs w:val="21"/>
          <w:u w:val="none"/>
        </w:rPr>
        <w:t>/</w:t>
      </w:r>
      <w:r w:rsidR="00BF2F8A" w:rsidRPr="008361D0">
        <w:rPr>
          <w:rFonts w:asciiTheme="minorHAnsi" w:eastAsia="Times New Roman" w:hAnsiTheme="minorHAnsi" w:cstheme="minorHAnsi"/>
          <w:snapToGrid/>
          <w:sz w:val="21"/>
          <w:szCs w:val="21"/>
          <w:u w:val="none"/>
        </w:rPr>
        <w:t>1</w:t>
      </w:r>
      <w:r w:rsidR="009C24E9" w:rsidRPr="008361D0">
        <w:rPr>
          <w:rFonts w:asciiTheme="minorHAnsi" w:eastAsia="Times New Roman" w:hAnsiTheme="minorHAnsi" w:cstheme="minorHAnsi"/>
          <w:snapToGrid/>
          <w:sz w:val="21"/>
          <w:szCs w:val="21"/>
          <w:u w:val="none"/>
        </w:rPr>
        <w:t>1</w:t>
      </w:r>
      <w:r w:rsidR="001C2D6D" w:rsidRPr="008361D0">
        <w:rPr>
          <w:rFonts w:asciiTheme="minorHAnsi" w:eastAsia="Times New Roman" w:hAnsiTheme="minorHAnsi" w:cstheme="minorHAnsi"/>
          <w:snapToGrid/>
          <w:sz w:val="21"/>
          <w:szCs w:val="21"/>
          <w:u w:val="none"/>
        </w:rPr>
        <w:t>/</w:t>
      </w:r>
      <w:r w:rsidR="00524805" w:rsidRPr="008361D0">
        <w:rPr>
          <w:rFonts w:asciiTheme="minorHAnsi" w:eastAsia="Times New Roman" w:hAnsiTheme="minorHAnsi" w:cstheme="minorHAnsi"/>
          <w:snapToGrid/>
          <w:sz w:val="21"/>
          <w:szCs w:val="21"/>
          <w:u w:val="none"/>
        </w:rPr>
        <w:t>202</w:t>
      </w:r>
      <w:r w:rsidR="00AD5570" w:rsidRPr="008361D0">
        <w:rPr>
          <w:rFonts w:asciiTheme="minorHAnsi" w:eastAsia="Times New Roman" w:hAnsiTheme="minorHAnsi" w:cstheme="minorHAnsi"/>
          <w:snapToGrid/>
          <w:sz w:val="21"/>
          <w:szCs w:val="21"/>
          <w:u w:val="none"/>
        </w:rPr>
        <w:t>4</w:t>
      </w:r>
      <w:r w:rsidRPr="008361D0">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lastRenderedPageBreak/>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lastRenderedPageBreak/>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w:t>
      </w:r>
      <w:r w:rsidR="003D4A44" w:rsidRPr="000559F0">
        <w:rPr>
          <w:rFonts w:asciiTheme="minorHAnsi" w:hAnsiTheme="minorHAnsi" w:cstheme="minorHAnsi"/>
          <w:sz w:val="21"/>
          <w:szCs w:val="21"/>
        </w:rPr>
        <w:lastRenderedPageBreak/>
        <w:t xml:space="preserve">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lastRenderedPageBreak/>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ADC3" w14:textId="77777777" w:rsidR="0072784C" w:rsidRDefault="0072784C">
      <w:pPr>
        <w:spacing w:after="0"/>
      </w:pPr>
      <w:r>
        <w:separator/>
      </w:r>
    </w:p>
  </w:endnote>
  <w:endnote w:type="continuationSeparator" w:id="0">
    <w:p w14:paraId="69B89D15" w14:textId="77777777" w:rsidR="0072784C" w:rsidRDefault="007278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679" w14:textId="77777777" w:rsidR="0072784C" w:rsidRDefault="0072784C">
      <w:pPr>
        <w:spacing w:after="0"/>
      </w:pPr>
      <w:r>
        <w:separator/>
      </w:r>
    </w:p>
  </w:footnote>
  <w:footnote w:type="continuationSeparator" w:id="0">
    <w:p w14:paraId="4AC93C70" w14:textId="77777777" w:rsidR="0072784C" w:rsidRDefault="007278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2C78"/>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361D0"/>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B4E12"/>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4BD5"/>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24E9"/>
    <w:rsid w:val="009C31E3"/>
    <w:rsid w:val="009C3597"/>
    <w:rsid w:val="009C3AB2"/>
    <w:rsid w:val="009C460E"/>
    <w:rsid w:val="009C486E"/>
    <w:rsid w:val="009D3026"/>
    <w:rsid w:val="009D43A5"/>
    <w:rsid w:val="009D443F"/>
    <w:rsid w:val="009D61E8"/>
    <w:rsid w:val="009D691F"/>
    <w:rsid w:val="009E6A7E"/>
    <w:rsid w:val="009E7976"/>
    <w:rsid w:val="009F10F8"/>
    <w:rsid w:val="009F1279"/>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626"/>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2A5"/>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E715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347ED-E1BA-491D-8A9F-D3880987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3707</Words>
  <Characters>21877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25533</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19</cp:revision>
  <cp:lastPrinted>2024-10-17T11:14:00Z</cp:lastPrinted>
  <dcterms:created xsi:type="dcterms:W3CDTF">2024-07-03T04:00:00Z</dcterms:created>
  <dcterms:modified xsi:type="dcterms:W3CDTF">2024-10-17T12:02:00Z</dcterms:modified>
</cp:coreProperties>
</file>