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E363F55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8C6BC4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6B3D8D8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A720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9F0652" w:rsidRPr="00F35F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Ultrazvukové systémy II</w:t>
      </w:r>
      <w:r w:rsidR="009F0652" w:rsidRPr="008A25B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9F06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“, část I.: UZV</w:t>
      </w:r>
      <w:r w:rsidR="00A720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A72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A720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VZ-2023-0010</w:t>
      </w:r>
      <w:r w:rsidR="009F06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</w:t>
      </w:r>
      <w:r w:rsidR="00A720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-01</w:t>
      </w:r>
      <w:r w:rsidR="00A720D6">
        <w:rPr>
          <w:rFonts w:asciiTheme="minorHAnsi" w:hAnsiTheme="minorHAnsi" w:cstheme="minorHAnsi"/>
          <w:b/>
          <w:sz w:val="20"/>
          <w:szCs w:val="20"/>
        </w:rPr>
        <w:t>.</w:t>
      </w:r>
      <w:r w:rsidR="00A720D6" w:rsidRPr="008D18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5400627F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je</w:t>
      </w:r>
      <w:r w:rsidR="002D0674">
        <w:rPr>
          <w:rFonts w:asciiTheme="minorHAnsi" w:hAnsiTheme="minorHAnsi" w:cstheme="minorHAnsi"/>
          <w:sz w:val="20"/>
        </w:rPr>
        <w:t xml:space="preserve">: </w:t>
      </w:r>
      <w:r w:rsidR="009F0652" w:rsidRPr="009F0652">
        <w:rPr>
          <w:rFonts w:asciiTheme="minorHAnsi" w:hAnsiTheme="minorHAnsi" w:cstheme="minorHAnsi"/>
          <w:b/>
          <w:sz w:val="20"/>
        </w:rPr>
        <w:t xml:space="preserve">Oddělení rehabilitace </w:t>
      </w:r>
      <w:r w:rsidR="00AE6008" w:rsidRPr="00AE6008">
        <w:rPr>
          <w:rFonts w:asciiTheme="minorHAnsi" w:hAnsiTheme="minorHAnsi" w:cstheme="minorHAnsi"/>
          <w:b/>
          <w:sz w:val="20"/>
        </w:rPr>
        <w:t>Fakultní nemocnice 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722533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>Provádění pravidelných servisních zásahů vyžadovaných výrobcem nebo platnou legislativou. Servisní zásah je poskytovatel povinen provést v periodě</w:t>
      </w:r>
      <w:r w:rsidR="007C355C" w:rsidRPr="00C60164">
        <w:rPr>
          <w:rFonts w:asciiTheme="minorHAnsi" w:hAnsiTheme="minorHAnsi" w:cstheme="minorHAnsi"/>
          <w:sz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7C355C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>
        <w:rPr>
          <w:rFonts w:asciiTheme="minorHAnsi" w:hAnsiTheme="minorHAnsi" w:cstheme="minorHAnsi"/>
          <w:b/>
          <w:sz w:val="20"/>
        </w:rPr>
        <w:t xml:space="preserve">,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3479B918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0D068820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E10419">
        <w:rPr>
          <w:rFonts w:asciiTheme="minorHAnsi" w:hAnsiTheme="minorHAnsi" w:cstheme="minorHAnsi"/>
          <w:sz w:val="20"/>
        </w:rPr>
        <w:t xml:space="preserve">smluvní pokutu, která </w:t>
      </w:r>
      <w:r w:rsidRPr="00E10419">
        <w:rPr>
          <w:rFonts w:asciiTheme="minorHAnsi" w:hAnsiTheme="minorHAnsi" w:cstheme="minorHAnsi"/>
          <w:b/>
          <w:sz w:val="20"/>
        </w:rPr>
        <w:t xml:space="preserve">činí </w:t>
      </w:r>
      <w:r w:rsidR="0069400D">
        <w:rPr>
          <w:rFonts w:asciiTheme="minorHAnsi" w:hAnsiTheme="minorHAnsi" w:cstheme="minorHAnsi"/>
          <w:b/>
          <w:sz w:val="20"/>
        </w:rPr>
        <w:t>5</w:t>
      </w:r>
      <w:r w:rsidR="00AF472D">
        <w:rPr>
          <w:rFonts w:asciiTheme="minorHAnsi" w:hAnsiTheme="minorHAnsi" w:cstheme="minorHAnsi"/>
          <w:b/>
          <w:sz w:val="20"/>
        </w:rPr>
        <w:t>0</w:t>
      </w:r>
      <w:r w:rsidR="008F0FDF" w:rsidRPr="00E10419">
        <w:rPr>
          <w:rFonts w:asciiTheme="minorHAnsi" w:hAnsiTheme="minorHAnsi" w:cstheme="minorHAnsi"/>
          <w:b/>
          <w:sz w:val="20"/>
        </w:rPr>
        <w:t>0</w:t>
      </w:r>
      <w:r w:rsidRPr="00E10419">
        <w:rPr>
          <w:rFonts w:asciiTheme="minorHAnsi" w:hAnsiTheme="minorHAnsi" w:cstheme="minorHAnsi"/>
          <w:b/>
          <w:sz w:val="20"/>
        </w:rPr>
        <w:t>,- Kč</w:t>
      </w:r>
      <w:r w:rsidRPr="00E10419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69400D">
        <w:rPr>
          <w:rFonts w:asciiTheme="minorHAnsi" w:hAnsiTheme="minorHAnsi" w:cstheme="minorHAnsi"/>
          <w:b/>
          <w:sz w:val="20"/>
        </w:rPr>
        <w:t>1</w:t>
      </w:r>
      <w:r w:rsidR="00AF472D">
        <w:rPr>
          <w:rFonts w:asciiTheme="minorHAnsi" w:hAnsiTheme="minorHAnsi" w:cstheme="minorHAnsi"/>
          <w:b/>
          <w:sz w:val="20"/>
        </w:rPr>
        <w:t>0</w:t>
      </w:r>
      <w:r w:rsidR="008F0FDF" w:rsidRPr="00E10419">
        <w:rPr>
          <w:rFonts w:asciiTheme="minorHAnsi" w:hAnsiTheme="minorHAnsi" w:cstheme="minorHAnsi"/>
          <w:b/>
          <w:sz w:val="20"/>
        </w:rPr>
        <w:t>00</w:t>
      </w:r>
      <w:r w:rsidRPr="00E10419">
        <w:rPr>
          <w:rFonts w:asciiTheme="minorHAnsi" w:hAnsiTheme="minorHAnsi" w:cstheme="minorHAnsi"/>
          <w:b/>
          <w:sz w:val="20"/>
        </w:rPr>
        <w:t>,- Kč</w:t>
      </w:r>
      <w:r w:rsidRPr="00E10419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5935B6B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6A198E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6A198E">
        <w:rPr>
          <w:rFonts w:asciiTheme="minorHAnsi" w:hAnsiTheme="minorHAnsi" w:cstheme="minorHAnsi"/>
          <w:b/>
          <w:sz w:val="20"/>
          <w:szCs w:val="20"/>
        </w:rPr>
        <w:t>2</w:t>
      </w:r>
      <w:r w:rsidR="008C6BC4">
        <w:rPr>
          <w:rFonts w:asciiTheme="minorHAnsi" w:hAnsiTheme="minorHAnsi" w:cstheme="minorHAnsi"/>
          <w:b/>
          <w:sz w:val="20"/>
          <w:szCs w:val="20"/>
        </w:rPr>
        <w:t>3</w:t>
      </w:r>
      <w:r w:rsidR="004313C9" w:rsidRPr="006A198E">
        <w:rPr>
          <w:rFonts w:asciiTheme="minorHAnsi" w:hAnsiTheme="minorHAnsi" w:cstheme="minorHAnsi"/>
          <w:b/>
          <w:sz w:val="20"/>
          <w:szCs w:val="20"/>
        </w:rPr>
        <w:t>-</w:t>
      </w:r>
      <w:r w:rsidR="00BF721A" w:rsidRPr="006A198E">
        <w:rPr>
          <w:rFonts w:asciiTheme="minorHAnsi" w:hAnsiTheme="minorHAnsi" w:cstheme="minorHAnsi"/>
          <w:b/>
          <w:sz w:val="20"/>
          <w:szCs w:val="20"/>
        </w:rPr>
        <w:t>00</w:t>
      </w:r>
      <w:r w:rsidR="00A720D6">
        <w:rPr>
          <w:rFonts w:asciiTheme="minorHAnsi" w:hAnsiTheme="minorHAnsi" w:cstheme="minorHAnsi"/>
          <w:b/>
          <w:sz w:val="20"/>
          <w:szCs w:val="20"/>
        </w:rPr>
        <w:t>10</w:t>
      </w:r>
      <w:r w:rsidR="009F0652">
        <w:rPr>
          <w:rFonts w:asciiTheme="minorHAnsi" w:hAnsiTheme="minorHAnsi" w:cstheme="minorHAnsi"/>
          <w:b/>
          <w:sz w:val="20"/>
          <w:szCs w:val="20"/>
        </w:rPr>
        <w:t>31</w:t>
      </w:r>
      <w:r w:rsidR="00AE6008">
        <w:rPr>
          <w:rFonts w:asciiTheme="minorHAnsi" w:hAnsiTheme="minorHAnsi" w:cstheme="minorHAnsi"/>
          <w:b/>
          <w:sz w:val="20"/>
          <w:szCs w:val="20"/>
        </w:rPr>
        <w:t>-0</w:t>
      </w:r>
      <w:r w:rsidR="00A720D6">
        <w:rPr>
          <w:rFonts w:asciiTheme="minorHAnsi" w:hAnsiTheme="minorHAnsi" w:cstheme="minorHAnsi"/>
          <w:b/>
          <w:sz w:val="20"/>
          <w:szCs w:val="20"/>
        </w:rPr>
        <w:t>1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39AD35E1" w14:textId="77777777" w:rsidR="008C6BC4" w:rsidRPr="00170FE0" w:rsidRDefault="001D1091" w:rsidP="008C6BC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</w:t>
      </w:r>
      <w:r w:rsidRPr="00C60164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C60164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8C6BC4">
        <w:rPr>
          <w:rFonts w:asciiTheme="minorHAnsi" w:hAnsiTheme="minorHAnsi" w:cstheme="minorHAnsi"/>
          <w:sz w:val="20"/>
          <w:szCs w:val="20"/>
        </w:rPr>
        <w:t>Poskytovatel</w:t>
      </w:r>
      <w:r w:rsidR="008C6BC4"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 w:rsidR="008C6BC4">
        <w:rPr>
          <w:rFonts w:asciiTheme="minorHAnsi" w:hAnsiTheme="minorHAnsi" w:cstheme="minorHAnsi"/>
          <w:sz w:val="20"/>
          <w:szCs w:val="20"/>
        </w:rPr>
        <w:t>objednatele</w:t>
      </w:r>
      <w:r w:rsidR="008C6BC4"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44F8CD68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17ECF25D" w14:textId="4B56CFA8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781A9C9E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2FF75A80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3F57B924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23666F59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2BCA77EF" w14:textId="596DE0BD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167D40F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573EFAD2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26292D0C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14B1E846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82880C7" w14:textId="276C2521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4E10060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16D8318D" w14:textId="77777777" w:rsidR="008C6BC4" w:rsidRPr="00170FE0" w:rsidRDefault="008C6BC4" w:rsidP="008C6BC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2B1C7D49" w14:textId="3E0FC2F2" w:rsidR="008C6BC4" w:rsidRDefault="008C6BC4" w:rsidP="008C6BC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12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051CD7EB" w14:textId="77777777" w:rsidR="00AF472D" w:rsidRDefault="00AF472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570D809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0BD18704" w14:textId="77777777" w:rsidR="00615CE5" w:rsidRDefault="00615CE5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13E6798B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BD0F68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D0F68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yVBbuzjumt9KaO/N0bO5NZCZSSwyi+BsSZIoTPTnflS6M4UKZHm7PCpvfvgkGepcenMe2CGzlOMcx0qQ2KiQ==" w:salt="mnlNybNsZltDlhe9B6s4HA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6C84"/>
    <w:rsid w:val="00014DDC"/>
    <w:rsid w:val="000158DF"/>
    <w:rsid w:val="00016DF5"/>
    <w:rsid w:val="00020F48"/>
    <w:rsid w:val="00025AA3"/>
    <w:rsid w:val="000427A1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C5F7B"/>
    <w:rsid w:val="000C6829"/>
    <w:rsid w:val="000D22A1"/>
    <w:rsid w:val="000D668F"/>
    <w:rsid w:val="000E023F"/>
    <w:rsid w:val="000E4F6A"/>
    <w:rsid w:val="000F6631"/>
    <w:rsid w:val="00115951"/>
    <w:rsid w:val="0012621C"/>
    <w:rsid w:val="00144E9B"/>
    <w:rsid w:val="001500DD"/>
    <w:rsid w:val="00150DD2"/>
    <w:rsid w:val="001512A6"/>
    <w:rsid w:val="00161E0D"/>
    <w:rsid w:val="00185136"/>
    <w:rsid w:val="0019414E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6C71"/>
    <w:rsid w:val="002207B6"/>
    <w:rsid w:val="00224F7D"/>
    <w:rsid w:val="002362B4"/>
    <w:rsid w:val="0024671D"/>
    <w:rsid w:val="00253D87"/>
    <w:rsid w:val="00256878"/>
    <w:rsid w:val="002752C2"/>
    <w:rsid w:val="00287BFD"/>
    <w:rsid w:val="0029507F"/>
    <w:rsid w:val="002B0E6A"/>
    <w:rsid w:val="002B66FC"/>
    <w:rsid w:val="002C746E"/>
    <w:rsid w:val="002D0674"/>
    <w:rsid w:val="002F1D41"/>
    <w:rsid w:val="00304E9A"/>
    <w:rsid w:val="003062E9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C55F5"/>
    <w:rsid w:val="003E4A70"/>
    <w:rsid w:val="003E7DF3"/>
    <w:rsid w:val="003F5783"/>
    <w:rsid w:val="0040501A"/>
    <w:rsid w:val="00406105"/>
    <w:rsid w:val="00410194"/>
    <w:rsid w:val="00411F8E"/>
    <w:rsid w:val="0041300C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F2EB2"/>
    <w:rsid w:val="00511900"/>
    <w:rsid w:val="005216C4"/>
    <w:rsid w:val="005324D4"/>
    <w:rsid w:val="005361F6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A6898"/>
    <w:rsid w:val="005B2783"/>
    <w:rsid w:val="005B4FA0"/>
    <w:rsid w:val="005B795A"/>
    <w:rsid w:val="005C44CC"/>
    <w:rsid w:val="005D1260"/>
    <w:rsid w:val="005D42F3"/>
    <w:rsid w:val="005F11AE"/>
    <w:rsid w:val="00615CE5"/>
    <w:rsid w:val="00630138"/>
    <w:rsid w:val="00637214"/>
    <w:rsid w:val="00643C03"/>
    <w:rsid w:val="00687068"/>
    <w:rsid w:val="0069400D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B7CF2"/>
    <w:rsid w:val="007C355C"/>
    <w:rsid w:val="007D3C08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C6BC4"/>
    <w:rsid w:val="008D05E8"/>
    <w:rsid w:val="008D16B1"/>
    <w:rsid w:val="008D5CD9"/>
    <w:rsid w:val="008E0267"/>
    <w:rsid w:val="008F0958"/>
    <w:rsid w:val="008F0FDF"/>
    <w:rsid w:val="008F6A83"/>
    <w:rsid w:val="008F73AF"/>
    <w:rsid w:val="00906458"/>
    <w:rsid w:val="0090663F"/>
    <w:rsid w:val="00907C14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9F0652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720D6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008"/>
    <w:rsid w:val="00AE6508"/>
    <w:rsid w:val="00AF472D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52B0"/>
    <w:rsid w:val="00BB7CFC"/>
    <w:rsid w:val="00BC222A"/>
    <w:rsid w:val="00BD05FE"/>
    <w:rsid w:val="00BD0F68"/>
    <w:rsid w:val="00BD128A"/>
    <w:rsid w:val="00BD6336"/>
    <w:rsid w:val="00BE1092"/>
    <w:rsid w:val="00BE42A4"/>
    <w:rsid w:val="00BF721A"/>
    <w:rsid w:val="00C15EA4"/>
    <w:rsid w:val="00C24521"/>
    <w:rsid w:val="00C277A8"/>
    <w:rsid w:val="00C511C2"/>
    <w:rsid w:val="00C56B1F"/>
    <w:rsid w:val="00C60164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5452C"/>
    <w:rsid w:val="00D61CC3"/>
    <w:rsid w:val="00D703C4"/>
    <w:rsid w:val="00D70BC7"/>
    <w:rsid w:val="00D752B3"/>
    <w:rsid w:val="00D76FBE"/>
    <w:rsid w:val="00D87F79"/>
    <w:rsid w:val="00D912C0"/>
    <w:rsid w:val="00DA7BF2"/>
    <w:rsid w:val="00DB4A47"/>
    <w:rsid w:val="00DC7880"/>
    <w:rsid w:val="00DF3842"/>
    <w:rsid w:val="00E02047"/>
    <w:rsid w:val="00E10419"/>
    <w:rsid w:val="00E12CBF"/>
    <w:rsid w:val="00E160EB"/>
    <w:rsid w:val="00E16997"/>
    <w:rsid w:val="00E310D6"/>
    <w:rsid w:val="00E359BD"/>
    <w:rsid w:val="00E45623"/>
    <w:rsid w:val="00E77ABE"/>
    <w:rsid w:val="00E859D7"/>
    <w:rsid w:val="00EB3120"/>
    <w:rsid w:val="00ED04AC"/>
    <w:rsid w:val="00F02630"/>
    <w:rsid w:val="00F13870"/>
    <w:rsid w:val="00F1516D"/>
    <w:rsid w:val="00F50B11"/>
    <w:rsid w:val="00F52EC0"/>
    <w:rsid w:val="00F60C1E"/>
    <w:rsid w:val="00F62C20"/>
    <w:rsid w:val="00F6369D"/>
    <w:rsid w:val="00F65C44"/>
    <w:rsid w:val="00F77437"/>
    <w:rsid w:val="00F93939"/>
    <w:rsid w:val="00FA1E1F"/>
    <w:rsid w:val="00FA7DF1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97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B52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CFF8-D923-41D6-8736-0B59EF10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4239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Kučera Jakub, Mgr.</cp:lastModifiedBy>
  <cp:revision>11</cp:revision>
  <cp:lastPrinted>2023-04-19T11:33:00Z</cp:lastPrinted>
  <dcterms:created xsi:type="dcterms:W3CDTF">2023-04-25T10:48:00Z</dcterms:created>
  <dcterms:modified xsi:type="dcterms:W3CDTF">2023-09-07T05:22:00Z</dcterms:modified>
</cp:coreProperties>
</file>