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Pr="009B01B4" w:rsidRDefault="00FD042F" w:rsidP="00226864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:rsidR="00FD042F" w:rsidRPr="009B01B4" w:rsidRDefault="00FD042F" w:rsidP="00226864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:rsidR="00F3468E" w:rsidRPr="00622C62" w:rsidRDefault="00F3468E" w:rsidP="00F3468E">
      <w:pPr>
        <w:jc w:val="both"/>
        <w:rPr>
          <w:rFonts w:ascii="Calibri Light" w:hAnsi="Calibri Light"/>
          <w:color w:val="1D1D1B"/>
          <w:sz w:val="20"/>
          <w:szCs w:val="20"/>
        </w:rPr>
      </w:pPr>
      <w:r w:rsidRPr="00622C62">
        <w:rPr>
          <w:rFonts w:ascii="Calibri Light" w:hAnsi="Calibri Light" w:cs="Arial"/>
          <w:b/>
          <w:color w:val="1D1D1B"/>
          <w:sz w:val="20"/>
          <w:szCs w:val="20"/>
        </w:rPr>
        <w:t>Příloha č. 1 – Seznam budov, které jsou zahrnuty v systému managementu hospodaření s energií.</w:t>
      </w:r>
      <w:r w:rsidRPr="00622C62">
        <w:rPr>
          <w:rFonts w:ascii="Calibri Light" w:hAnsi="Calibri Light" w:cs="Arial"/>
          <w:b/>
          <w:color w:val="1D1D1B"/>
          <w:sz w:val="20"/>
          <w:szCs w:val="20"/>
        </w:rPr>
        <w:tab/>
      </w:r>
    </w:p>
    <w:tbl>
      <w:tblPr>
        <w:tblW w:w="92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8246"/>
      </w:tblGrid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Označení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Název kliniky/ústavu/oddělení/pracoviště/budovy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A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Operační a vyšetřovací centrum (ambulance, operační sály, jednotky intenzivní péče)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B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Budova Franze Jozefa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C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Porodnicko-gynekologická klinika, Novorozenecké oddělení</w:t>
            </w:r>
          </w:p>
        </w:tc>
      </w:tr>
      <w:tr w:rsidR="00F3468E" w:rsidRPr="000A7986" w:rsidTr="007B3CED">
        <w:trPr>
          <w:trHeight w:val="6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D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 I. interní klinika, I. chirurgická </w:t>
            </w:r>
            <w:proofErr w:type="spellStart"/>
            <w:proofErr w:type="gram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klinika,II</w:t>
            </w:r>
            <w:proofErr w:type="spellEnd"/>
            <w:proofErr w:type="gram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. chirurgická klinika, Urologická klinika, Rehabilitační oddělení, Kardiochirurgická klinika, Traumatologická klinika 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E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Otolaryngologická klinika, Oční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F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Oddělení alergologie a klinické imunologie, Ústav imunologie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G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II. interní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H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Onkologická klinika, Klinika plicních nemocí a tuberkulózy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I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Oddělení klinické biochemie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J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III. interní klinika, Klinika nukleární medicíny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K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Hemato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-onkologická klinika (ambulance)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L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Hemato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-onkologická klinika, Oddělení rehabilitace (ambulance), Transfúzní oddělení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M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Neurologická klinika, Neurochirurgická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N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Sklady, šatny (bývalá lékárna)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Klinika tělovýchovného lékařství a kardiovaskulární rehabilitace, Úsek informačních technologií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P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Klinika chorob kožních a pohlavních, Klinika pracovního lékařství, </w:t>
            </w: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Hemato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-onkologická klinika (laboratoře)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Q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Dětská klinika, Oddělení klinické psychologie, Oddělení klinické biochemie (laboratoř dědičných a metabolických poruch)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R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Klinika ústní, čelistní a obličejové chirurgie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RZE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proofErr w:type="gramStart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Doprava - kancelář</w:t>
            </w:r>
            <w:proofErr w:type="gramEnd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, šatny, sklady (areál Hněvotínská)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RZF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 xml:space="preserve">Garáže, dílna 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RZG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proofErr w:type="gramStart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Garáže - osobní</w:t>
            </w:r>
            <w:proofErr w:type="gramEnd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 xml:space="preserve"> 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RZH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Sklad nábytku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RZI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 xml:space="preserve">Uhelna (nábytek Morava, nábytek </w:t>
            </w:r>
            <w:proofErr w:type="spellStart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Matúch</w:t>
            </w:r>
            <w:proofErr w:type="spellEnd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RZJ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 xml:space="preserve">Sklad oleje, garáže 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S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Ortopedická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SZM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MŠ, Karafiátova č. p. 895/</w:t>
            </w:r>
            <w:proofErr w:type="gramStart"/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3A</w:t>
            </w:r>
            <w:proofErr w:type="gramEnd"/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SZN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Karafiátova č.p.525/5 - pronájem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SZO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MŠ tělocvična, sklad FNOL Karafiátova č.p.894/3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T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Ústav lékařské genetiky, Psychiatrická klinika (dětská ambulance), Radiologická klinika (</w:t>
            </w: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mammografie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Psychiatrická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UZD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Denisova 10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UZQ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Klinika zubního lékařství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V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Psychiatrická klinika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WA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proofErr w:type="gram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Ředitelství  1</w:t>
            </w:r>
            <w:proofErr w:type="gramEnd"/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WB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Pošta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lastRenderedPageBreak/>
              <w:t>WD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Stravovací provoz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WE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Kotelna, spalovna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WF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Ředitelství 2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WG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Stolařská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 dílna, malíři, trafostanice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WI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Vrátnice Hněvotínská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WJ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Provoz prádelny, Sklad zdravotnických prostředků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WK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Trafostanice, agregát, dílna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WN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Sklad všeobecného materiálu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WO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Vrátnice I. P. Pavlova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WP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 xml:space="preserve">Trafostanice TS3, </w:t>
            </w:r>
            <w:proofErr w:type="spellStart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výměnička</w:t>
            </w:r>
            <w:proofErr w:type="spellEnd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 xml:space="preserve"> (u Dětské kliniky)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WQ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 xml:space="preserve">Med. </w:t>
            </w:r>
            <w:proofErr w:type="gramStart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plyny - rozvodna</w:t>
            </w:r>
            <w:proofErr w:type="gramEnd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, kompresorovna (u Dětské kliniky)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WS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Sněhurka (víkendový domek)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WT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Zahradnictví, parková skupina, garáže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WV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strike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strike/>
                <w:lang w:eastAsia="cs-CZ"/>
              </w:rPr>
              <w:t>Bufet (u Porodnicko-gynekologické kliniky)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WW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Odpařovací stanice O</w:t>
            </w:r>
            <w:r w:rsidRPr="00EF1AF2">
              <w:rPr>
                <w:rFonts w:ascii="Calibri Light" w:eastAsia="Times New Roman" w:hAnsi="Calibri Light" w:cs="Times New Roman"/>
                <w:color w:val="C00000"/>
                <w:vertAlign w:val="subscript"/>
                <w:lang w:eastAsia="cs-CZ"/>
              </w:rPr>
              <w:t>2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WX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Dílna, šatna hlavní mechanik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WZ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Energoblok TS2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Klinika nukleární medicíny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XA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Čistička odpadních vod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XC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údržba ZVIT - OSB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XE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 xml:space="preserve">Komorová </w:t>
            </w:r>
            <w:proofErr w:type="spellStart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mraznice</w:t>
            </w:r>
            <w:proofErr w:type="spellEnd"/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XF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Garáže - doprava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XG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Odbor dopravy - dispečink sanitek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XH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Garáže sanitek - doprava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XI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Stanice chladící (u budovy D2)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XM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Odbor dopravy (kanceláře)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XN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Investiční útvar (kanceláře)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XQ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Pevnůstka – Oddělení centrální spisovny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bookmarkStart w:id="0" w:name="_GoBack" w:colFirst="0" w:colLast="1"/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XR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Centrála potrubní pošty</w:t>
            </w:r>
          </w:p>
        </w:tc>
      </w:tr>
      <w:bookmarkEnd w:id="0"/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XS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Stanice N</w:t>
            </w:r>
            <w:r w:rsidRPr="00EF1AF2">
              <w:rPr>
                <w:rFonts w:ascii="Calibri Light" w:eastAsia="Times New Roman" w:hAnsi="Calibri Light" w:cs="Times New Roman"/>
                <w:color w:val="C00000"/>
                <w:vertAlign w:val="subscript"/>
                <w:lang w:eastAsia="cs-CZ"/>
              </w:rPr>
              <w:t>2</w:t>
            </w: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O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XT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EF1AF2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color w:val="C00000"/>
                <w:lang w:eastAsia="cs-CZ"/>
              </w:rPr>
            </w:pPr>
            <w:r w:rsidRPr="00EF1AF2">
              <w:rPr>
                <w:rFonts w:ascii="Calibri Light" w:eastAsia="Times New Roman" w:hAnsi="Calibri Light" w:cs="Times New Roman"/>
                <w:color w:val="C00000"/>
                <w:lang w:eastAsia="cs-CZ"/>
              </w:rPr>
              <w:t>Trafostanice (u Oddělení centrální spisovny)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II. interní klinika - gastroenterologie a geriatrie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YA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Ubytovna </w:t>
            </w: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I.P.Pavlova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 51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YB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Ubytovna Puškinova 215, Oddělení nemocniční hygieny, Sociální oddělení, Ostraha FNOL, pronájem (pekárna)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YC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proofErr w:type="gram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Ubytovna  </w:t>
            </w: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I.P.Pavlova</w:t>
            </w:r>
            <w:proofErr w:type="spellEnd"/>
            <w:proofErr w:type="gram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 31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YD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Ubytovna </w:t>
            </w:r>
            <w:proofErr w:type="spell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I.P.Pavlova</w:t>
            </w:r>
            <w:proofErr w:type="spellEnd"/>
            <w:r w:rsidRPr="000A7986">
              <w:rPr>
                <w:rFonts w:ascii="Calibri Light" w:eastAsia="Times New Roman" w:hAnsi="Calibri Light" w:cs="Times New Roman"/>
                <w:lang w:eastAsia="cs-CZ"/>
              </w:rPr>
              <w:t xml:space="preserve"> </w:t>
            </w:r>
            <w:proofErr w:type="gramStart"/>
            <w:r w:rsidRPr="000A7986">
              <w:rPr>
                <w:rFonts w:ascii="Calibri Light" w:eastAsia="Times New Roman" w:hAnsi="Calibri Light" w:cs="Times New Roman"/>
                <w:lang w:eastAsia="cs-CZ"/>
              </w:rPr>
              <w:t>19A</w:t>
            </w:r>
            <w:proofErr w:type="gramEnd"/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YE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Ubytovna 19 - LOTOS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YF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Ředitelská vila, pronájem (praktický lékař)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YG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Odbor hlavního mechanika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YH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Ubytovna Albertova 26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YH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Ubytovna Albertova 24</w:t>
            </w:r>
          </w:p>
        </w:tc>
      </w:tr>
      <w:tr w:rsidR="00F3468E" w:rsidRPr="000A7986" w:rsidTr="007B3CED">
        <w:trPr>
          <w:trHeight w:val="300"/>
        </w:trPr>
        <w:tc>
          <w:tcPr>
            <w:tcW w:w="5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Z</w:t>
            </w:r>
          </w:p>
        </w:tc>
        <w:tc>
          <w:tcPr>
            <w:tcW w:w="8700" w:type="dxa"/>
            <w:shd w:val="clear" w:color="auto" w:fill="auto"/>
            <w:vAlign w:val="center"/>
            <w:hideMark/>
          </w:tcPr>
          <w:p w:rsidR="00F3468E" w:rsidRPr="000A7986" w:rsidRDefault="00F3468E" w:rsidP="007B3CED">
            <w:pPr>
              <w:spacing w:after="0" w:line="240" w:lineRule="auto"/>
              <w:rPr>
                <w:rFonts w:ascii="Calibri Light" w:eastAsia="Times New Roman" w:hAnsi="Calibri Light" w:cs="Times New Roman"/>
                <w:lang w:eastAsia="cs-CZ"/>
              </w:rPr>
            </w:pPr>
            <w:r w:rsidRPr="000A7986">
              <w:rPr>
                <w:rFonts w:ascii="Calibri Light" w:eastAsia="Times New Roman" w:hAnsi="Calibri Light" w:cs="Times New Roman"/>
                <w:lang w:eastAsia="cs-CZ"/>
              </w:rPr>
              <w:t>Lékárna</w:t>
            </w:r>
          </w:p>
        </w:tc>
      </w:tr>
    </w:tbl>
    <w:p w:rsidR="00DB42E1" w:rsidRPr="009B01B4" w:rsidRDefault="00DB42E1" w:rsidP="00F3468E">
      <w:pPr>
        <w:pStyle w:val="Zkladntext"/>
        <w:suppressAutoHyphens/>
        <w:rPr>
          <w:rFonts w:ascii="Calibri Light" w:hAnsi="Calibri Light" w:cs="Calibri"/>
        </w:rPr>
      </w:pPr>
    </w:p>
    <w:sectPr w:rsidR="00DB42E1" w:rsidRPr="009B01B4" w:rsidSect="009B01B4">
      <w:headerReference w:type="default" r:id="rId7"/>
      <w:footerReference w:type="default" r:id="rId8"/>
      <w:pgSz w:w="11907" w:h="16839" w:code="9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BF9" w:rsidRDefault="00C13BF9" w:rsidP="00FD042F">
      <w:pPr>
        <w:spacing w:after="0" w:line="240" w:lineRule="auto"/>
      </w:pPr>
      <w:r>
        <w:separator/>
      </w:r>
    </w:p>
  </w:endnote>
  <w:endnote w:type="continuationSeparator" w:id="0">
    <w:p w:rsidR="00C13BF9" w:rsidRDefault="00C13BF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F3468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1D40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16083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F536A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BF9" w:rsidRDefault="00C13BF9" w:rsidP="00FD042F">
      <w:pPr>
        <w:spacing w:after="0" w:line="240" w:lineRule="auto"/>
      </w:pPr>
      <w:r>
        <w:separator/>
      </w:r>
    </w:p>
  </w:footnote>
  <w:footnote w:type="continuationSeparator" w:id="0">
    <w:p w:rsidR="00C13BF9" w:rsidRDefault="00C13BF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22E"/>
    <w:multiLevelType w:val="hybridMultilevel"/>
    <w:tmpl w:val="636ED4E0"/>
    <w:lvl w:ilvl="0" w:tplc="040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37F05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16357"/>
    <w:multiLevelType w:val="hybridMultilevel"/>
    <w:tmpl w:val="D1320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1BE1"/>
    <w:multiLevelType w:val="hybridMultilevel"/>
    <w:tmpl w:val="EB0477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333195"/>
    <w:multiLevelType w:val="hybridMultilevel"/>
    <w:tmpl w:val="AE8C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2FA"/>
    <w:multiLevelType w:val="hybridMultilevel"/>
    <w:tmpl w:val="025E2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4000E"/>
    <w:rsid w:val="0013471D"/>
    <w:rsid w:val="001B5834"/>
    <w:rsid w:val="00226864"/>
    <w:rsid w:val="00304CDE"/>
    <w:rsid w:val="00306FF8"/>
    <w:rsid w:val="003D12AC"/>
    <w:rsid w:val="003F5699"/>
    <w:rsid w:val="004B68DC"/>
    <w:rsid w:val="00501F08"/>
    <w:rsid w:val="005B7AA7"/>
    <w:rsid w:val="005D6870"/>
    <w:rsid w:val="00622C62"/>
    <w:rsid w:val="0071591E"/>
    <w:rsid w:val="00944134"/>
    <w:rsid w:val="009B01B4"/>
    <w:rsid w:val="00AC2FDD"/>
    <w:rsid w:val="00AC7273"/>
    <w:rsid w:val="00C13BF9"/>
    <w:rsid w:val="00C75EC9"/>
    <w:rsid w:val="00CB5559"/>
    <w:rsid w:val="00DB42E1"/>
    <w:rsid w:val="00EF1AF2"/>
    <w:rsid w:val="00F246F9"/>
    <w:rsid w:val="00F3468E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57195C-73E7-487F-8B23-19E2ECA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uiPriority w:val="9"/>
    <w:qFormat/>
    <w:rsid w:val="009B0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B42E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DB42E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zev">
    <w:name w:val="Title"/>
    <w:basedOn w:val="Normln"/>
    <w:link w:val="NzevChar"/>
    <w:qFormat/>
    <w:rsid w:val="00DB4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B42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DB42E1"/>
    <w:pPr>
      <w:suppressAutoHyphens/>
      <w:spacing w:after="0" w:line="240" w:lineRule="auto"/>
      <w:ind w:left="364" w:hanging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">
    <w:name w:val="text1"/>
    <w:rsid w:val="00DB42E1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B42E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B01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9B01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01B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01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Eyer Jan, Ing.</cp:lastModifiedBy>
  <cp:revision>2</cp:revision>
  <cp:lastPrinted>2017-06-15T07:14:00Z</cp:lastPrinted>
  <dcterms:created xsi:type="dcterms:W3CDTF">2021-09-24T09:31:00Z</dcterms:created>
  <dcterms:modified xsi:type="dcterms:W3CDTF">2021-09-24T09:31:00Z</dcterms:modified>
</cp:coreProperties>
</file>