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D54D7D" w:rsidRPr="00D54D7D" w:rsidRDefault="00255DEB" w:rsidP="00D54D7D">
      <w:pPr>
        <w:shd w:val="clear" w:color="auto" w:fill="FFFFFF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 w:rsidRPr="00255DEB">
        <w:fldChar w:fldCharType="begin"/>
      </w:r>
      <w:r w:rsidR="00746A80">
        <w:instrText xml:space="preserve"> HYPERLINK "http://www.mpo-efekt.cz/cz/legislativa/zakony-a-vyhlasky/zakon-406-2000" </w:instrText>
      </w:r>
      <w:r w:rsidRPr="00255DEB">
        <w:fldChar w:fldCharType="separate"/>
      </w:r>
      <w:r w:rsidR="00D54D7D" w:rsidRPr="00D54D7D">
        <w:rPr>
          <w:rFonts w:ascii="Arial" w:eastAsia="MS Mincho" w:hAnsi="Arial" w:cs="Arial"/>
          <w:b/>
          <w:bCs/>
          <w:sz w:val="20"/>
          <w:szCs w:val="20"/>
        </w:rPr>
        <w:t>Zákon č. 406/2000 Sb. o hospodaření energií</w:t>
      </w:r>
      <w:r>
        <w:rPr>
          <w:rFonts w:ascii="Arial" w:eastAsia="MS Mincho" w:hAnsi="Arial" w:cs="Arial"/>
          <w:b/>
          <w:bCs/>
          <w:sz w:val="20"/>
          <w:szCs w:val="20"/>
        </w:rPr>
        <w:fldChar w:fldCharType="end"/>
      </w:r>
      <w:r w:rsidR="00D54D7D" w:rsidRPr="00D54D7D">
        <w:rPr>
          <w:rFonts w:ascii="Arial" w:eastAsia="MS Mincho" w:hAnsi="Arial" w:cs="Arial"/>
          <w:sz w:val="20"/>
          <w:szCs w:val="20"/>
        </w:rPr>
        <w:t xml:space="preserve"> stanovuje </w:t>
      </w:r>
      <w:r w:rsidR="00D54D7D" w:rsidRPr="00D54D7D">
        <w:rPr>
          <w:rFonts w:ascii="Arial" w:eastAsia="MS Mincho" w:hAnsi="Arial" w:cs="Arial"/>
          <w:b/>
          <w:bCs/>
          <w:sz w:val="20"/>
          <w:szCs w:val="20"/>
        </w:rPr>
        <w:t>opatření pro zvyšování hospodárnosti využití energie</w:t>
      </w:r>
      <w:r w:rsidR="00D54D7D" w:rsidRPr="00D54D7D">
        <w:rPr>
          <w:rFonts w:ascii="Arial" w:eastAsia="MS Mincho" w:hAnsi="Arial" w:cs="Arial"/>
          <w:sz w:val="20"/>
          <w:szCs w:val="20"/>
        </w:rPr>
        <w:t xml:space="preserve"> a práva a povinnosti při nakládání s energií a energetickými zdroji. Jako základní koncepce pro efektivní využívání energie určuje </w:t>
      </w:r>
      <w:r w:rsidR="00D54D7D" w:rsidRPr="00D54D7D">
        <w:rPr>
          <w:rFonts w:ascii="Arial" w:eastAsia="MS Mincho" w:hAnsi="Arial" w:cs="Arial"/>
          <w:b/>
          <w:bCs/>
          <w:sz w:val="20"/>
          <w:szCs w:val="20"/>
        </w:rPr>
        <w:t>Státní energetickou koncepci</w:t>
      </w:r>
      <w:r w:rsidR="00D54D7D" w:rsidRPr="00D54D7D">
        <w:rPr>
          <w:rFonts w:ascii="Arial" w:eastAsia="MS Mincho" w:hAnsi="Arial" w:cs="Arial"/>
          <w:sz w:val="20"/>
          <w:szCs w:val="20"/>
        </w:rPr>
        <w:t xml:space="preserve">, územní energetické koncepce a </w:t>
      </w:r>
      <w:r w:rsidR="00D54D7D" w:rsidRPr="00D54D7D">
        <w:rPr>
          <w:rFonts w:ascii="Arial" w:eastAsia="MS Mincho" w:hAnsi="Arial" w:cs="Arial"/>
          <w:b/>
          <w:bCs/>
          <w:sz w:val="20"/>
          <w:szCs w:val="20"/>
        </w:rPr>
        <w:t>Státní program na podporu úspor energie a využití obnovitelných zdrojů energie</w:t>
      </w:r>
      <w:r w:rsidR="00D54D7D" w:rsidRPr="00D54D7D">
        <w:rPr>
          <w:rFonts w:ascii="Arial" w:eastAsia="MS Mincho" w:hAnsi="Arial" w:cs="Arial"/>
          <w:sz w:val="20"/>
          <w:szCs w:val="20"/>
        </w:rPr>
        <w:t xml:space="preserve">. </w:t>
      </w:r>
    </w:p>
    <w:p w:rsidR="00D54D7D" w:rsidRPr="00D54D7D" w:rsidRDefault="00D54D7D" w:rsidP="00D54D7D">
      <w:pPr>
        <w:shd w:val="clear" w:color="auto" w:fill="FFFFFF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 xml:space="preserve">Zákon dále stanovuje minimální energetickou účinnost pro výrobu energie, ukazatele pro energetickou náročnost budov, vytápění a přípravu teplé vody a zavádí povinnost provedení </w:t>
      </w:r>
      <w:bookmarkStart w:id="1" w:name="Energetický_audit"/>
      <w:r w:rsidR="00255DEB" w:rsidRPr="00D54D7D">
        <w:rPr>
          <w:rFonts w:ascii="Arial" w:eastAsia="MS Mincho" w:hAnsi="Arial" w:cs="Arial"/>
          <w:sz w:val="20"/>
          <w:szCs w:val="20"/>
        </w:rPr>
        <w:fldChar w:fldCharType="begin"/>
      </w:r>
      <w:r w:rsidRPr="00D54D7D">
        <w:rPr>
          <w:rFonts w:ascii="Arial" w:eastAsia="MS Mincho" w:hAnsi="Arial" w:cs="Arial"/>
          <w:sz w:val="20"/>
          <w:szCs w:val="20"/>
        </w:rPr>
        <w:instrText xml:space="preserve"> HYPERLINK "http://www.mpo-efekt.cz/cz/energeticke-expertizy/energeticky-audit" \o "Energetický audit" </w:instrText>
      </w:r>
      <w:r w:rsidR="00255DEB" w:rsidRPr="00D54D7D">
        <w:rPr>
          <w:rFonts w:ascii="Arial" w:eastAsia="MS Mincho" w:hAnsi="Arial" w:cs="Arial"/>
          <w:sz w:val="20"/>
          <w:szCs w:val="20"/>
        </w:rPr>
        <w:fldChar w:fldCharType="separate"/>
      </w:r>
      <w:r w:rsidRPr="00D54D7D">
        <w:rPr>
          <w:rFonts w:ascii="Arial" w:eastAsia="MS Mincho" w:hAnsi="Arial" w:cs="Arial"/>
          <w:sz w:val="20"/>
          <w:szCs w:val="20"/>
        </w:rPr>
        <w:t>energetického auditu</w:t>
      </w:r>
      <w:r w:rsidR="00255DEB" w:rsidRPr="00D54D7D">
        <w:rPr>
          <w:rFonts w:ascii="Arial" w:eastAsia="MS Mincho" w:hAnsi="Arial" w:cs="Arial"/>
          <w:sz w:val="20"/>
          <w:szCs w:val="20"/>
        </w:rPr>
        <w:fldChar w:fldCharType="end"/>
      </w:r>
      <w:bookmarkEnd w:id="1"/>
      <w:r w:rsidRPr="00D54D7D">
        <w:rPr>
          <w:rFonts w:ascii="Arial" w:eastAsia="MS Mincho" w:hAnsi="Arial" w:cs="Arial"/>
          <w:sz w:val="20"/>
          <w:szCs w:val="20"/>
        </w:rPr>
        <w:t xml:space="preserve"> pro větší spotřebitele energie a také zpracování </w:t>
      </w:r>
      <w:bookmarkStart w:id="2" w:name="Průkaz_eneretické_náročnosti_budov"/>
      <w:r w:rsidR="00255DEB" w:rsidRPr="00D54D7D">
        <w:rPr>
          <w:rFonts w:ascii="Arial" w:eastAsia="MS Mincho" w:hAnsi="Arial" w:cs="Arial"/>
          <w:sz w:val="20"/>
          <w:szCs w:val="20"/>
        </w:rPr>
        <w:fldChar w:fldCharType="begin"/>
      </w:r>
      <w:r w:rsidRPr="00D54D7D">
        <w:rPr>
          <w:rFonts w:ascii="Arial" w:eastAsia="MS Mincho" w:hAnsi="Arial" w:cs="Arial"/>
          <w:sz w:val="20"/>
          <w:szCs w:val="20"/>
        </w:rPr>
        <w:instrText xml:space="preserve"> HYPERLINK "http://www.mpo-efekt.cz/cz/energeticke-expertizy/prukaz-energeticke-narocnosti-budov" \o "Průkaz eneretické náročnosti budov" </w:instrText>
      </w:r>
      <w:r w:rsidR="00255DEB" w:rsidRPr="00D54D7D">
        <w:rPr>
          <w:rFonts w:ascii="Arial" w:eastAsia="MS Mincho" w:hAnsi="Arial" w:cs="Arial"/>
          <w:sz w:val="20"/>
          <w:szCs w:val="20"/>
        </w:rPr>
        <w:fldChar w:fldCharType="separate"/>
      </w:r>
      <w:r w:rsidRPr="00D54D7D">
        <w:rPr>
          <w:rFonts w:ascii="Arial" w:eastAsia="MS Mincho" w:hAnsi="Arial" w:cs="Arial"/>
          <w:sz w:val="20"/>
          <w:szCs w:val="20"/>
        </w:rPr>
        <w:t>průkazů energetické náročnosti budov</w:t>
      </w:r>
      <w:r w:rsidR="00255DEB" w:rsidRPr="00D54D7D">
        <w:rPr>
          <w:rFonts w:ascii="Arial" w:eastAsia="MS Mincho" w:hAnsi="Arial" w:cs="Arial"/>
          <w:sz w:val="20"/>
          <w:szCs w:val="20"/>
        </w:rPr>
        <w:fldChar w:fldCharType="end"/>
      </w:r>
      <w:bookmarkEnd w:id="2"/>
      <w:r w:rsidRPr="00D54D7D">
        <w:rPr>
          <w:rFonts w:ascii="Arial" w:eastAsia="MS Mincho" w:hAnsi="Arial" w:cs="Arial"/>
          <w:sz w:val="20"/>
          <w:szCs w:val="20"/>
        </w:rPr>
        <w:t xml:space="preserve"> pro všechny novostavby a opravy větších budov. Elektrospotřebiče jsou podle tohoto zákona povinně označovány energetickými štítky a jejich konstrukce podléhá požadavkům na </w:t>
      </w:r>
      <w:proofErr w:type="spellStart"/>
      <w:r w:rsidRPr="00D54D7D">
        <w:rPr>
          <w:rFonts w:ascii="Arial" w:eastAsia="MS Mincho" w:hAnsi="Arial" w:cs="Arial"/>
          <w:sz w:val="20"/>
          <w:szCs w:val="20"/>
        </w:rPr>
        <w:t>ekodesign</w:t>
      </w:r>
      <w:proofErr w:type="spellEnd"/>
      <w:r w:rsidRPr="00D54D7D">
        <w:rPr>
          <w:rFonts w:ascii="Arial" w:eastAsia="MS Mincho" w:hAnsi="Arial" w:cs="Arial"/>
          <w:sz w:val="20"/>
          <w:szCs w:val="20"/>
        </w:rPr>
        <w:t>.</w:t>
      </w:r>
    </w:p>
    <w:p w:rsidR="00D54D7D" w:rsidRPr="00D54D7D" w:rsidRDefault="00D54D7D" w:rsidP="00D54D7D">
      <w:pPr>
        <w:shd w:val="clear" w:color="auto" w:fill="FFFFFF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:rsidR="00D54D7D" w:rsidRPr="00D54D7D" w:rsidRDefault="00D54D7D" w:rsidP="00D54D7D">
      <w:pPr>
        <w:shd w:val="clear" w:color="auto" w:fill="FFFFFF"/>
        <w:spacing w:after="0" w:line="240" w:lineRule="auto"/>
        <w:jc w:val="both"/>
        <w:rPr>
          <w:rFonts w:ascii="Arial" w:eastAsia="MS Mincho" w:hAnsi="Arial" w:cs="Arial"/>
          <w:sz w:val="20"/>
          <w:szCs w:val="20"/>
          <w:u w:val="single"/>
        </w:rPr>
      </w:pPr>
      <w:r w:rsidRPr="00D54D7D">
        <w:rPr>
          <w:rFonts w:ascii="Arial" w:eastAsia="MS Mincho" w:hAnsi="Arial" w:cs="Arial"/>
          <w:sz w:val="20"/>
          <w:szCs w:val="20"/>
          <w:u w:val="single"/>
        </w:rPr>
        <w:t xml:space="preserve">Přehled aktuálně platných </w:t>
      </w:r>
      <w:r w:rsidR="00EF2EA6">
        <w:rPr>
          <w:rFonts w:ascii="Arial" w:eastAsia="MS Mincho" w:hAnsi="Arial" w:cs="Arial"/>
          <w:sz w:val="20"/>
          <w:szCs w:val="20"/>
          <w:u w:val="single"/>
        </w:rPr>
        <w:t>právních norem</w:t>
      </w:r>
      <w:r w:rsidRPr="00D54D7D">
        <w:rPr>
          <w:rFonts w:ascii="Arial" w:eastAsia="MS Mincho" w:hAnsi="Arial" w:cs="Arial"/>
          <w:sz w:val="20"/>
          <w:szCs w:val="20"/>
          <w:u w:val="single"/>
        </w:rPr>
        <w:t>, z jejichž názvů je zřejmé jejich zaměření:</w:t>
      </w:r>
    </w:p>
    <w:p w:rsidR="00EF2EA6" w:rsidRPr="00D54D7D" w:rsidRDefault="00EF2EA6" w:rsidP="00EF2E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>Zákon č. 201/2012 Sb., o ochraně ovzduší</w:t>
      </w:r>
    </w:p>
    <w:p w:rsidR="00EF2EA6" w:rsidRPr="00EF2EA6" w:rsidRDefault="00EF2EA6" w:rsidP="00EF2E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>Nařízení vlády č. 195/2001 Sb. kterým se stanoví podrobnosti obsahu územní energetické koncepce</w:t>
      </w:r>
    </w:p>
    <w:p w:rsidR="00D54D7D" w:rsidRPr="00D54D7D" w:rsidRDefault="00D54D7D" w:rsidP="00D54D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>Vyhláška č. 480/2012 Sb. o energetickém auditu a energetickém posudku</w:t>
      </w:r>
    </w:p>
    <w:p w:rsidR="00D54D7D" w:rsidRPr="00D54D7D" w:rsidRDefault="00D54D7D" w:rsidP="00D54D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>Vyhláška č. 78/2013 Sb. o energetické náročnosti budov</w:t>
      </w:r>
    </w:p>
    <w:p w:rsidR="00D54D7D" w:rsidRPr="00D54D7D" w:rsidRDefault="00D54D7D" w:rsidP="00D54D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>Vyhláška č. 441/2012 Sb. o stanovení minimální účinnosti užití energie při výrobě elektřiny a tepelné energie</w:t>
      </w:r>
    </w:p>
    <w:p w:rsidR="00D54D7D" w:rsidRPr="00D54D7D" w:rsidRDefault="00D54D7D" w:rsidP="00D54D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>Vyhláška č. 193/2007 Sb., kterou se stanoví podrobnosti účinnosti užití energie při rozvodu tepelné energie a vnitřním rozvodu tepelné energie a chladu</w:t>
      </w:r>
    </w:p>
    <w:p w:rsidR="00D54D7D" w:rsidRPr="00D54D7D" w:rsidRDefault="00D54D7D" w:rsidP="00D54D7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 xml:space="preserve">Vyhláška č. 194/2007 Sb., kterou se stanoví pravidla pro vytápění a dodávku teplé vody, měrné ukazatele spotřeby </w:t>
      </w:r>
      <w:r w:rsidRPr="00D54D7D">
        <w:rPr>
          <w:rFonts w:ascii="Arial" w:eastAsia="MS Mincho" w:hAnsi="Arial" w:cs="Arial"/>
          <w:color w:val="000000"/>
          <w:sz w:val="20"/>
          <w:szCs w:val="20"/>
        </w:rPr>
        <w:t>tepelné energie pro vytápění a pro přípravu teplé vody a požadavky na vybavení vnitřních tepelných zařízení budov přístroji regulujícími a registrujícími dodávku tepelné energie</w:t>
      </w:r>
    </w:p>
    <w:p w:rsidR="00D54D7D" w:rsidRPr="00D54D7D" w:rsidRDefault="00D54D7D" w:rsidP="00D54D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>Vyhláška č. 194/2013 Sb. o kontrole kotlů a rozvodů tepelné energie</w:t>
      </w:r>
    </w:p>
    <w:p w:rsidR="00D54D7D" w:rsidRPr="00D54D7D" w:rsidRDefault="00D54D7D" w:rsidP="00D54D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>Vyhláška č. 193/2013 Sb. o kontrole klimatizačních systémů</w:t>
      </w:r>
    </w:p>
    <w:p w:rsidR="00D54D7D" w:rsidRDefault="00D54D7D" w:rsidP="00D54D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t>Vyhláška č. 118/2013 Sb. o energetických specialistech</w:t>
      </w:r>
    </w:p>
    <w:p w:rsidR="002B2F86" w:rsidRPr="002B2F86" w:rsidRDefault="002B2F86" w:rsidP="002B2F86">
      <w:pPr>
        <w:pStyle w:val="Odstavecseseznamem"/>
        <w:numPr>
          <w:ilvl w:val="0"/>
          <w:numId w:val="2"/>
        </w:numPr>
        <w:ind w:hanging="720"/>
        <w:rPr>
          <w:rFonts w:ascii="Arial" w:eastAsia="MS Mincho" w:hAnsi="Arial" w:cs="Arial"/>
          <w:sz w:val="20"/>
          <w:szCs w:val="20"/>
        </w:rPr>
      </w:pPr>
      <w:r w:rsidRPr="002B2F86">
        <w:rPr>
          <w:rFonts w:ascii="Arial" w:eastAsia="MS Mincho" w:hAnsi="Arial" w:cs="Arial"/>
          <w:sz w:val="20"/>
          <w:szCs w:val="20"/>
        </w:rPr>
        <w:t>ČSN EN ISO 50001 - Systémy managementu hospodaření s energií - Požadavky s návodem k použití</w:t>
      </w:r>
    </w:p>
    <w:p w:rsidR="002B2F86" w:rsidRPr="002B2F86" w:rsidRDefault="002B2F86" w:rsidP="002B2F86">
      <w:pPr>
        <w:pStyle w:val="Odstavecseseznamem"/>
        <w:numPr>
          <w:ilvl w:val="0"/>
          <w:numId w:val="2"/>
        </w:numPr>
        <w:ind w:hanging="720"/>
        <w:rPr>
          <w:rFonts w:ascii="Arial" w:eastAsia="MS Mincho" w:hAnsi="Arial" w:cs="Arial"/>
          <w:sz w:val="20"/>
          <w:szCs w:val="20"/>
        </w:rPr>
      </w:pPr>
      <w:r w:rsidRPr="002B2F86">
        <w:rPr>
          <w:rFonts w:ascii="Arial" w:eastAsia="MS Mincho" w:hAnsi="Arial" w:cs="Arial"/>
          <w:sz w:val="20"/>
          <w:szCs w:val="20"/>
        </w:rPr>
        <w:t>ČSN EN ISO 50002 - Energetické audity - Požadavky s návodem pro použití</w:t>
      </w:r>
    </w:p>
    <w:p w:rsidR="00D54D7D" w:rsidRDefault="002B2F86" w:rsidP="002B2F8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ind w:hanging="720"/>
        <w:outlineLvl w:val="0"/>
        <w:rPr>
          <w:rFonts w:ascii="Arial" w:eastAsia="MS Mincho" w:hAnsi="Arial" w:cs="Arial"/>
          <w:sz w:val="20"/>
          <w:szCs w:val="20"/>
        </w:rPr>
      </w:pPr>
      <w:r w:rsidRPr="002B2F86">
        <w:rPr>
          <w:rFonts w:ascii="Arial" w:eastAsia="MS Mincho" w:hAnsi="Arial" w:cs="Arial"/>
          <w:sz w:val="20"/>
          <w:szCs w:val="20"/>
        </w:rPr>
        <w:t>ČSN EN ISO 50006 - Systémy managementu hospodaření s energií - Měření energetické náročnosti pomocí výchozího stavu spotřeby energie (</w:t>
      </w:r>
      <w:proofErr w:type="spellStart"/>
      <w:r w:rsidRPr="002B2F86">
        <w:rPr>
          <w:rFonts w:ascii="Arial" w:eastAsia="MS Mincho" w:hAnsi="Arial" w:cs="Arial"/>
          <w:sz w:val="20"/>
          <w:szCs w:val="20"/>
        </w:rPr>
        <w:t>EnB</w:t>
      </w:r>
      <w:proofErr w:type="spellEnd"/>
      <w:r w:rsidRPr="002B2F86">
        <w:rPr>
          <w:rFonts w:ascii="Arial" w:eastAsia="MS Mincho" w:hAnsi="Arial" w:cs="Arial"/>
          <w:sz w:val="20"/>
          <w:szCs w:val="20"/>
        </w:rPr>
        <w:t>) a ukazatelů energetické náročnosti (</w:t>
      </w:r>
      <w:proofErr w:type="spellStart"/>
      <w:r w:rsidRPr="002B2F86">
        <w:rPr>
          <w:rFonts w:ascii="Arial" w:eastAsia="MS Mincho" w:hAnsi="Arial" w:cs="Arial"/>
          <w:sz w:val="20"/>
          <w:szCs w:val="20"/>
        </w:rPr>
        <w:t>EnPl</w:t>
      </w:r>
      <w:proofErr w:type="spellEnd"/>
      <w:r w:rsidRPr="002B2F86">
        <w:rPr>
          <w:rFonts w:ascii="Arial" w:eastAsia="MS Mincho" w:hAnsi="Arial" w:cs="Arial"/>
          <w:sz w:val="20"/>
          <w:szCs w:val="20"/>
        </w:rPr>
        <w:t>) - Obecné zásady a návod</w:t>
      </w:r>
    </w:p>
    <w:p w:rsidR="002B2F86" w:rsidRPr="002B2F86" w:rsidRDefault="002B2F86" w:rsidP="002B2F86">
      <w:pPr>
        <w:pStyle w:val="Odstavecseseznamem"/>
        <w:keepNext/>
        <w:keepLines/>
        <w:spacing w:after="0" w:line="240" w:lineRule="auto"/>
        <w:outlineLvl w:val="0"/>
        <w:rPr>
          <w:rFonts w:ascii="Arial" w:eastAsia="MS Mincho" w:hAnsi="Arial" w:cs="Arial"/>
          <w:sz w:val="20"/>
          <w:szCs w:val="20"/>
        </w:rPr>
      </w:pPr>
    </w:p>
    <w:p w:rsidR="00D54D7D" w:rsidRPr="00D54D7D" w:rsidRDefault="00D54D7D" w:rsidP="00D54D7D">
      <w:pPr>
        <w:spacing w:after="0" w:line="240" w:lineRule="auto"/>
        <w:rPr>
          <w:rFonts w:ascii="Arial" w:eastAsia="MS Mincho" w:hAnsi="Arial" w:cs="Arial"/>
          <w:sz w:val="20"/>
          <w:szCs w:val="24"/>
          <w:u w:val="single"/>
        </w:rPr>
      </w:pPr>
      <w:r w:rsidRPr="00D54D7D">
        <w:rPr>
          <w:rFonts w:ascii="Arial" w:eastAsia="MS Mincho" w:hAnsi="Arial" w:cs="Arial"/>
          <w:sz w:val="20"/>
          <w:szCs w:val="24"/>
          <w:u w:val="single"/>
        </w:rPr>
        <w:t>Přehled základních alternativních opatření – dotačních programů pro aktuální období:</w:t>
      </w:r>
    </w:p>
    <w:p w:rsidR="00D54D7D" w:rsidRPr="00D54D7D" w:rsidRDefault="00D54D7D" w:rsidP="00D54D7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4"/>
        </w:rPr>
      </w:pPr>
      <w:r w:rsidRPr="00D54D7D">
        <w:rPr>
          <w:rFonts w:ascii="Arial" w:eastAsia="MS Mincho" w:hAnsi="Arial" w:cs="Arial"/>
          <w:sz w:val="20"/>
          <w:szCs w:val="24"/>
        </w:rPr>
        <w:t>Operační program podnikání a inovace pro konkurenceschopnost 2014 – 2020 (MPO)</w:t>
      </w:r>
    </w:p>
    <w:p w:rsidR="00D54D7D" w:rsidRPr="00D54D7D" w:rsidRDefault="00D54D7D" w:rsidP="00D54D7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b/>
          <w:sz w:val="20"/>
          <w:szCs w:val="24"/>
        </w:rPr>
      </w:pPr>
      <w:r w:rsidRPr="00D54D7D">
        <w:rPr>
          <w:rFonts w:ascii="Arial" w:eastAsia="MS Mincho" w:hAnsi="Arial" w:cs="Arial"/>
          <w:b/>
          <w:sz w:val="20"/>
          <w:szCs w:val="24"/>
        </w:rPr>
        <w:t>Operační program Životní prostředí 2014 – 2020 (MŽP)</w:t>
      </w:r>
    </w:p>
    <w:p w:rsidR="00D54D7D" w:rsidRPr="00D54D7D" w:rsidRDefault="00D54D7D" w:rsidP="00D54D7D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4"/>
        </w:rPr>
      </w:pPr>
      <w:r w:rsidRPr="00D54D7D">
        <w:rPr>
          <w:rFonts w:ascii="Arial" w:eastAsia="MS Mincho" w:hAnsi="Arial" w:cs="Arial"/>
          <w:sz w:val="20"/>
          <w:szCs w:val="24"/>
        </w:rPr>
        <w:t>Poskytování dotací na zateplení objektů (veřejný sektor)</w:t>
      </w:r>
    </w:p>
    <w:p w:rsidR="00D54D7D" w:rsidRPr="00D54D7D" w:rsidRDefault="00D54D7D" w:rsidP="00D54D7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Arial" w:eastAsia="MS Mincho" w:hAnsi="Arial" w:cs="Arial"/>
          <w:sz w:val="20"/>
          <w:szCs w:val="24"/>
        </w:rPr>
      </w:pPr>
      <w:r w:rsidRPr="00D54D7D">
        <w:rPr>
          <w:rFonts w:ascii="Arial" w:eastAsia="MS Mincho" w:hAnsi="Arial" w:cs="Arial"/>
          <w:b/>
          <w:sz w:val="20"/>
          <w:szCs w:val="24"/>
          <w:u w:val="single"/>
        </w:rPr>
        <w:t>NUTNÁ PODMÍNKA = provádění energetického managementu</w:t>
      </w:r>
      <w:r w:rsidRPr="00D54D7D">
        <w:rPr>
          <w:rFonts w:ascii="Arial" w:eastAsia="MS Mincho" w:hAnsi="Arial" w:cs="Arial"/>
          <w:sz w:val="20"/>
          <w:szCs w:val="24"/>
        </w:rPr>
        <w:t xml:space="preserve"> (povinnou součástí žádosti o dotaci je zpracovaný energetický posudek, ve kterém musí být definováno vyregulování otopné </w:t>
      </w:r>
      <w:r w:rsidRPr="00D54D7D">
        <w:rPr>
          <w:rFonts w:ascii="Arial" w:eastAsia="MS Mincho" w:hAnsi="Arial" w:cs="Arial"/>
          <w:color w:val="000000"/>
          <w:sz w:val="20"/>
          <w:szCs w:val="20"/>
        </w:rPr>
        <w:t>soustavy</w:t>
      </w:r>
      <w:r w:rsidRPr="00D54D7D">
        <w:rPr>
          <w:rFonts w:ascii="Arial" w:eastAsia="MS Mincho" w:hAnsi="Arial" w:cs="Arial"/>
          <w:sz w:val="20"/>
          <w:szCs w:val="24"/>
        </w:rPr>
        <w:t xml:space="preserve"> a povinnost zavedení energetického managementu – žadatel musí u projektu zajistit následné provádění energetického managementu)</w:t>
      </w:r>
    </w:p>
    <w:p w:rsidR="00D54D7D" w:rsidRPr="00D54D7D" w:rsidRDefault="00D54D7D" w:rsidP="00D54D7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4"/>
        </w:rPr>
      </w:pPr>
      <w:r w:rsidRPr="00D54D7D">
        <w:rPr>
          <w:rFonts w:ascii="Arial" w:eastAsia="MS Mincho" w:hAnsi="Arial" w:cs="Arial"/>
          <w:sz w:val="20"/>
          <w:szCs w:val="24"/>
        </w:rPr>
        <w:t>Integrovaný regionální operační program 2014 – 2020 (MMR)</w:t>
      </w:r>
    </w:p>
    <w:p w:rsidR="00D54D7D" w:rsidRPr="00D54D7D" w:rsidRDefault="00D54D7D" w:rsidP="00D54D7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4"/>
        </w:rPr>
      </w:pPr>
      <w:r w:rsidRPr="00D54D7D">
        <w:rPr>
          <w:rFonts w:ascii="Arial" w:eastAsia="MS Mincho" w:hAnsi="Arial" w:cs="Arial"/>
          <w:sz w:val="20"/>
          <w:szCs w:val="24"/>
        </w:rPr>
        <w:t>Nová Zelená úsporám 2014 – 2020 (MŽP)</w:t>
      </w:r>
    </w:p>
    <w:p w:rsidR="00D54D7D" w:rsidRPr="00D54D7D" w:rsidRDefault="00D54D7D" w:rsidP="00D54D7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sz w:val="20"/>
          <w:szCs w:val="24"/>
        </w:rPr>
      </w:pPr>
      <w:r w:rsidRPr="00D54D7D">
        <w:rPr>
          <w:rFonts w:ascii="Arial" w:eastAsia="MS Mincho" w:hAnsi="Arial" w:cs="Arial"/>
          <w:sz w:val="20"/>
          <w:szCs w:val="24"/>
        </w:rPr>
        <w:t>Operační program Praha – pól růstu (Hlavní město Praha)</w:t>
      </w:r>
    </w:p>
    <w:p w:rsidR="00D54D7D" w:rsidRPr="00D54D7D" w:rsidRDefault="00D54D7D" w:rsidP="00D54D7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Arial" w:eastAsia="MS Mincho" w:hAnsi="Arial" w:cs="Arial"/>
          <w:b/>
          <w:sz w:val="20"/>
          <w:szCs w:val="24"/>
        </w:rPr>
      </w:pPr>
      <w:r w:rsidRPr="00D54D7D">
        <w:rPr>
          <w:rFonts w:ascii="Arial" w:eastAsia="MS Mincho" w:hAnsi="Arial" w:cs="Arial"/>
          <w:b/>
          <w:sz w:val="20"/>
          <w:szCs w:val="24"/>
        </w:rPr>
        <w:t>Program EFEKT (MPO)</w:t>
      </w:r>
    </w:p>
    <w:p w:rsidR="00D54D7D" w:rsidRPr="00D54D7D" w:rsidRDefault="00D54D7D" w:rsidP="00D54D7D">
      <w:pPr>
        <w:spacing w:after="0" w:line="240" w:lineRule="auto"/>
        <w:contextualSpacing/>
        <w:jc w:val="both"/>
        <w:rPr>
          <w:rFonts w:ascii="Arial" w:eastAsia="MS Mincho" w:hAnsi="Arial" w:cs="Arial"/>
          <w:b/>
          <w:sz w:val="20"/>
          <w:szCs w:val="24"/>
        </w:rPr>
      </w:pPr>
    </w:p>
    <w:p w:rsidR="00F45478" w:rsidRDefault="00D54D7D" w:rsidP="00D54D7D">
      <w:pPr>
        <w:rPr>
          <w:rFonts w:ascii="Arial" w:eastAsia="MS Mincho" w:hAnsi="Arial" w:cs="Arial"/>
          <w:sz w:val="20"/>
          <w:szCs w:val="20"/>
        </w:rPr>
      </w:pPr>
      <w:r w:rsidRPr="00D54D7D">
        <w:rPr>
          <w:rFonts w:ascii="Arial" w:eastAsia="MS Mincho" w:hAnsi="Arial" w:cs="Arial"/>
          <w:sz w:val="20"/>
          <w:szCs w:val="20"/>
        </w:rPr>
        <w:lastRenderedPageBreak/>
        <w:t>Zároveň upozorňujeme, že tento dokument neposkytuje přehled povinných kontrol, prohlídek, revizí a zkoušek technických zařízení instalovaných v budovách.</w:t>
      </w:r>
    </w:p>
    <w:p w:rsidR="00D54D7D" w:rsidRPr="00D54D7D" w:rsidRDefault="00D54D7D" w:rsidP="00D54D7D">
      <w:pPr>
        <w:pStyle w:val="Nadpis1"/>
        <w:spacing w:before="0"/>
        <w:ind w:right="-739"/>
        <w:rPr>
          <w:rFonts w:ascii="Arial" w:hAnsi="Arial" w:cs="Arial"/>
          <w:color w:val="auto"/>
          <w:sz w:val="20"/>
          <w:szCs w:val="20"/>
        </w:rPr>
      </w:pPr>
      <w:r w:rsidRPr="00D54D7D">
        <w:rPr>
          <w:rFonts w:ascii="Arial" w:hAnsi="Arial" w:cs="Arial"/>
          <w:color w:val="auto"/>
          <w:sz w:val="20"/>
          <w:szCs w:val="20"/>
        </w:rPr>
        <w:t xml:space="preserve">Legislativní povinnosti </w:t>
      </w:r>
    </w:p>
    <w:p w:rsidR="00D54D7D" w:rsidRDefault="00D54D7D" w:rsidP="00D54D7D">
      <w:pPr>
        <w:shd w:val="clear" w:color="auto" w:fill="FFFFFF"/>
        <w:rPr>
          <w:rFonts w:ascii="Arial" w:hAnsi="Arial" w:cs="Arial"/>
          <w:sz w:val="20"/>
          <w:szCs w:val="20"/>
          <w:u w:val="single"/>
        </w:rPr>
      </w:pPr>
      <w:r w:rsidRPr="00D54D7D">
        <w:rPr>
          <w:rFonts w:ascii="Arial" w:hAnsi="Arial" w:cs="Arial"/>
          <w:sz w:val="20"/>
          <w:szCs w:val="20"/>
          <w:u w:val="single"/>
        </w:rPr>
        <w:t xml:space="preserve">Přehled povinností na zpracování dokumentace a provádění činností dle zákona č.406/2000 Sb. o hospodaření energií a jeho prováděcích vyhlášek: </w:t>
      </w:r>
    </w:p>
    <w:tbl>
      <w:tblPr>
        <w:tblW w:w="4975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73"/>
        <w:gridCol w:w="2570"/>
        <w:gridCol w:w="3985"/>
        <w:gridCol w:w="2702"/>
        <w:gridCol w:w="3141"/>
      </w:tblGrid>
      <w:tr w:rsidR="00D54D7D" w:rsidRPr="00D54D7D" w:rsidTr="007E69BC">
        <w:trPr>
          <w:trHeight w:val="30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Dokument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Povinnost vypracovat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Kdy se musí zpracovávat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Platnost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Zákon, vyhláška</w:t>
            </w:r>
          </w:p>
        </w:tc>
      </w:tr>
      <w:tr w:rsidR="00D54D7D" w:rsidRPr="00D54D7D" w:rsidTr="007E69BC">
        <w:trPr>
          <w:trHeight w:val="30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Průkaz energetické náročnosti budovy</w:t>
            </w:r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(PENB)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Nové budovy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při výstavbě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D54D7D">
              <w:rPr>
                <w:rFonts w:ascii="Arial" w:eastAsia="MS Mincho" w:hAnsi="Arial" w:cs="Arial"/>
                <w:sz w:val="16"/>
                <w:szCs w:val="16"/>
              </w:rPr>
              <w:t>10 let ode dne jeho vyhotovení nebo do provedení větší změny dokončené budovy, pro kterou byl zpracován, anebo do provedení změny způsobu vytápění, chlazení nebo přípravy teplé vody v dané budově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D54D7D">
              <w:rPr>
                <w:rFonts w:ascii="Arial" w:eastAsia="MS Mincho" w:hAnsi="Arial" w:cs="Arial"/>
                <w:sz w:val="16"/>
                <w:szCs w:val="16"/>
              </w:rPr>
              <w:t xml:space="preserve">§ 7a </w:t>
            </w:r>
            <w:hyperlink r:id="rId8" w:history="1">
              <w:r w:rsidRPr="00D54D7D">
                <w:rPr>
                  <w:rFonts w:ascii="Arial" w:eastAsia="MS Mincho" w:hAnsi="Arial" w:cs="Arial"/>
                  <w:b/>
                  <w:bCs/>
                  <w:sz w:val="16"/>
                  <w:szCs w:val="16"/>
                </w:rPr>
                <w:t>zákona č. 406/2000 Sb.</w:t>
              </w:r>
              <w:r w:rsidRPr="00D54D7D">
                <w:rPr>
                  <w:rFonts w:ascii="Arial" w:eastAsia="MS Mincho" w:hAnsi="Arial" w:cs="Arial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bližší informace dává </w:t>
            </w:r>
            <w:proofErr w:type="spellStart"/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 č. 78/2013 Sb. o energetické náročnosti budov</w:t>
            </w:r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povinnost zpracovat PENB se nevztahuje na případy, jež zmiňuje § 7a </w:t>
            </w:r>
            <w:hyperlink r:id="rId9" w:history="1">
              <w:r w:rsidRPr="00D54D7D">
                <w:rPr>
                  <w:rFonts w:ascii="Arial" w:eastAsia="MS Mincho" w:hAnsi="Arial" w:cs="Arial"/>
                  <w:b/>
                  <w:bCs/>
                  <w:sz w:val="16"/>
                  <w:szCs w:val="16"/>
                </w:rPr>
                <w:t>zákona č. 406/2000 Sb.</w:t>
              </w:r>
              <w:r w:rsidRPr="00D54D7D">
                <w:rPr>
                  <w:rFonts w:ascii="Arial" w:eastAsia="MS Mincho" w:hAnsi="Arial" w:cs="Arial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D54D7D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, odst. 5 </w:t>
            </w:r>
          </w:p>
        </w:tc>
      </w:tr>
      <w:tr w:rsidR="00D54D7D" w:rsidRPr="00D54D7D" w:rsidTr="007E69BC">
        <w:trPr>
          <w:trHeight w:val="30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Větší změny dokončených budov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při realizaci změny</w:t>
            </w: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54D7D" w:rsidRPr="00D54D7D" w:rsidTr="007E69BC">
        <w:trPr>
          <w:trHeight w:val="30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Budovy užívané orgánem veřejné moci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od </w:t>
            </w:r>
            <w:proofErr w:type="gramStart"/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1.7.2013</w:t>
            </w:r>
            <w:proofErr w:type="gramEnd"/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 pro všechny budovy s celkovou energeticky vztažnou plochou větší než 500 m²</w:t>
            </w: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54D7D" w:rsidRPr="00D54D7D" w:rsidTr="007E69BC">
        <w:trPr>
          <w:trHeight w:val="300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od </w:t>
            </w:r>
            <w:proofErr w:type="gramStart"/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1.7.2015</w:t>
            </w:r>
            <w:proofErr w:type="gramEnd"/>
            <w:r w:rsidRPr="00D54D7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 i pro všechny budovy s celkovou energeticky vztažnou plochou </w:t>
            </w: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větší než 250 m²</w:t>
            </w: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54D7D" w:rsidRPr="00D54D7D" w:rsidTr="007E69BC">
        <w:trPr>
          <w:trHeight w:val="73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Energetický audit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Fyzické a právnické osoby</w:t>
            </w:r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(tj. i města a obce)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povinnost vzniká v případě, že je součet celkových spotřeb energie všech budov organizace vyšší jak </w:t>
            </w:r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35 000 GJ (9 722 </w:t>
            </w:r>
            <w:proofErr w:type="spellStart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)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za rok, přičemž energetický audit se zpracuje pouze pro ty budovy, které mají spotřebu energie vyšší než </w:t>
            </w:r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700 GJ (194 </w:t>
            </w:r>
            <w:proofErr w:type="spellStart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)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za rok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provedení větší změny dokončené budovy nebo energetického hospodářství, pro které byl zpracován</w:t>
            </w:r>
          </w:p>
        </w:tc>
        <w:tc>
          <w:tcPr>
            <w:tcW w:w="1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D54D7D">
              <w:rPr>
                <w:rFonts w:ascii="Arial" w:eastAsia="MS Mincho" w:hAnsi="Arial" w:cs="Arial"/>
                <w:sz w:val="16"/>
                <w:szCs w:val="16"/>
              </w:rPr>
              <w:t xml:space="preserve">§ 9 </w:t>
            </w:r>
            <w:hyperlink r:id="rId10" w:history="1">
              <w:r w:rsidRPr="00D54D7D">
                <w:rPr>
                  <w:rFonts w:ascii="Arial" w:eastAsia="MS Mincho" w:hAnsi="Arial" w:cs="Arial"/>
                  <w:b/>
                  <w:bCs/>
                  <w:sz w:val="16"/>
                  <w:szCs w:val="16"/>
                </w:rPr>
                <w:t>zákona č. 406/2000 Sb.</w:t>
              </w:r>
              <w:r w:rsidRPr="00D54D7D">
                <w:rPr>
                  <w:rFonts w:ascii="Arial" w:eastAsia="MS Mincho" w:hAnsi="Arial" w:cs="Arial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MS Mincho" w:hAnsi="Arial" w:cs="Arial"/>
                <w:bCs/>
                <w:sz w:val="16"/>
                <w:szCs w:val="16"/>
              </w:rPr>
              <w:t>bližší informace dává</w:t>
            </w:r>
            <w:r w:rsidRPr="00D54D7D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. č. 480/2012 Sb. o </w:t>
            </w:r>
            <w:proofErr w:type="spellStart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energ</w:t>
            </w:r>
            <w:proofErr w:type="spellEnd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. auditu a </w:t>
            </w:r>
            <w:proofErr w:type="spellStart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energ</w:t>
            </w:r>
            <w:proofErr w:type="spellEnd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. posudku</w:t>
            </w:r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zpracovat EA není třeba v případech uvedených v § 9 </w:t>
            </w:r>
            <w:hyperlink r:id="rId11" w:history="1">
              <w:r w:rsidRPr="00D54D7D">
                <w:rPr>
                  <w:rFonts w:ascii="Arial" w:eastAsia="MS Mincho" w:hAnsi="Arial" w:cs="Arial"/>
                  <w:b/>
                  <w:bCs/>
                  <w:sz w:val="16"/>
                  <w:szCs w:val="16"/>
                </w:rPr>
                <w:t>zákona č. 406/2000 Sb.</w:t>
              </w:r>
              <w:r w:rsidRPr="00D54D7D">
                <w:rPr>
                  <w:rFonts w:ascii="Arial" w:eastAsia="MS Mincho" w:hAnsi="Arial" w:cs="Arial"/>
                  <w:b/>
                  <w:bCs/>
                  <w:sz w:val="16"/>
                  <w:szCs w:val="16"/>
                </w:rPr>
                <w:br/>
                <w:t>o hospodaření energií</w:t>
              </w:r>
            </w:hyperlink>
            <w:r w:rsidRPr="00D54D7D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, odst. 5 (dále řeší </w:t>
            </w:r>
            <w:proofErr w:type="spellStart"/>
            <w:r w:rsidRPr="00D54D7D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vyhl</w:t>
            </w:r>
            <w:proofErr w:type="spellEnd"/>
            <w:r w:rsidRPr="00D54D7D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. č. 194/2007 Sb.)</w:t>
            </w:r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 </w:t>
            </w:r>
          </w:p>
        </w:tc>
      </w:tr>
      <w:tr w:rsidR="00D54D7D" w:rsidRPr="00D54D7D" w:rsidTr="007E69BC">
        <w:trPr>
          <w:trHeight w:val="735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organizační složky státu organizační složky krajů a obcí příspěvkové organizace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povinnost vzniká v případě, že je součet celkových spotřeb energie všech budov organizace vyšší jak </w:t>
            </w:r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1 500 GJ (417 </w:t>
            </w:r>
            <w:proofErr w:type="spellStart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)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za rok, přičemž energetický audit se zpracuje pouze pro ty budovy, které mají spotřebu energie vyšší než </w:t>
            </w:r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700 GJ (194 </w:t>
            </w:r>
            <w:proofErr w:type="spellStart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MWh</w:t>
            </w:r>
            <w:proofErr w:type="spellEnd"/>
            <w:r w:rsidRPr="00D54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)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za rok</w:t>
            </w: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D54D7D" w:rsidRPr="00D54D7D" w:rsidTr="007E69BC">
        <w:trPr>
          <w:trHeight w:val="390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Kontrola kotlů a rozvodů tepla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výkon kotle menší jak 20 kW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kontrola se nemusí provádět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 případě, že kotel a rozvody tepelné energie jsou provozovány na základě licence na výrobu tepelné energie nebo licence na rozvod tepelné energie, je kontrola prováděna jednou ročně. (§ 4 odst. 2 </w:t>
            </w:r>
            <w:proofErr w:type="spellStart"/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č. 194/2013 Sb.)</w:t>
            </w:r>
          </w:p>
        </w:tc>
        <w:tc>
          <w:tcPr>
            <w:tcW w:w="1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vyhl</w:t>
            </w:r>
            <w:proofErr w:type="spellEnd"/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č. 194/2013 Sb.</w:t>
            </w:r>
          </w:p>
        </w:tc>
      </w:tr>
      <w:tr w:rsidR="00D54D7D" w:rsidRPr="00D54D7D" w:rsidTr="007E69BC">
        <w:trPr>
          <w:trHeight w:val="39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výkon kotle 20 kW - 100 kW (platí pro všechna paliva)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kontrola se provádí 1x za 10 let (bez ohledu na to, zda je systém trvale monitorován)</w:t>
            </w: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54D7D" w:rsidRPr="00D54D7D" w:rsidTr="007E69BC">
        <w:trPr>
          <w:trHeight w:val="60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výkon kotle větší jak 100 kW - pevná a kapalná paliva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kontrola 1x za 2 roky, ovšem pokud dochází k trvalému monitoringu systému pak 1x za 10 let</w:t>
            </w: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54D7D" w:rsidRPr="00D54D7D" w:rsidTr="007E69BC">
        <w:trPr>
          <w:trHeight w:val="600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výkon kotle větší jak 100 kW  - plynná paliva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kontrola 1x za 4 roky, ovšem pokud dochází k trvalému monitoringu systému pak 1x za 10 let</w:t>
            </w: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54D7D" w:rsidRPr="00D54D7D" w:rsidTr="002B2F86">
        <w:trPr>
          <w:trHeight w:val="406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spalovací stacionární zdroj na pevná paliva o jmenovitém tepelném příkonu od 10 do 300 kW včetně,</w:t>
            </w:r>
            <w:r w:rsidRPr="00D54D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který slouží jako zdroj tepla pro teplovodní soustavu ústředního vytápění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první kontroly technického stavu a provozu zdroje podle § 17 odst. 1 písm. h) nejpozději do 31. prosince 2016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kontrolu technického stavu a provozu takového zdroje provádět jednou za dva kalendářní roky prostřednictvím osoby, která byla proškolena výrobcem a má od něj udělené oprávnění k jeho instalaci, provozu a údržbě</w:t>
            </w:r>
          </w:p>
        </w:tc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 č. 201/2012 Sb., § 41 odst. 15</w:t>
            </w:r>
          </w:p>
        </w:tc>
      </w:tr>
    </w:tbl>
    <w:p w:rsidR="00D54D7D" w:rsidRPr="00D54D7D" w:rsidRDefault="00D54D7D" w:rsidP="00D54D7D">
      <w:pPr>
        <w:shd w:val="clear" w:color="auto" w:fill="FFFFFF"/>
        <w:rPr>
          <w:rFonts w:ascii="Arial" w:hAnsi="Arial" w:cs="Arial"/>
          <w:sz w:val="20"/>
          <w:szCs w:val="20"/>
          <w:u w:val="single"/>
        </w:rPr>
      </w:pPr>
    </w:p>
    <w:tbl>
      <w:tblPr>
        <w:tblW w:w="4975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73"/>
        <w:gridCol w:w="2570"/>
        <w:gridCol w:w="3985"/>
        <w:gridCol w:w="2702"/>
        <w:gridCol w:w="3141"/>
      </w:tblGrid>
      <w:tr w:rsidR="00D54D7D" w:rsidRPr="00996ED7" w:rsidTr="007E69BC">
        <w:trPr>
          <w:trHeight w:val="39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640C36" w:rsidRDefault="00D54D7D" w:rsidP="007E69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0C3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Kontrola klimatizací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640C36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40C3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jmenovitý chladící výkon menší než 12 kW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640C36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40C3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kontrola se nemusí provádět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D7D" w:rsidRPr="00640C36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D7D" w:rsidRPr="00640C36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40C3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640C3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 č. 193/2013 Sb.</w:t>
            </w:r>
          </w:p>
        </w:tc>
      </w:tr>
      <w:tr w:rsidR="00D54D7D" w:rsidRPr="00996ED7" w:rsidTr="007E69BC">
        <w:trPr>
          <w:trHeight w:val="36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96ED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jmenovitý chladící výkon </w:t>
            </w:r>
          </w:p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996ED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 12 kW do 100 kW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996ED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kontrola se provádí 1x za 10 let (bez ohledu na to, zda je systém trvale monitorován)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996ED7" w:rsidRDefault="00D54D7D" w:rsidP="007E69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D54D7D" w:rsidRPr="00996ED7" w:rsidTr="007E69BC">
        <w:trPr>
          <w:trHeight w:val="9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96ED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jmenovitý chladící výkon </w:t>
            </w:r>
          </w:p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996ED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větší než 100 kW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996ED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kontrola se provádí 1x za 4 roky, ovšem pokud dochází k trvalému monitoringu systému pak 1x za 10 let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996ED7" w:rsidRDefault="00D54D7D" w:rsidP="007E69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D" w:rsidRPr="00996ED7" w:rsidRDefault="00D54D7D" w:rsidP="007E69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54D7D" w:rsidRDefault="00D54D7D" w:rsidP="00D54D7D">
      <w:pPr>
        <w:shd w:val="clear" w:color="auto" w:fill="FFFFFF"/>
        <w:spacing w:after="0" w:line="240" w:lineRule="auto"/>
        <w:rPr>
          <w:rFonts w:ascii="Arial" w:eastAsia="MS Mincho" w:hAnsi="Arial" w:cs="Arial"/>
          <w:sz w:val="20"/>
          <w:szCs w:val="24"/>
        </w:rPr>
      </w:pPr>
    </w:p>
    <w:p w:rsidR="00D54D7D" w:rsidRDefault="00D54D7D" w:rsidP="00D54D7D">
      <w:pPr>
        <w:shd w:val="clear" w:color="auto" w:fill="FFFFFF"/>
        <w:spacing w:after="0" w:line="240" w:lineRule="auto"/>
        <w:rPr>
          <w:rFonts w:ascii="Arial" w:eastAsia="MS Mincho" w:hAnsi="Arial" w:cs="Arial"/>
          <w:sz w:val="20"/>
          <w:szCs w:val="24"/>
        </w:rPr>
      </w:pPr>
      <w:r w:rsidRPr="00D54D7D">
        <w:rPr>
          <w:rFonts w:ascii="Arial" w:eastAsia="MS Mincho" w:hAnsi="Arial" w:cs="Arial"/>
          <w:sz w:val="20"/>
          <w:szCs w:val="24"/>
        </w:rPr>
        <w:t>Přehled dalších legislativních povinností, které by měl mít každý energetický manažer na paměti.</w:t>
      </w:r>
    </w:p>
    <w:p w:rsidR="00D54D7D" w:rsidRPr="00D54D7D" w:rsidRDefault="00D54D7D" w:rsidP="00D54D7D">
      <w:pPr>
        <w:shd w:val="clear" w:color="auto" w:fill="FFFFFF"/>
        <w:spacing w:after="0" w:line="240" w:lineRule="auto"/>
        <w:rPr>
          <w:rFonts w:ascii="Arial" w:eastAsia="MS Mincho" w:hAnsi="Arial" w:cs="Arial"/>
          <w:sz w:val="10"/>
          <w:szCs w:val="10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07"/>
        <w:gridCol w:w="2188"/>
        <w:gridCol w:w="3827"/>
        <w:gridCol w:w="5812"/>
      </w:tblGrid>
      <w:tr w:rsidR="00D54D7D" w:rsidRPr="00D54D7D" w:rsidTr="00D54D7D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Zákon, vyhláška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Oblast / působnost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</w:tr>
      <w:tr w:rsidR="00D54D7D" w:rsidRPr="00D54D7D" w:rsidTr="00D54D7D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Vyhláška č. 193/2007 Sb.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Kvalita rozvodů tepla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nově zřizovaná zařízení pro rozvod tepla a chladu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vyhláška stanovuje požadavky na účinnost užití energie v nově zřizovaných zařízeních pro rozvod tepelné energie a pro vnitřní rozvod tepelné energie a chladu, a na vybavení těchto zařízení tepelnou izolací, regulací a řízením</w:t>
            </w:r>
          </w:p>
        </w:tc>
      </w:tr>
      <w:tr w:rsidR="00D54D7D" w:rsidRPr="00D54D7D" w:rsidTr="00D54D7D">
        <w:trPr>
          <w:trHeight w:val="1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Vyhláška č. 194/2007 Sb.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Vytápění, příprava teplé vody a regulace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Pravidla pro: 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vytápění 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dodávku teplé vody 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regulaci ústředního vytápění a přípravu teplé vody v budově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měření množství tepelné energie a teplé vody v zúčtovací jednotce.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vyhláška stanovuje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</w:t>
            </w:r>
          </w:p>
        </w:tc>
      </w:tr>
      <w:tr w:rsidR="00D54D7D" w:rsidRPr="00D54D7D" w:rsidTr="00D54D7D">
        <w:trPr>
          <w:trHeight w:val="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Vyhláška č. 441/2012 Sb.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Výroba tepla a elektřiny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výroba tepla - kotle a solární kolektory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výroba tepla elektřiny - turbíny, motory atd.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kombinovaná výroba elektřiny a tepla - kogenerační jednotky nad 90kW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vyhláška stanovuje minimální účinnost užití energie pro výstavbu nové výrobny elektřiny či tepla, nebo pro výrobnu, u které se provádí změna dokončené stavby</w:t>
            </w:r>
          </w:p>
        </w:tc>
      </w:tr>
      <w:tr w:rsidR="00D54D7D" w:rsidRPr="00D54D7D" w:rsidTr="00D54D7D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Zákon č. 505/1990 Sb.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Měřidla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měřící jednotky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typy měřidel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ověření a kalibrace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úprava práva a povinností podnikajících fyzických osob a právnických osob a orgánů státní správy, a to v rozsahu potřebném k zajištění jednotnosti a správnosti měřidel a měření.</w:t>
            </w:r>
          </w:p>
        </w:tc>
      </w:tr>
      <w:tr w:rsidR="00D54D7D" w:rsidRPr="00D54D7D" w:rsidTr="00D54D7D">
        <w:trPr>
          <w:trHeight w:val="2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Zákon č. 406/2000 Sb.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Hospodaření energií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Energetická koncepce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Podpora úspor energie a OZE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Kontrola klimatizací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Kontrola kotlů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Energetické průkazy budov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Energetické štítkování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Energetický audit a posudek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Energetický specialista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7D" w:rsidRPr="00D54D7D" w:rsidRDefault="00D54D7D" w:rsidP="007E6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 stanoví: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některá opatření pro zvyšování hospodárnosti užití energie a povinnosti fyzických a právnických osob při nakládání s energií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pravidla pro tvorbu Státní energetické koncepce, Územní energetické koncepce a Státního programu na podporu úspor energie a využití obnovitelných a druhotných zdrojů energie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- požadavky na </w:t>
            </w:r>
            <w:proofErr w:type="spellStart"/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ekodesign</w:t>
            </w:r>
            <w:proofErr w:type="spellEnd"/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výrobků spojených se spotřebou energie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požadavky na uvádění spotřeby energie a jiných hlavních zdrojů na energetických štítcích výrobků spojených se spotřebou energie</w:t>
            </w:r>
            <w:r w:rsidRPr="00D54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- požadavky na informování a vzdělávání v oblasti úspor energie a využití obnovitelných a druhotných zdrojů</w:t>
            </w:r>
          </w:p>
        </w:tc>
      </w:tr>
    </w:tbl>
    <w:p w:rsidR="00D54D7D" w:rsidRPr="00D54D7D" w:rsidRDefault="00D54D7D" w:rsidP="00D54D7D">
      <w:pPr>
        <w:rPr>
          <w:rFonts w:ascii="Arial" w:hAnsi="Arial" w:cs="Arial"/>
          <w:sz w:val="10"/>
          <w:szCs w:val="10"/>
        </w:rPr>
      </w:pPr>
    </w:p>
    <w:p w:rsidR="00D54D7D" w:rsidRPr="00D54D7D" w:rsidRDefault="00D54D7D" w:rsidP="00D54D7D">
      <w:pPr>
        <w:rPr>
          <w:rFonts w:ascii="Arial" w:hAnsi="Arial" w:cs="Arial"/>
          <w:sz w:val="20"/>
          <w:szCs w:val="20"/>
        </w:rPr>
      </w:pPr>
      <w:r w:rsidRPr="00D54D7D">
        <w:rPr>
          <w:rFonts w:ascii="Arial" w:hAnsi="Arial" w:cs="Arial"/>
          <w:sz w:val="20"/>
          <w:szCs w:val="20"/>
        </w:rPr>
        <w:t>Datum:</w:t>
      </w:r>
      <w:r w:rsidRPr="00D54D7D">
        <w:rPr>
          <w:rFonts w:ascii="Arial" w:hAnsi="Arial" w:cs="Arial"/>
          <w:sz w:val="20"/>
          <w:szCs w:val="20"/>
        </w:rPr>
        <w:tab/>
      </w:r>
      <w:proofErr w:type="gramStart"/>
      <w:r w:rsidR="00EF2EA6">
        <w:rPr>
          <w:rFonts w:ascii="Arial" w:hAnsi="Arial" w:cs="Arial"/>
          <w:sz w:val="20"/>
          <w:szCs w:val="20"/>
        </w:rPr>
        <w:t>3.9.2018</w:t>
      </w:r>
      <w:proofErr w:type="gramEnd"/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Vypracoval:</w:t>
      </w:r>
      <w:r w:rsidR="00EF2EA6">
        <w:rPr>
          <w:rFonts w:ascii="Arial" w:hAnsi="Arial" w:cs="Arial"/>
          <w:sz w:val="20"/>
          <w:szCs w:val="20"/>
        </w:rPr>
        <w:t xml:space="preserve"> Ing. Jan Eyer                     </w:t>
      </w:r>
      <w:r w:rsidRPr="00D54D7D">
        <w:rPr>
          <w:rFonts w:ascii="Arial" w:hAnsi="Arial" w:cs="Arial"/>
          <w:sz w:val="20"/>
          <w:szCs w:val="20"/>
        </w:rPr>
        <w:t>Schválil:</w:t>
      </w:r>
      <w:r w:rsidR="00EF2EA6">
        <w:rPr>
          <w:rFonts w:ascii="Arial" w:hAnsi="Arial" w:cs="Arial"/>
          <w:sz w:val="20"/>
          <w:szCs w:val="20"/>
        </w:rPr>
        <w:t xml:space="preserve"> Ing. Vladimír Olejníček</w:t>
      </w:r>
    </w:p>
    <w:sectPr w:rsidR="00D54D7D" w:rsidRPr="00D54D7D" w:rsidSect="009044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418" w:bottom="1134" w:left="1418" w:header="142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2F" w:rsidRDefault="00957A2F">
      <w:pPr>
        <w:spacing w:after="0" w:line="240" w:lineRule="auto"/>
      </w:pPr>
      <w:r>
        <w:separator/>
      </w:r>
    </w:p>
  </w:endnote>
  <w:endnote w:type="continuationSeparator" w:id="0">
    <w:p w:rsidR="00957A2F" w:rsidRDefault="0095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AC" w:rsidRDefault="00F11BA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9F" w:rsidRPr="00E80C74" w:rsidRDefault="0070689F">
    <w:pPr>
      <w:pStyle w:val="Zpat"/>
      <w:rPr>
        <w:rFonts w:ascii="Arial" w:hAnsi="Arial" w:cs="Arial"/>
      </w:rPr>
    </w:pPr>
    <w:r w:rsidRPr="00E80C74">
      <w:rPr>
        <w:rFonts w:ascii="Arial" w:hAnsi="Arial" w:cs="Arial"/>
        <w:sz w:val="18"/>
        <w:szCs w:val="18"/>
      </w:rPr>
      <w:t>FNOL</w:t>
    </w:r>
    <w:r w:rsidRPr="00444E56">
      <w:rPr>
        <w:rFonts w:ascii="Arial" w:hAnsi="Arial" w:cs="Arial"/>
        <w:sz w:val="18"/>
        <w:szCs w:val="18"/>
      </w:rPr>
      <w:t>_</w:t>
    </w:r>
    <w:r w:rsidR="00846259" w:rsidRPr="00444E56">
      <w:rPr>
        <w:rFonts w:ascii="Arial" w:hAnsi="Arial" w:cs="Arial"/>
        <w:sz w:val="18"/>
        <w:szCs w:val="18"/>
      </w:rPr>
      <w:t>O</w:t>
    </w:r>
    <w:r w:rsidR="00444E56" w:rsidRPr="00444E56">
      <w:rPr>
        <w:rFonts w:ascii="Arial" w:hAnsi="Arial" w:cs="Arial"/>
        <w:sz w:val="18"/>
        <w:szCs w:val="18"/>
      </w:rPr>
      <w:t>E</w:t>
    </w:r>
    <w:r w:rsidR="00EF2EA6">
      <w:rPr>
        <w:rFonts w:ascii="Arial" w:hAnsi="Arial" w:cs="Arial"/>
        <w:sz w:val="18"/>
        <w:szCs w:val="18"/>
      </w:rPr>
      <w:t>_</w:t>
    </w:r>
    <w:proofErr w:type="spellStart"/>
    <w:r w:rsidR="00EF2EA6">
      <w:rPr>
        <w:rFonts w:ascii="Arial" w:hAnsi="Arial" w:cs="Arial"/>
        <w:sz w:val="18"/>
        <w:szCs w:val="18"/>
      </w:rPr>
      <w:t>Fm</w:t>
    </w:r>
    <w:proofErr w:type="spellEnd"/>
    <w:r w:rsidRPr="00E80C74">
      <w:rPr>
        <w:rFonts w:ascii="Arial" w:hAnsi="Arial" w:cs="Arial"/>
        <w:sz w:val="18"/>
        <w:szCs w:val="18"/>
      </w:rPr>
      <w:t>_</w:t>
    </w:r>
    <w:r w:rsidR="00444E56">
      <w:rPr>
        <w:rFonts w:ascii="Arial" w:hAnsi="Arial" w:cs="Arial"/>
        <w:sz w:val="18"/>
        <w:szCs w:val="18"/>
      </w:rPr>
      <w:t>02</w:t>
    </w:r>
    <w:r w:rsidRPr="00E80C74">
      <w:rPr>
        <w:rFonts w:ascii="Arial" w:hAnsi="Arial" w:cs="Arial"/>
        <w:sz w:val="18"/>
        <w:szCs w:val="18"/>
      </w:rPr>
      <w:t>_</w:t>
    </w:r>
    <w:r w:rsidR="00846259" w:rsidRPr="002B2F86">
      <w:rPr>
        <w:rFonts w:ascii="Arial" w:hAnsi="Arial" w:cs="Arial"/>
        <w:sz w:val="18"/>
        <w:szCs w:val="18"/>
      </w:rPr>
      <w:t>Registr_právních_požadavků</w:t>
    </w:r>
    <w:r w:rsidRPr="002B2F86">
      <w:rPr>
        <w:rFonts w:ascii="Arial" w:hAnsi="Arial" w:cs="Arial"/>
        <w:sz w:val="18"/>
        <w:szCs w:val="18"/>
      </w:rPr>
      <w:t>_platnost</w:t>
    </w:r>
    <w:r w:rsidRPr="00EF2EA6">
      <w:rPr>
        <w:rFonts w:ascii="Arial" w:hAnsi="Arial" w:cs="Arial"/>
        <w:sz w:val="18"/>
        <w:szCs w:val="18"/>
      </w:rPr>
      <w:t>_od_</w:t>
    </w:r>
    <w:r w:rsidR="00EF2EA6" w:rsidRPr="00EF2EA6">
      <w:rPr>
        <w:noProof/>
        <w:szCs w:val="18"/>
      </w:rPr>
      <w:t>03</w:t>
    </w:r>
    <w:r w:rsidR="009F695D" w:rsidRPr="00EF2EA6">
      <w:rPr>
        <w:noProof/>
        <w:szCs w:val="18"/>
      </w:rPr>
      <w:t>_</w:t>
    </w:r>
    <w:r w:rsidR="00EF2EA6" w:rsidRPr="00EF2EA6">
      <w:rPr>
        <w:noProof/>
        <w:szCs w:val="18"/>
      </w:rPr>
      <w:t>09_2018</w:t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  <w:t>Str</w:t>
    </w:r>
    <w:r w:rsidR="009F695D" w:rsidRPr="00E80C74">
      <w:rPr>
        <w:rFonts w:ascii="Arial" w:hAnsi="Arial" w:cs="Arial"/>
        <w:sz w:val="18"/>
        <w:szCs w:val="18"/>
      </w:rPr>
      <w:t>ana</w:t>
    </w:r>
    <w:r w:rsidRPr="00E80C74">
      <w:rPr>
        <w:rFonts w:ascii="Arial" w:hAnsi="Arial" w:cs="Arial"/>
        <w:sz w:val="18"/>
        <w:szCs w:val="18"/>
      </w:rPr>
      <w:t xml:space="preserve"> </w: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B63CF2">
      <w:rPr>
        <w:rStyle w:val="slostrnky"/>
        <w:rFonts w:ascii="Arial" w:hAnsi="Arial" w:cs="Arial"/>
        <w:noProof/>
        <w:sz w:val="18"/>
        <w:szCs w:val="18"/>
      </w:rPr>
      <w:t>3</w: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end"/>
    </w:r>
    <w:r w:rsidR="009F695D" w:rsidRPr="00E80C74">
      <w:rPr>
        <w:rStyle w:val="slostrnky"/>
        <w:rFonts w:ascii="Arial" w:hAnsi="Arial" w:cs="Arial"/>
        <w:sz w:val="18"/>
        <w:szCs w:val="18"/>
      </w:rPr>
      <w:t xml:space="preserve"> (celkem </w: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B63CF2">
      <w:rPr>
        <w:rStyle w:val="slostrnky"/>
        <w:rFonts w:ascii="Arial" w:hAnsi="Arial" w:cs="Arial"/>
        <w:noProof/>
        <w:sz w:val="18"/>
        <w:szCs w:val="18"/>
      </w:rPr>
      <w:t>3</w:t>
    </w:r>
    <w:r w:rsidR="00255DEB" w:rsidRPr="00E80C74">
      <w:rPr>
        <w:rStyle w:val="slostrnky"/>
        <w:rFonts w:ascii="Arial" w:hAnsi="Arial" w:cs="Arial"/>
        <w:sz w:val="18"/>
        <w:szCs w:val="18"/>
      </w:rPr>
      <w:fldChar w:fldCharType="end"/>
    </w:r>
    <w:r w:rsidR="009F695D" w:rsidRPr="00E80C74">
      <w:rPr>
        <w:rStyle w:val="slostrnky"/>
        <w:rFonts w:ascii="Arial" w:hAnsi="Arial" w:cs="Arial"/>
        <w:sz w:val="18"/>
        <w:szCs w:val="18"/>
      </w:rPr>
      <w:t>)</w:t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AC" w:rsidRDefault="00F11B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2F" w:rsidRDefault="00957A2F">
      <w:pPr>
        <w:spacing w:after="0" w:line="240" w:lineRule="auto"/>
      </w:pPr>
      <w:r>
        <w:separator/>
      </w:r>
    </w:p>
  </w:footnote>
  <w:footnote w:type="continuationSeparator" w:id="0">
    <w:p w:rsidR="00957A2F" w:rsidRDefault="0095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AC" w:rsidRDefault="00F11BA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52"/>
      <w:gridCol w:w="4780"/>
      <w:gridCol w:w="6610"/>
      <w:gridCol w:w="1700"/>
    </w:tblGrid>
    <w:tr w:rsidR="0070689F" w:rsidRPr="00E80C74" w:rsidTr="009E2AFF">
      <w:trPr>
        <w:trHeight w:val="715"/>
      </w:trPr>
      <w:tc>
        <w:tcPr>
          <w:tcW w:w="372" w:type="pct"/>
          <w:noWrap/>
          <w:vAlign w:val="center"/>
        </w:tcPr>
        <w:p w:rsidR="0070689F" w:rsidRPr="009044CB" w:rsidRDefault="0070689F" w:rsidP="00614895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b/>
              <w:bCs/>
              <w:sz w:val="16"/>
              <w:szCs w:val="16"/>
            </w:rPr>
          </w:pPr>
          <w:r w:rsidRPr="009044CB">
            <w:rPr>
              <w:b/>
            </w:rPr>
            <w:t xml:space="preserve">    </w:t>
          </w:r>
          <w:r w:rsidRPr="009044CB">
            <w:rPr>
              <w:b/>
              <w:bCs/>
              <w:sz w:val="16"/>
              <w:szCs w:val="16"/>
            </w:rPr>
            <w:t xml:space="preserve">          </w:t>
          </w:r>
          <w:r w:rsidR="00346C00">
            <w:rPr>
              <w:b/>
              <w:bCs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571500" cy="525780"/>
                <wp:effectExtent l="0" t="0" r="0" b="7620"/>
                <wp:docPr id="1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44CB">
            <w:rPr>
              <w:b/>
              <w:bCs/>
              <w:sz w:val="16"/>
              <w:szCs w:val="16"/>
            </w:rPr>
            <w:t xml:space="preserve">             </w:t>
          </w:r>
        </w:p>
      </w:tc>
      <w:tc>
        <w:tcPr>
          <w:tcW w:w="1690" w:type="pct"/>
          <w:vAlign w:val="center"/>
        </w:tcPr>
        <w:p w:rsidR="0070689F" w:rsidRPr="00E80C74" w:rsidRDefault="0070689F" w:rsidP="00614895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E80C74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E80C74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70689F" w:rsidRPr="00E80C74" w:rsidRDefault="00B51BE8" w:rsidP="009044CB">
          <w:pPr>
            <w:pStyle w:val="Zhlav"/>
            <w:tabs>
              <w:tab w:val="clear" w:pos="4536"/>
              <w:tab w:val="clear" w:pos="9072"/>
            </w:tabs>
            <w:suppressAutoHyphens/>
            <w:ind w:left="-7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="0070689F" w:rsidRPr="00E80C74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2337" w:type="pct"/>
          <w:vAlign w:val="center"/>
        </w:tcPr>
        <w:p w:rsidR="00D54D7D" w:rsidRPr="00D54D7D" w:rsidRDefault="00D54D7D" w:rsidP="00D54D7D">
          <w:pPr>
            <w:spacing w:after="0" w:line="240" w:lineRule="auto"/>
            <w:jc w:val="center"/>
            <w:rPr>
              <w:rFonts w:ascii="Arial" w:eastAsia="MS Mincho" w:hAnsi="Arial" w:cs="Arial"/>
            </w:rPr>
          </w:pPr>
          <w:r w:rsidRPr="00D54D7D">
            <w:rPr>
              <w:rFonts w:ascii="Arial" w:eastAsia="MS Mincho" w:hAnsi="Arial" w:cs="Arial"/>
            </w:rPr>
            <w:t xml:space="preserve">Registr právních požadavků </w:t>
          </w:r>
        </w:p>
        <w:p w:rsidR="0070689F" w:rsidRPr="00E80C74" w:rsidRDefault="0070689F" w:rsidP="009E2AFF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601" w:type="pct"/>
        </w:tcPr>
        <w:p w:rsidR="0070689F" w:rsidRPr="00E80C74" w:rsidRDefault="0070689F" w:rsidP="00614895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70689F" w:rsidRPr="00E80C74" w:rsidRDefault="0070689F" w:rsidP="00E230A3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>Dokument č.:</w:t>
          </w:r>
          <w:r w:rsidRPr="00E80C74">
            <w:rPr>
              <w:rFonts w:ascii="Arial" w:hAnsi="Arial"/>
              <w:bCs/>
              <w:sz w:val="22"/>
              <w:szCs w:val="22"/>
            </w:rPr>
            <w:t xml:space="preserve"> </w:t>
          </w:r>
        </w:p>
        <w:p w:rsidR="0070689F" w:rsidRPr="00E80C74" w:rsidRDefault="0070689F" w:rsidP="00E230A3">
          <w:pPr>
            <w:pStyle w:val="Textbubliny"/>
            <w:suppressAutoHyphens/>
            <w:jc w:val="right"/>
            <w:rPr>
              <w:rFonts w:ascii="Arial" w:hAnsi="Arial"/>
              <w:b/>
              <w:bCs/>
              <w:sz w:val="24"/>
            </w:rPr>
          </w:pPr>
          <w:proofErr w:type="spellStart"/>
          <w:r w:rsidRPr="00E80C74">
            <w:rPr>
              <w:rFonts w:ascii="Arial" w:hAnsi="Arial"/>
              <w:b/>
              <w:bCs/>
              <w:sz w:val="24"/>
            </w:rPr>
            <w:t>Fm</w:t>
          </w:r>
          <w:proofErr w:type="spellEnd"/>
          <w:r w:rsidRPr="00E80C74">
            <w:rPr>
              <w:rFonts w:ascii="Arial" w:hAnsi="Arial"/>
              <w:b/>
              <w:bCs/>
              <w:sz w:val="24"/>
            </w:rPr>
            <w:t>-</w:t>
          </w:r>
          <w:r w:rsidR="00444E56">
            <w:rPr>
              <w:rFonts w:ascii="Arial" w:hAnsi="Arial"/>
              <w:b/>
              <w:bCs/>
              <w:sz w:val="24"/>
            </w:rPr>
            <w:t>02</w:t>
          </w:r>
        </w:p>
        <w:p w:rsidR="0070689F" w:rsidRPr="00E80C74" w:rsidRDefault="0070689F" w:rsidP="00B51BE8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 xml:space="preserve">Verze č.: </w:t>
          </w:r>
          <w:r w:rsidRPr="00E80C74">
            <w:rPr>
              <w:rFonts w:ascii="Arial" w:hAnsi="Arial"/>
              <w:bCs/>
              <w:sz w:val="24"/>
            </w:rPr>
            <w:t xml:space="preserve"> </w:t>
          </w:r>
          <w:r w:rsidR="00B51BE8">
            <w:rPr>
              <w:rFonts w:ascii="Arial" w:hAnsi="Arial"/>
              <w:bCs/>
              <w:sz w:val="24"/>
            </w:rPr>
            <w:t>1</w:t>
          </w:r>
        </w:p>
      </w:tc>
    </w:tr>
  </w:tbl>
  <w:p w:rsidR="0070689F" w:rsidRPr="009044CB" w:rsidRDefault="0070689F" w:rsidP="009044C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AC" w:rsidRDefault="00F11BA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0858"/>
    <w:multiLevelType w:val="multilevel"/>
    <w:tmpl w:val="9EA816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2C750A"/>
    <w:multiLevelType w:val="hybridMultilevel"/>
    <w:tmpl w:val="BC00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E08E5"/>
    <w:multiLevelType w:val="hybridMultilevel"/>
    <w:tmpl w:val="C9AA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F0573"/>
    <w:rsid w:val="000C4A70"/>
    <w:rsid w:val="000D428D"/>
    <w:rsid w:val="000E1304"/>
    <w:rsid w:val="000F0573"/>
    <w:rsid w:val="00143970"/>
    <w:rsid w:val="00170374"/>
    <w:rsid w:val="001D45FC"/>
    <w:rsid w:val="00220029"/>
    <w:rsid w:val="00255DEB"/>
    <w:rsid w:val="002B2F86"/>
    <w:rsid w:val="00320651"/>
    <w:rsid w:val="00340825"/>
    <w:rsid w:val="00346C00"/>
    <w:rsid w:val="003F1D91"/>
    <w:rsid w:val="00440AF2"/>
    <w:rsid w:val="00444E56"/>
    <w:rsid w:val="004E4D0F"/>
    <w:rsid w:val="0059709E"/>
    <w:rsid w:val="005E61AF"/>
    <w:rsid w:val="00614895"/>
    <w:rsid w:val="006619DB"/>
    <w:rsid w:val="006B33E2"/>
    <w:rsid w:val="006D135E"/>
    <w:rsid w:val="00700216"/>
    <w:rsid w:val="0070689F"/>
    <w:rsid w:val="007312E1"/>
    <w:rsid w:val="00746A80"/>
    <w:rsid w:val="007E3970"/>
    <w:rsid w:val="007E69BC"/>
    <w:rsid w:val="007E7216"/>
    <w:rsid w:val="00846259"/>
    <w:rsid w:val="009044CB"/>
    <w:rsid w:val="00934769"/>
    <w:rsid w:val="00957A2F"/>
    <w:rsid w:val="009769ED"/>
    <w:rsid w:val="00981DD3"/>
    <w:rsid w:val="009E2AFF"/>
    <w:rsid w:val="009F695D"/>
    <w:rsid w:val="00AA06F8"/>
    <w:rsid w:val="00B51BE8"/>
    <w:rsid w:val="00B63CF2"/>
    <w:rsid w:val="00BB0A70"/>
    <w:rsid w:val="00BB1C65"/>
    <w:rsid w:val="00C43FC5"/>
    <w:rsid w:val="00C9136C"/>
    <w:rsid w:val="00D54D7D"/>
    <w:rsid w:val="00D70D8C"/>
    <w:rsid w:val="00DE044C"/>
    <w:rsid w:val="00E0737A"/>
    <w:rsid w:val="00E230A3"/>
    <w:rsid w:val="00E80C74"/>
    <w:rsid w:val="00E93BA0"/>
    <w:rsid w:val="00EF2EA6"/>
    <w:rsid w:val="00F11BAC"/>
    <w:rsid w:val="00F45478"/>
    <w:rsid w:val="00F5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13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rsid w:val="00C9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C9136C"/>
  </w:style>
  <w:style w:type="paragraph" w:styleId="Zpat">
    <w:name w:val="footer"/>
    <w:basedOn w:val="Normln"/>
    <w:link w:val="ZpatChar"/>
    <w:unhideWhenUsed/>
    <w:rsid w:val="00C9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  <w:rsid w:val="00C9136C"/>
  </w:style>
  <w:style w:type="character" w:styleId="Hypertextovodkaz">
    <w:name w:val="Hyperlink"/>
    <w:basedOn w:val="Standardnpsmoodstavce"/>
    <w:unhideWhenUsed/>
    <w:rsid w:val="00C9136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2B2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-efekt.cz/cz/legislativa/zakony-a-vyhlasky/zakon-406-200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o-efekt.cz/cz/legislativa/zakony-a-vyhlasky/zakon-406-2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po-efekt.cz/cz/legislativa/zakony-a-vyhlasky/zakon-406-2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po-efekt.cz/cz/legislativa/zakony-a-vyhlasky/zakon-406-200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136A9-32E7-483F-8C0A-48AA1BEE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1481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dokumentu</vt:lpstr>
    </vt:vector>
  </TitlesOfParts>
  <Company>FNOL</Company>
  <LinksUpToDate>false</LinksUpToDate>
  <CharactersWithSpaces>10201</CharactersWithSpaces>
  <SharedDoc>false</SharedDoc>
  <HLinks>
    <vt:vector size="42" baseType="variant"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9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http://www.mpo-efekt.cz/cz/energeticke-expertizy/prukaz-energeticke-narocnosti-budov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http://www.mpo-efekt.cz/cz/energeticke-expertizy/energeticky-audit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dokumentu</dc:title>
  <dc:creator>Jana Duchoslavová</dc:creator>
  <cp:lastModifiedBy>60063</cp:lastModifiedBy>
  <cp:revision>9</cp:revision>
  <cp:lastPrinted>2019-01-04T15:21:00Z</cp:lastPrinted>
  <dcterms:created xsi:type="dcterms:W3CDTF">2017-11-06T09:51:00Z</dcterms:created>
  <dcterms:modified xsi:type="dcterms:W3CDTF">2019-01-04T15:21:00Z</dcterms:modified>
</cp:coreProperties>
</file>