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24" w:rsidRPr="006F3A24" w:rsidRDefault="006F3A24" w:rsidP="006F3A24">
      <w:pPr>
        <w:jc w:val="center"/>
        <w:rPr>
          <w:rFonts w:ascii="Arial" w:hAnsi="Arial" w:cs="Arial"/>
          <w:b/>
          <w:sz w:val="32"/>
          <w:szCs w:val="32"/>
        </w:rPr>
      </w:pPr>
      <w:r w:rsidRPr="006F3A24">
        <w:rPr>
          <w:rFonts w:ascii="Arial" w:hAnsi="Arial" w:cs="Arial"/>
          <w:b/>
          <w:sz w:val="32"/>
          <w:szCs w:val="32"/>
        </w:rPr>
        <w:t>Přezkoumání EnMS</w:t>
      </w:r>
    </w:p>
    <w:p w:rsidR="006F3A24" w:rsidRPr="006F3A24" w:rsidRDefault="006F3A24" w:rsidP="006F3A24">
      <w:pPr>
        <w:ind w:firstLine="426"/>
        <w:rPr>
          <w:rFonts w:ascii="Arial" w:hAnsi="Arial" w:cs="Arial"/>
        </w:rPr>
      </w:pPr>
    </w:p>
    <w:p w:rsidR="006F3A24" w:rsidRPr="003570AA" w:rsidRDefault="006F3A24" w:rsidP="006F3A24">
      <w:pPr>
        <w:spacing w:after="240"/>
        <w:ind w:firstLine="426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t>1.</w:t>
      </w:r>
      <w:r w:rsidRPr="003570AA">
        <w:rPr>
          <w:rFonts w:ascii="Arial" w:hAnsi="Arial" w:cs="Arial"/>
          <w:b/>
          <w:sz w:val="24"/>
          <w:szCs w:val="24"/>
        </w:rPr>
        <w:tab/>
        <w:t>Úvod</w:t>
      </w:r>
    </w:p>
    <w:p w:rsidR="002C1270" w:rsidRPr="003570AA" w:rsidRDefault="003570AA" w:rsidP="003570AA">
      <w:pPr>
        <w:ind w:left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Úvodní </w:t>
      </w:r>
      <w:r w:rsidR="002C1270" w:rsidRPr="003570AA">
        <w:rPr>
          <w:rFonts w:ascii="Arial" w:eastAsia="Calibri" w:hAnsi="Arial" w:cs="Arial"/>
          <w:lang w:eastAsia="en-US"/>
        </w:rPr>
        <w:t>přezkoumání systému EnMS dle požadavků mezinárodní normy ČSN EN ISO 50001:2012 je prováděno po implementaci tohoto systému a to za období implem</w:t>
      </w:r>
      <w:r w:rsidR="00146D75">
        <w:rPr>
          <w:rFonts w:ascii="Arial" w:eastAsia="Calibri" w:hAnsi="Arial" w:cs="Arial"/>
          <w:lang w:eastAsia="en-US"/>
        </w:rPr>
        <w:t>entace systému od 3.</w:t>
      </w:r>
      <w:r w:rsidR="00A20CE0">
        <w:rPr>
          <w:rFonts w:ascii="Arial" w:eastAsia="Calibri" w:hAnsi="Arial" w:cs="Arial"/>
          <w:lang w:eastAsia="en-US"/>
        </w:rPr>
        <w:t xml:space="preserve"> </w:t>
      </w:r>
      <w:r w:rsidR="00146D75">
        <w:rPr>
          <w:rFonts w:ascii="Arial" w:eastAsia="Calibri" w:hAnsi="Arial" w:cs="Arial"/>
          <w:lang w:eastAsia="en-US"/>
        </w:rPr>
        <w:t>9.</w:t>
      </w:r>
      <w:r w:rsidR="00A20CE0">
        <w:rPr>
          <w:rFonts w:ascii="Arial" w:eastAsia="Calibri" w:hAnsi="Arial" w:cs="Arial"/>
          <w:lang w:eastAsia="en-US"/>
        </w:rPr>
        <w:t xml:space="preserve"> </w:t>
      </w:r>
      <w:r w:rsidR="00146D75">
        <w:rPr>
          <w:rFonts w:ascii="Arial" w:eastAsia="Calibri" w:hAnsi="Arial" w:cs="Arial"/>
          <w:lang w:eastAsia="en-US"/>
        </w:rPr>
        <w:t>2018 do 14</w:t>
      </w:r>
      <w:r w:rsidR="002C1270" w:rsidRPr="003570AA">
        <w:rPr>
          <w:rFonts w:ascii="Arial" w:eastAsia="Calibri" w:hAnsi="Arial" w:cs="Arial"/>
          <w:lang w:eastAsia="en-US"/>
        </w:rPr>
        <w:t>.</w:t>
      </w:r>
      <w:r w:rsidR="00A20CE0">
        <w:rPr>
          <w:rFonts w:ascii="Arial" w:eastAsia="Calibri" w:hAnsi="Arial" w:cs="Arial"/>
          <w:lang w:eastAsia="en-US"/>
        </w:rPr>
        <w:t xml:space="preserve"> </w:t>
      </w:r>
      <w:r w:rsidR="002C1270" w:rsidRPr="003570AA">
        <w:rPr>
          <w:rFonts w:ascii="Arial" w:eastAsia="Calibri" w:hAnsi="Arial" w:cs="Arial"/>
          <w:lang w:eastAsia="en-US"/>
        </w:rPr>
        <w:t>12.</w:t>
      </w:r>
      <w:r w:rsidR="00A20CE0">
        <w:rPr>
          <w:rFonts w:ascii="Arial" w:eastAsia="Calibri" w:hAnsi="Arial" w:cs="Arial"/>
          <w:lang w:eastAsia="en-US"/>
        </w:rPr>
        <w:t xml:space="preserve"> </w:t>
      </w:r>
      <w:r w:rsidR="002C1270" w:rsidRPr="003570AA">
        <w:rPr>
          <w:rFonts w:ascii="Arial" w:eastAsia="Calibri" w:hAnsi="Arial" w:cs="Arial"/>
          <w:lang w:eastAsia="en-US"/>
        </w:rPr>
        <w:t>2018.</w:t>
      </w:r>
      <w:r w:rsidR="00706A75">
        <w:rPr>
          <w:rFonts w:ascii="Arial" w:eastAsia="Calibri" w:hAnsi="Arial" w:cs="Arial"/>
          <w:lang w:eastAsia="en-US"/>
        </w:rPr>
        <w:t xml:space="preserve"> </w:t>
      </w:r>
    </w:p>
    <w:p w:rsidR="002C1270" w:rsidRPr="003570AA" w:rsidRDefault="002C1270" w:rsidP="003570AA">
      <w:pPr>
        <w:ind w:left="708"/>
        <w:jc w:val="both"/>
        <w:rPr>
          <w:rFonts w:ascii="Arial" w:eastAsia="Calibri" w:hAnsi="Arial" w:cs="Arial"/>
          <w:lang w:eastAsia="en-US"/>
        </w:rPr>
      </w:pPr>
      <w:r w:rsidRPr="003570AA">
        <w:rPr>
          <w:rFonts w:ascii="Arial" w:eastAsia="Calibri" w:hAnsi="Arial" w:cs="Arial"/>
          <w:lang w:eastAsia="en-US"/>
        </w:rPr>
        <w:t>Vedení společnosti rozhodlo o zavedení a certifikaci systému hospodaření s energií dle ČSN EN ISO 50001:2012 pro vybraná provozovaná energetická hospodářství Fakultní nemocnice Olomouc.</w:t>
      </w:r>
    </w:p>
    <w:p w:rsidR="002C1270" w:rsidRPr="003570AA" w:rsidRDefault="002C1270" w:rsidP="003570AA">
      <w:pPr>
        <w:ind w:left="708"/>
        <w:jc w:val="both"/>
        <w:rPr>
          <w:rFonts w:ascii="Arial" w:eastAsia="Calibri" w:hAnsi="Arial" w:cs="Arial"/>
          <w:lang w:eastAsia="en-US"/>
        </w:rPr>
      </w:pPr>
      <w:r w:rsidRPr="003570AA">
        <w:rPr>
          <w:rFonts w:ascii="Arial" w:eastAsia="Calibri" w:hAnsi="Arial" w:cs="Arial"/>
          <w:lang w:eastAsia="en-US"/>
        </w:rPr>
        <w:t xml:space="preserve">V současné době je zpracována požadovaná dokumentace systému, jsou nastaveny </w:t>
      </w:r>
      <w:r w:rsidR="004B34F2" w:rsidRPr="003570AA">
        <w:rPr>
          <w:rFonts w:ascii="Arial" w:eastAsia="Calibri" w:hAnsi="Arial" w:cs="Arial"/>
          <w:lang w:eastAsia="en-US"/>
        </w:rPr>
        <w:br/>
      </w:r>
      <w:r w:rsidRPr="003570AA">
        <w:rPr>
          <w:rFonts w:ascii="Arial" w:eastAsia="Calibri" w:hAnsi="Arial" w:cs="Arial"/>
          <w:lang w:eastAsia="en-US"/>
        </w:rPr>
        <w:t>a dodržovány legislativní požadavky, procesy jsou nastaveny a společnost provedla interní audity k prověření připravenosti systému k certifikaci.</w:t>
      </w:r>
    </w:p>
    <w:p w:rsidR="006F3A24" w:rsidRPr="002C1270" w:rsidRDefault="002C1270" w:rsidP="003570AA">
      <w:pPr>
        <w:ind w:left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570AA">
        <w:rPr>
          <w:rFonts w:ascii="Arial" w:eastAsia="Calibri" w:hAnsi="Arial" w:cs="Arial"/>
          <w:lang w:eastAsia="en-US"/>
        </w:rPr>
        <w:t xml:space="preserve">Funkčnost a účinnost systému byla prověřena interními audity v souladu </w:t>
      </w:r>
      <w:r w:rsidR="003570AA" w:rsidRPr="003570AA">
        <w:rPr>
          <w:rFonts w:ascii="Arial" w:eastAsia="Calibri" w:hAnsi="Arial" w:cs="Arial"/>
          <w:lang w:eastAsia="en-US"/>
        </w:rPr>
        <w:br/>
      </w:r>
      <w:r w:rsidRPr="003570AA">
        <w:rPr>
          <w:rFonts w:ascii="Arial" w:eastAsia="Calibri" w:hAnsi="Arial" w:cs="Arial"/>
          <w:lang w:eastAsia="en-US"/>
        </w:rPr>
        <w:t>s programem auditů. Audity se zaměřily na nastavení a dodržování požadavků normy, vnitřních předpisů společnosti a zákonných požadavků. Systém EnMS je nastaven a připraven</w:t>
      </w:r>
      <w:r w:rsidR="003570AA" w:rsidRPr="003570AA">
        <w:rPr>
          <w:rFonts w:ascii="Arial" w:eastAsia="Calibri" w:hAnsi="Arial" w:cs="Arial"/>
          <w:lang w:eastAsia="en-US"/>
        </w:rPr>
        <w:t xml:space="preserve"> </w:t>
      </w:r>
      <w:r w:rsidR="00DE5A08">
        <w:rPr>
          <w:rFonts w:ascii="Arial" w:eastAsia="Calibri" w:hAnsi="Arial" w:cs="Arial"/>
          <w:lang w:eastAsia="en-US"/>
        </w:rPr>
        <w:br/>
      </w:r>
      <w:r w:rsidRPr="003570AA">
        <w:rPr>
          <w:rFonts w:ascii="Arial" w:eastAsia="Calibri" w:hAnsi="Arial" w:cs="Arial"/>
          <w:lang w:eastAsia="en-US"/>
        </w:rPr>
        <w:t>k certifikaci.</w:t>
      </w:r>
      <w:r w:rsidR="00146D75">
        <w:rPr>
          <w:rFonts w:ascii="Arial" w:eastAsia="Calibri" w:hAnsi="Arial" w:cs="Arial"/>
          <w:lang w:eastAsia="en-US"/>
        </w:rPr>
        <w:t xml:space="preserve"> </w:t>
      </w:r>
    </w:p>
    <w:p w:rsidR="006F3A24" w:rsidRPr="006F3A24" w:rsidRDefault="006F3A24" w:rsidP="006F3A24">
      <w:pPr>
        <w:ind w:firstLine="426"/>
        <w:rPr>
          <w:rFonts w:ascii="Arial" w:hAnsi="Arial" w:cs="Arial"/>
          <w:sz w:val="22"/>
        </w:rPr>
      </w:pPr>
    </w:p>
    <w:p w:rsidR="006F3A24" w:rsidRDefault="006F3A24" w:rsidP="006F3A24">
      <w:pPr>
        <w:jc w:val="center"/>
        <w:rPr>
          <w:rFonts w:ascii="Arial" w:hAnsi="Arial" w:cs="Arial"/>
          <w:b/>
          <w:sz w:val="32"/>
          <w:szCs w:val="32"/>
        </w:rPr>
      </w:pPr>
      <w:r w:rsidRPr="006F3A24">
        <w:rPr>
          <w:rFonts w:ascii="Arial" w:hAnsi="Arial" w:cs="Arial"/>
          <w:b/>
          <w:sz w:val="32"/>
          <w:szCs w:val="32"/>
        </w:rPr>
        <w:t>Vstupy pro přezkoumání EnMS</w:t>
      </w:r>
    </w:p>
    <w:p w:rsidR="006F3A24" w:rsidRPr="006F3A24" w:rsidRDefault="006F3A24" w:rsidP="006F3A24">
      <w:pPr>
        <w:ind w:firstLine="426"/>
        <w:rPr>
          <w:rFonts w:ascii="Arial" w:hAnsi="Arial" w:cs="Arial"/>
          <w:sz w:val="22"/>
        </w:rPr>
      </w:pPr>
    </w:p>
    <w:p w:rsidR="006F3A24" w:rsidRPr="003570AA" w:rsidRDefault="006F3A24" w:rsidP="0023482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t>Opatření plynoucí z předchozích přezkoumání EnMS</w:t>
      </w:r>
    </w:p>
    <w:p w:rsidR="00234827" w:rsidRPr="003570AA" w:rsidRDefault="00234827" w:rsidP="00234827">
      <w:pPr>
        <w:pStyle w:val="Odstavecseseznamem"/>
        <w:ind w:left="786"/>
        <w:jc w:val="both"/>
        <w:rPr>
          <w:rFonts w:ascii="Arial" w:hAnsi="Arial" w:cs="Arial"/>
          <w:sz w:val="20"/>
          <w:szCs w:val="20"/>
        </w:rPr>
      </w:pPr>
      <w:r w:rsidRPr="003570AA">
        <w:rPr>
          <w:rFonts w:ascii="Arial" w:hAnsi="Arial" w:cs="Arial"/>
          <w:sz w:val="20"/>
          <w:szCs w:val="20"/>
        </w:rPr>
        <w:t>Předchozí p</w:t>
      </w:r>
      <w:r w:rsidR="004A7072">
        <w:rPr>
          <w:rFonts w:ascii="Arial" w:hAnsi="Arial" w:cs="Arial"/>
          <w:sz w:val="20"/>
          <w:szCs w:val="20"/>
        </w:rPr>
        <w:t>řezkoumání EnMS nebyly prováděny, jedná se o přezkoumání za období implementace.</w:t>
      </w:r>
    </w:p>
    <w:p w:rsidR="006F3A24" w:rsidRPr="006F3A24" w:rsidRDefault="006F3A24" w:rsidP="00694627">
      <w:pPr>
        <w:jc w:val="both"/>
        <w:rPr>
          <w:rFonts w:ascii="Arial" w:hAnsi="Arial" w:cs="Arial"/>
          <w:sz w:val="22"/>
        </w:rPr>
      </w:pPr>
    </w:p>
    <w:p w:rsidR="006F3A24" w:rsidRPr="003570AA" w:rsidRDefault="006F3A24" w:rsidP="0023482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t>Přezkoumání Energetické politiky FNOL a plnění jejích závazků</w:t>
      </w:r>
    </w:p>
    <w:p w:rsidR="002C1270" w:rsidRPr="003570AA" w:rsidRDefault="002C1270" w:rsidP="002C1270">
      <w:pPr>
        <w:pStyle w:val="Odstavecseseznamem"/>
        <w:spacing w:before="240"/>
        <w:ind w:left="786" w:right="403"/>
        <w:jc w:val="both"/>
        <w:rPr>
          <w:rFonts w:ascii="Arial" w:hAnsi="Arial" w:cs="Arial"/>
          <w:sz w:val="20"/>
          <w:szCs w:val="20"/>
        </w:rPr>
      </w:pPr>
      <w:r w:rsidRPr="003570AA">
        <w:rPr>
          <w:rFonts w:ascii="Arial" w:hAnsi="Arial" w:cs="Arial"/>
          <w:sz w:val="20"/>
          <w:szCs w:val="20"/>
        </w:rPr>
        <w:t>Energetická politika je strategickým dokumentem společnosti, definující záměry v oblasti energetických procesů.  Byla vydána k 3.</w:t>
      </w:r>
      <w:r w:rsidR="00295CAF">
        <w:rPr>
          <w:rFonts w:ascii="Arial" w:hAnsi="Arial" w:cs="Arial"/>
          <w:sz w:val="20"/>
          <w:szCs w:val="20"/>
        </w:rPr>
        <w:t xml:space="preserve"> </w:t>
      </w:r>
      <w:r w:rsidRPr="003570AA">
        <w:rPr>
          <w:rFonts w:ascii="Arial" w:hAnsi="Arial" w:cs="Arial"/>
          <w:sz w:val="20"/>
          <w:szCs w:val="20"/>
        </w:rPr>
        <w:t>9.</w:t>
      </w:r>
      <w:r w:rsidR="00295CAF">
        <w:rPr>
          <w:rFonts w:ascii="Arial" w:hAnsi="Arial" w:cs="Arial"/>
          <w:sz w:val="20"/>
          <w:szCs w:val="20"/>
        </w:rPr>
        <w:t xml:space="preserve"> </w:t>
      </w:r>
      <w:r w:rsidRPr="003570AA">
        <w:rPr>
          <w:rFonts w:ascii="Arial" w:hAnsi="Arial" w:cs="Arial"/>
          <w:sz w:val="20"/>
          <w:szCs w:val="20"/>
        </w:rPr>
        <w:t xml:space="preserve">2018 a je vyhovující pro následující období.  </w:t>
      </w:r>
    </w:p>
    <w:p w:rsidR="002C1270" w:rsidRPr="003570AA" w:rsidRDefault="002C1270" w:rsidP="002C1270">
      <w:pPr>
        <w:pStyle w:val="Odstavecseseznamem"/>
        <w:spacing w:before="240"/>
        <w:ind w:left="786" w:right="403"/>
        <w:jc w:val="both"/>
        <w:rPr>
          <w:rFonts w:ascii="Arial" w:hAnsi="Arial" w:cs="Arial"/>
          <w:sz w:val="20"/>
          <w:szCs w:val="20"/>
        </w:rPr>
      </w:pPr>
      <w:r w:rsidRPr="003570AA">
        <w:rPr>
          <w:rFonts w:ascii="Arial" w:hAnsi="Arial" w:cs="Arial"/>
          <w:sz w:val="20"/>
          <w:szCs w:val="20"/>
        </w:rPr>
        <w:t>Plnění závazků definovaných v Politice se společnosti daří kontinuálně naplňovat.</w:t>
      </w:r>
    </w:p>
    <w:p w:rsidR="006F3A24" w:rsidRPr="003570AA" w:rsidRDefault="006F3A24" w:rsidP="00234827">
      <w:pPr>
        <w:ind w:firstLine="426"/>
        <w:jc w:val="both"/>
        <w:rPr>
          <w:rFonts w:ascii="Arial" w:hAnsi="Arial" w:cs="Arial"/>
          <w:b/>
          <w:sz w:val="24"/>
          <w:szCs w:val="24"/>
        </w:rPr>
      </w:pPr>
    </w:p>
    <w:p w:rsidR="006F3A24" w:rsidRPr="003570AA" w:rsidRDefault="006F3A24" w:rsidP="0023482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t>Přezkoumání energetické náročnosti a souvisejících EnPI</w:t>
      </w:r>
    </w:p>
    <w:tbl>
      <w:tblPr>
        <w:tblW w:w="7945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730"/>
        <w:gridCol w:w="3325"/>
        <w:gridCol w:w="1176"/>
        <w:gridCol w:w="1406"/>
        <w:gridCol w:w="1308"/>
      </w:tblGrid>
      <w:tr w:rsidR="007061FD" w:rsidRPr="003570AA" w:rsidTr="007061FD">
        <w:trPr>
          <w:trHeight w:val="6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Pr="00D303EE" w:rsidRDefault="007061FD" w:rsidP="00D303EE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>Pořadí EnPI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Pr="00D303EE" w:rsidRDefault="007061FD" w:rsidP="00D303EE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>Ukazatel energetické náročnosti (EnPI)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Pr="00D303EE" w:rsidRDefault="007061FD" w:rsidP="00D303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Plán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Pr="00D303EE" w:rsidRDefault="007061FD" w:rsidP="00D303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Skutečnost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FD" w:rsidRPr="003570AA" w:rsidRDefault="007061FD" w:rsidP="00706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Vyhodnocení</w:t>
            </w:r>
          </w:p>
        </w:tc>
      </w:tr>
      <w:tr w:rsidR="007061FD" w:rsidRPr="003570AA" w:rsidTr="007061FD">
        <w:trPr>
          <w:trHeight w:val="630"/>
        </w:trPr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Pr="00D303EE" w:rsidRDefault="007061FD" w:rsidP="007061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03E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D" w:rsidRPr="00D303EE" w:rsidRDefault="007061FD" w:rsidP="007061FD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>celková spotřeba tepla v areálu/D°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Default="007061FD" w:rsidP="007061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Default="00196AED" w:rsidP="007061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36,26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FD" w:rsidRPr="00186F56" w:rsidRDefault="007061FD" w:rsidP="007061FD">
            <w:pPr>
              <w:jc w:val="center"/>
              <w:rPr>
                <w:rFonts w:ascii="Arial" w:hAnsi="Arial" w:cs="Arial"/>
                <w:color w:val="FF0000"/>
              </w:rPr>
            </w:pPr>
            <w:r w:rsidRPr="00186F56">
              <w:rPr>
                <w:rFonts w:ascii="Arial" w:hAnsi="Arial" w:cs="Arial"/>
                <w:color w:val="FF0000"/>
              </w:rPr>
              <w:t>Překročen</w:t>
            </w:r>
          </w:p>
        </w:tc>
      </w:tr>
      <w:tr w:rsidR="007061FD" w:rsidRPr="003570AA" w:rsidTr="007061FD">
        <w:trPr>
          <w:trHeight w:val="6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Pr="00D303EE" w:rsidRDefault="007061FD" w:rsidP="007061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03EE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D" w:rsidRPr="00D303EE" w:rsidRDefault="007061FD" w:rsidP="007061FD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>celková spotřeba elektřiny v areálu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Default="007061FD" w:rsidP="007061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Default="00196AED" w:rsidP="007061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FD" w:rsidRPr="00186F56" w:rsidRDefault="007061FD" w:rsidP="007061FD">
            <w:pPr>
              <w:jc w:val="center"/>
              <w:rPr>
                <w:rFonts w:ascii="Arial" w:hAnsi="Arial" w:cs="Arial"/>
                <w:color w:val="FF0000"/>
              </w:rPr>
            </w:pPr>
            <w:r w:rsidRPr="00186F56">
              <w:rPr>
                <w:rFonts w:ascii="Arial" w:hAnsi="Arial" w:cs="Arial"/>
                <w:color w:val="FF0000"/>
              </w:rPr>
              <w:t>Překročen</w:t>
            </w:r>
          </w:p>
        </w:tc>
      </w:tr>
      <w:tr w:rsidR="007061FD" w:rsidRPr="003570AA" w:rsidTr="007061FD">
        <w:trPr>
          <w:trHeight w:val="6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Pr="00D303EE" w:rsidRDefault="007061FD" w:rsidP="007061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03EE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D" w:rsidRPr="00D303EE" w:rsidRDefault="007061FD" w:rsidP="007061FD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 xml:space="preserve">celková spotřeba tepla </w:t>
            </w:r>
            <w:r>
              <w:rPr>
                <w:rFonts w:ascii="Arial" w:hAnsi="Arial" w:cs="Arial"/>
                <w:color w:val="000000"/>
              </w:rPr>
              <w:t xml:space="preserve">ZUBNI </w:t>
            </w:r>
            <w:r w:rsidRPr="00D303EE">
              <w:rPr>
                <w:rFonts w:ascii="Arial" w:hAnsi="Arial" w:cs="Arial"/>
                <w:color w:val="000000"/>
              </w:rPr>
              <w:t>Palackého/D°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Default="007061FD" w:rsidP="007061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Default="00196AED" w:rsidP="007061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FD" w:rsidRPr="003570AA" w:rsidRDefault="007061FD" w:rsidP="00706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Splněn</w:t>
            </w:r>
          </w:p>
        </w:tc>
      </w:tr>
      <w:tr w:rsidR="007061FD" w:rsidRPr="003570AA" w:rsidTr="007061FD">
        <w:trPr>
          <w:trHeight w:val="6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Pr="00D303EE" w:rsidRDefault="007061FD" w:rsidP="007061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03EE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D" w:rsidRPr="00D303EE" w:rsidRDefault="007061FD" w:rsidP="007061FD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 xml:space="preserve">celková spotřeba elektřiny </w:t>
            </w:r>
            <w:r>
              <w:rPr>
                <w:rFonts w:ascii="Arial" w:hAnsi="Arial" w:cs="Arial"/>
                <w:color w:val="000000"/>
              </w:rPr>
              <w:t>ZUBNI</w:t>
            </w:r>
            <w:r w:rsidRPr="00D303EE">
              <w:rPr>
                <w:rFonts w:ascii="Arial" w:hAnsi="Arial" w:cs="Arial"/>
                <w:color w:val="000000"/>
              </w:rPr>
              <w:t xml:space="preserve"> Palackého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Default="007061FD" w:rsidP="007061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Default="00196AED" w:rsidP="007061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FD" w:rsidRPr="003570AA" w:rsidRDefault="007061FD" w:rsidP="00706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Splněn</w:t>
            </w:r>
          </w:p>
        </w:tc>
      </w:tr>
    </w:tbl>
    <w:p w:rsidR="00A85724" w:rsidRDefault="00420D60" w:rsidP="00E541CC">
      <w:pPr>
        <w:pStyle w:val="Odstavecseseznamem"/>
        <w:spacing w:before="240"/>
        <w:ind w:left="786" w:right="403"/>
        <w:jc w:val="both"/>
        <w:rPr>
          <w:rFonts w:ascii="Arial" w:hAnsi="Arial" w:cs="Arial"/>
          <w:sz w:val="20"/>
          <w:szCs w:val="20"/>
        </w:rPr>
      </w:pPr>
      <w:r w:rsidRPr="00E541CC">
        <w:rPr>
          <w:rFonts w:ascii="Arial" w:hAnsi="Arial" w:cs="Arial"/>
          <w:sz w:val="20"/>
          <w:szCs w:val="20"/>
        </w:rPr>
        <w:t>Komentář:</w:t>
      </w:r>
    </w:p>
    <w:p w:rsidR="00C52B37" w:rsidRPr="00E541CC" w:rsidRDefault="00C52B37" w:rsidP="00E541CC">
      <w:pPr>
        <w:pStyle w:val="Odstavecseseznamem"/>
        <w:spacing w:before="240"/>
        <w:ind w:left="786" w:right="4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účely tohoto přezkoumání byly EnPI vyhodnoceny za období leden-listopad 2018.</w:t>
      </w:r>
    </w:p>
    <w:p w:rsidR="00295CAF" w:rsidRPr="00E541CC" w:rsidRDefault="006E4B1C" w:rsidP="00B16705">
      <w:pPr>
        <w:pStyle w:val="Odstavecseseznamem"/>
        <w:spacing w:before="240"/>
        <w:ind w:left="786" w:right="-2"/>
        <w:jc w:val="both"/>
        <w:rPr>
          <w:rFonts w:ascii="Arial" w:hAnsi="Arial" w:cs="Arial"/>
          <w:sz w:val="20"/>
          <w:szCs w:val="20"/>
        </w:rPr>
      </w:pPr>
      <w:r w:rsidRPr="00107250">
        <w:rPr>
          <w:rFonts w:ascii="Arial" w:hAnsi="Arial" w:cs="Arial"/>
          <w:sz w:val="20"/>
          <w:szCs w:val="20"/>
          <w:u w:val="single"/>
        </w:rPr>
        <w:t>EnPI č. 1</w:t>
      </w:r>
      <w:r w:rsidRPr="00E541CC">
        <w:rPr>
          <w:rFonts w:ascii="Arial" w:hAnsi="Arial" w:cs="Arial"/>
          <w:sz w:val="20"/>
          <w:szCs w:val="20"/>
        </w:rPr>
        <w:t xml:space="preserve"> – důvodem překročení je uvádění novostavby 2IKaGER (budova Y) do provozu,</w:t>
      </w:r>
      <w:r w:rsidR="00E541CC">
        <w:rPr>
          <w:rFonts w:ascii="Arial" w:hAnsi="Arial" w:cs="Arial"/>
          <w:sz w:val="20"/>
          <w:szCs w:val="20"/>
        </w:rPr>
        <w:t xml:space="preserve"> </w:t>
      </w:r>
      <w:r w:rsidRPr="00E541CC">
        <w:rPr>
          <w:rFonts w:ascii="Arial" w:hAnsi="Arial" w:cs="Arial"/>
          <w:sz w:val="20"/>
          <w:szCs w:val="20"/>
        </w:rPr>
        <w:t xml:space="preserve">která </w:t>
      </w:r>
      <w:r w:rsidR="00295CAF" w:rsidRPr="00E541CC">
        <w:rPr>
          <w:rFonts w:ascii="Arial" w:hAnsi="Arial" w:cs="Arial"/>
          <w:sz w:val="20"/>
          <w:szCs w:val="20"/>
        </w:rPr>
        <w:t xml:space="preserve">se v </w:t>
      </w:r>
      <w:r w:rsidRPr="00E541CC">
        <w:rPr>
          <w:rFonts w:ascii="Arial" w:hAnsi="Arial" w:cs="Arial"/>
          <w:sz w:val="20"/>
          <w:szCs w:val="20"/>
        </w:rPr>
        <w:t xml:space="preserve">zimě </w:t>
      </w:r>
      <w:r w:rsidR="00295CAF" w:rsidRPr="00E541CC">
        <w:rPr>
          <w:rFonts w:ascii="Arial" w:hAnsi="Arial" w:cs="Arial"/>
          <w:sz w:val="20"/>
          <w:szCs w:val="20"/>
        </w:rPr>
        <w:t>částečně vytápěla z důvodu technol</w:t>
      </w:r>
      <w:r w:rsidRPr="00E541CC">
        <w:rPr>
          <w:rFonts w:ascii="Arial" w:hAnsi="Arial" w:cs="Arial"/>
          <w:sz w:val="20"/>
          <w:szCs w:val="20"/>
        </w:rPr>
        <w:t>ogických</w:t>
      </w:r>
      <w:r w:rsidR="00295CAF" w:rsidRPr="00E541CC">
        <w:rPr>
          <w:rFonts w:ascii="Arial" w:hAnsi="Arial" w:cs="Arial"/>
          <w:sz w:val="20"/>
          <w:szCs w:val="20"/>
        </w:rPr>
        <w:t>, na podzim došlo ke stěhování a také</w:t>
      </w:r>
      <w:r w:rsidRPr="00E541CC">
        <w:rPr>
          <w:rFonts w:ascii="Arial" w:hAnsi="Arial" w:cs="Arial"/>
          <w:sz w:val="20"/>
          <w:szCs w:val="20"/>
        </w:rPr>
        <w:t xml:space="preserve"> určitému souběhu vytápění původní budovy G</w:t>
      </w:r>
      <w:r w:rsidR="00295CAF" w:rsidRPr="00E541CC">
        <w:rPr>
          <w:rFonts w:ascii="Arial" w:hAnsi="Arial" w:cs="Arial"/>
          <w:sz w:val="20"/>
          <w:szCs w:val="20"/>
        </w:rPr>
        <w:t xml:space="preserve"> a nové budovy</w:t>
      </w:r>
      <w:r w:rsidRPr="00E541CC">
        <w:rPr>
          <w:rFonts w:ascii="Arial" w:hAnsi="Arial" w:cs="Arial"/>
          <w:sz w:val="20"/>
          <w:szCs w:val="20"/>
        </w:rPr>
        <w:t xml:space="preserve"> Y. V současné době je </w:t>
      </w:r>
      <w:r w:rsidRPr="00E541CC">
        <w:rPr>
          <w:rFonts w:ascii="Arial" w:hAnsi="Arial" w:cs="Arial"/>
          <w:sz w:val="20"/>
          <w:szCs w:val="20"/>
        </w:rPr>
        <w:lastRenderedPageBreak/>
        <w:t>původní budova G stále minimálně vytápěna. Provoz budovy bude definitivně ukončen v roce 2019, kdy dojde k její demolici.</w:t>
      </w:r>
    </w:p>
    <w:p w:rsidR="00295CAF" w:rsidRPr="00E541CC" w:rsidRDefault="006E4B1C" w:rsidP="00E541CC">
      <w:pPr>
        <w:pStyle w:val="Odstavecseseznamem"/>
        <w:spacing w:before="240"/>
        <w:ind w:left="786" w:right="403"/>
        <w:jc w:val="both"/>
        <w:rPr>
          <w:rFonts w:ascii="Arial" w:hAnsi="Arial" w:cs="Arial"/>
          <w:sz w:val="20"/>
          <w:szCs w:val="20"/>
        </w:rPr>
      </w:pPr>
      <w:r w:rsidRPr="00E541CC">
        <w:rPr>
          <w:rFonts w:ascii="Arial" w:hAnsi="Arial" w:cs="Arial"/>
          <w:sz w:val="20"/>
          <w:szCs w:val="20"/>
        </w:rPr>
        <w:t xml:space="preserve">Klimaticky příznivé podmínky, </w:t>
      </w:r>
      <w:r w:rsidR="00F40FE5" w:rsidRPr="00E541CC">
        <w:rPr>
          <w:rFonts w:ascii="Arial" w:hAnsi="Arial" w:cs="Arial"/>
          <w:sz w:val="20"/>
          <w:szCs w:val="20"/>
        </w:rPr>
        <w:t xml:space="preserve">které v roce 2018 panovaly </w:t>
      </w:r>
      <w:r w:rsidR="00295CAF" w:rsidRPr="00E541CC">
        <w:rPr>
          <w:rFonts w:ascii="Arial" w:hAnsi="Arial" w:cs="Arial"/>
          <w:sz w:val="20"/>
          <w:szCs w:val="20"/>
        </w:rPr>
        <w:t>paradoxně zhoršují tento parametr</w:t>
      </w:r>
      <w:r w:rsidR="00BC1BB0">
        <w:rPr>
          <w:rFonts w:ascii="Arial" w:hAnsi="Arial" w:cs="Arial"/>
          <w:sz w:val="20"/>
          <w:szCs w:val="20"/>
        </w:rPr>
        <w:t xml:space="preserve"> (nízká hodnota denostupňů)</w:t>
      </w:r>
      <w:r w:rsidR="0008694F" w:rsidRPr="00E541CC">
        <w:rPr>
          <w:rFonts w:ascii="Arial" w:hAnsi="Arial" w:cs="Arial"/>
          <w:sz w:val="20"/>
          <w:szCs w:val="20"/>
        </w:rPr>
        <w:t>.</w:t>
      </w:r>
    </w:p>
    <w:p w:rsidR="00295CAF" w:rsidRPr="00E541CC" w:rsidRDefault="00F40FE5" w:rsidP="00B16705">
      <w:pPr>
        <w:pStyle w:val="Odstavecseseznamem"/>
        <w:spacing w:before="240"/>
        <w:ind w:left="786" w:right="-2"/>
        <w:jc w:val="both"/>
        <w:rPr>
          <w:rFonts w:ascii="Arial" w:hAnsi="Arial" w:cs="Arial"/>
          <w:sz w:val="20"/>
          <w:szCs w:val="20"/>
        </w:rPr>
      </w:pPr>
      <w:r w:rsidRPr="00107250">
        <w:rPr>
          <w:rFonts w:ascii="Arial" w:hAnsi="Arial" w:cs="Arial"/>
          <w:sz w:val="20"/>
          <w:szCs w:val="20"/>
          <w:u w:val="single"/>
        </w:rPr>
        <w:t>EnPI č. 2</w:t>
      </w:r>
      <w:r w:rsidR="00D81FF4" w:rsidRPr="00E541CC">
        <w:rPr>
          <w:rFonts w:ascii="Arial" w:hAnsi="Arial" w:cs="Arial"/>
          <w:sz w:val="20"/>
          <w:szCs w:val="20"/>
        </w:rPr>
        <w:t xml:space="preserve"> – n</w:t>
      </w:r>
      <w:r w:rsidR="00295CAF" w:rsidRPr="00E541CC">
        <w:rPr>
          <w:rFonts w:ascii="Arial" w:hAnsi="Arial" w:cs="Arial"/>
          <w:sz w:val="20"/>
          <w:szCs w:val="20"/>
        </w:rPr>
        <w:t>árůst</w:t>
      </w:r>
      <w:r w:rsidRPr="00E541CC">
        <w:rPr>
          <w:rFonts w:ascii="Arial" w:hAnsi="Arial" w:cs="Arial"/>
          <w:sz w:val="20"/>
          <w:szCs w:val="20"/>
        </w:rPr>
        <w:t xml:space="preserve"> ukazatele </w:t>
      </w:r>
      <w:r w:rsidR="00295CAF" w:rsidRPr="00E541CC">
        <w:rPr>
          <w:rFonts w:ascii="Arial" w:hAnsi="Arial" w:cs="Arial"/>
          <w:sz w:val="20"/>
          <w:szCs w:val="20"/>
        </w:rPr>
        <w:t>je způsob</w:t>
      </w:r>
      <w:r w:rsidRPr="00E541CC">
        <w:rPr>
          <w:rFonts w:ascii="Arial" w:hAnsi="Arial" w:cs="Arial"/>
          <w:sz w:val="20"/>
          <w:szCs w:val="20"/>
        </w:rPr>
        <w:t>en zprovozněním novostavby 2IKa</w:t>
      </w:r>
      <w:r w:rsidR="00295CAF" w:rsidRPr="00E541CC">
        <w:rPr>
          <w:rFonts w:ascii="Arial" w:hAnsi="Arial" w:cs="Arial"/>
          <w:sz w:val="20"/>
          <w:szCs w:val="20"/>
        </w:rPr>
        <w:t>G</w:t>
      </w:r>
      <w:r w:rsidRPr="00E541CC">
        <w:rPr>
          <w:rFonts w:ascii="Arial" w:hAnsi="Arial" w:cs="Arial"/>
          <w:sz w:val="20"/>
          <w:szCs w:val="20"/>
        </w:rPr>
        <w:t xml:space="preserve">ER </w:t>
      </w:r>
      <w:r w:rsidR="00295CAF" w:rsidRPr="00E541CC">
        <w:rPr>
          <w:rFonts w:ascii="Arial" w:hAnsi="Arial" w:cs="Arial"/>
          <w:sz w:val="20"/>
          <w:szCs w:val="20"/>
        </w:rPr>
        <w:t xml:space="preserve">a instalací dalších </w:t>
      </w:r>
      <w:r w:rsidRPr="00E541CC">
        <w:rPr>
          <w:rFonts w:ascii="Arial" w:hAnsi="Arial" w:cs="Arial"/>
          <w:sz w:val="20"/>
          <w:szCs w:val="20"/>
        </w:rPr>
        <w:t>klimatizačních systémů.</w:t>
      </w:r>
    </w:p>
    <w:p w:rsidR="00295CAF" w:rsidRDefault="00295CAF" w:rsidP="001C3970">
      <w:pPr>
        <w:jc w:val="both"/>
        <w:rPr>
          <w:rFonts w:ascii="Arial" w:hAnsi="Arial" w:cs="Arial"/>
          <w:sz w:val="22"/>
        </w:rPr>
      </w:pPr>
    </w:p>
    <w:p w:rsidR="003570AA" w:rsidRPr="006F3A24" w:rsidRDefault="003570AA" w:rsidP="001C3970">
      <w:pPr>
        <w:jc w:val="both"/>
        <w:rPr>
          <w:rFonts w:ascii="Arial" w:hAnsi="Arial" w:cs="Arial"/>
          <w:sz w:val="22"/>
        </w:rPr>
      </w:pPr>
    </w:p>
    <w:p w:rsidR="006F3A24" w:rsidRPr="003570AA" w:rsidRDefault="006F3A24" w:rsidP="0023482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t>Výsledky hodnocení shody s právními požadavky, změny právních požadavků a dalších požadavků, ke kterým se organizace zavázala</w:t>
      </w:r>
    </w:p>
    <w:tbl>
      <w:tblPr>
        <w:tblW w:w="4944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326"/>
        <w:gridCol w:w="1781"/>
      </w:tblGrid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D9D9D9"/>
            <w:vAlign w:val="bottom"/>
          </w:tcPr>
          <w:p w:rsidR="00A85724" w:rsidRPr="00C0510E" w:rsidRDefault="00A85724" w:rsidP="00A20C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1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Předpis </w:t>
            </w:r>
          </w:p>
        </w:tc>
        <w:tc>
          <w:tcPr>
            <w:tcW w:w="978" w:type="pct"/>
            <w:shd w:val="clear" w:color="auto" w:fill="D9D9D9"/>
            <w:vAlign w:val="bottom"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shoda/neshoda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Směrnice EP a Rady č. 2012/27/EU o energetické účinnosti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247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Zákon č. 406/2000 Sb., o hospodaření energií v platném znění (novelizace z.č. 103/215 Sb.)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požadavek na certifikaci ISO 50001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Vyhláška č. 480/2012 Sb., o energetickém auditu a energetickém posudku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Vyhláška č. 78/2013 Sb., o energetické náročnosti budov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865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Vyhláška č. 193/2007 Sb., kterou se stanoví podrobnosti účinnosti užití energie při rozvodu tepelné</w:t>
            </w:r>
            <w:r w:rsidRPr="00C0510E">
              <w:rPr>
                <w:rFonts w:ascii="Arial" w:hAnsi="Arial" w:cs="Arial"/>
                <w:iCs/>
                <w:sz w:val="18"/>
                <w:szCs w:val="18"/>
              </w:rPr>
              <w:br/>
              <w:t>energie a vnitřním rozvodu tepelné energie a chladu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900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Vyhláška č. 194/2007 Sb., kterou se stanoví pravidla pro vytápění a dodávku teplé vody, měrné ukazatele spotřeby tepelné energie pro vytápění a pro přípravu teplé vody a požadavky na vybavení vnitřních tepelných zařízení budov přístroji regulujícími dodávku tepelné energie konečným spotřebitelům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Vyhláška č. 193/2013 Sb., o kontrole klimatizačních systémů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Vyhláška č. 194/2013 Sb., o kontrole kotlů a rozvodů tepelné energie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Vyhláška č. 118/2013 Sb., o energetických specialistech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Vyhláška č. 337/2011 Sb., o energetickém štítkování a ekodesignu výrobků spojených se spotřebou energie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600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Vyhláška č. 441/2012 Sb., o stanovení minimální účinnosti užití energie při výrobě elektřiny a tepelné</w:t>
            </w:r>
            <w:r w:rsidRPr="00C0510E">
              <w:rPr>
                <w:rFonts w:ascii="Arial" w:hAnsi="Arial" w:cs="Arial"/>
                <w:iCs/>
                <w:sz w:val="18"/>
                <w:szCs w:val="18"/>
              </w:rPr>
              <w:br/>
              <w:t>energie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Nařízení vlády č. 232/2015 Sb., o státní energetické koncepci a o územní energetické koncepci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334"/>
        </w:trPr>
        <w:tc>
          <w:tcPr>
            <w:tcW w:w="4022" w:type="pct"/>
            <w:shd w:val="clear" w:color="auto" w:fill="auto"/>
            <w:vAlign w:val="bottom"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Zákon č.201/2012 Sb.,  o ochraně ovzduší</w:t>
            </w:r>
          </w:p>
        </w:tc>
        <w:tc>
          <w:tcPr>
            <w:tcW w:w="978" w:type="pct"/>
            <w:shd w:val="clear" w:color="auto" w:fill="auto"/>
            <w:vAlign w:val="bottom"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 xml:space="preserve">Shoda 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Vyhláška č. 415/2012 Sb.,  o přípustné úrovni znečišťování a jejím zjišťování a o provedení  některých dalších ustanovení zákona o ochraně ovzduší</w:t>
            </w:r>
          </w:p>
        </w:tc>
        <w:tc>
          <w:tcPr>
            <w:tcW w:w="978" w:type="pct"/>
            <w:shd w:val="clear" w:color="auto" w:fill="auto"/>
            <w:vAlign w:val="bottom"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 xml:space="preserve">Shoda 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Vyhláška 34/2016 Sb., o čištění, kontrole a revizi spalinové cesty</w:t>
            </w:r>
          </w:p>
        </w:tc>
        <w:tc>
          <w:tcPr>
            <w:tcW w:w="978" w:type="pct"/>
            <w:shd w:val="clear" w:color="auto" w:fill="auto"/>
            <w:vAlign w:val="bottom"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 xml:space="preserve">Shoda 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</w:tcPr>
          <w:p w:rsidR="00A85724" w:rsidRPr="00D81FF4" w:rsidRDefault="00A85724" w:rsidP="00A20CE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81FF4">
              <w:rPr>
                <w:rFonts w:ascii="Arial" w:hAnsi="Arial" w:cs="Arial"/>
                <w:b/>
                <w:iCs/>
                <w:sz w:val="18"/>
                <w:szCs w:val="18"/>
              </w:rPr>
              <w:t>Další požadavky</w:t>
            </w:r>
          </w:p>
        </w:tc>
        <w:tc>
          <w:tcPr>
            <w:tcW w:w="978" w:type="pct"/>
            <w:shd w:val="clear" w:color="auto" w:fill="auto"/>
            <w:vAlign w:val="bottom"/>
          </w:tcPr>
          <w:p w:rsidR="00A85724" w:rsidRPr="00D81FF4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724" w:rsidRPr="00C0510E" w:rsidTr="00C0510E">
        <w:trPr>
          <w:trHeight w:val="289"/>
        </w:trPr>
        <w:tc>
          <w:tcPr>
            <w:tcW w:w="4022" w:type="pct"/>
            <w:shd w:val="clear" w:color="auto" w:fill="auto"/>
            <w:vAlign w:val="center"/>
          </w:tcPr>
          <w:p w:rsidR="00A85724" w:rsidRPr="00D81FF4" w:rsidRDefault="00C0510E" w:rsidP="00C0510E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D81FF4">
              <w:rPr>
                <w:rFonts w:ascii="Arial" w:hAnsi="Arial" w:cs="Arial"/>
                <w:iCs/>
                <w:sz w:val="18"/>
                <w:szCs w:val="18"/>
              </w:rPr>
              <w:t>Smlouvy s dodavateli a další požadavky jsou vedeny na formuláři Fm03 Další požadavky. Evidence je vedena elektronicky.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A85724" w:rsidRPr="00D81FF4" w:rsidRDefault="00A85724" w:rsidP="00C0510E">
            <w:pPr>
              <w:rPr>
                <w:rFonts w:ascii="Arial" w:hAnsi="Arial" w:cs="Arial"/>
                <w:sz w:val="18"/>
                <w:szCs w:val="18"/>
              </w:rPr>
            </w:pPr>
            <w:r w:rsidRPr="00D81FF4">
              <w:rPr>
                <w:rFonts w:ascii="Arial" w:hAnsi="Arial" w:cs="Arial"/>
                <w:sz w:val="18"/>
                <w:szCs w:val="18"/>
              </w:rPr>
              <w:t>Shoda</w:t>
            </w:r>
            <w:r w:rsidR="00A22A7B">
              <w:rPr>
                <w:rFonts w:ascii="Arial" w:hAnsi="Arial" w:cs="Arial"/>
                <w:sz w:val="18"/>
                <w:szCs w:val="18"/>
              </w:rPr>
              <w:t xml:space="preserve"> – jsou plněny požadavky smlouv.</w:t>
            </w:r>
          </w:p>
        </w:tc>
      </w:tr>
    </w:tbl>
    <w:p w:rsidR="00234827" w:rsidRDefault="00234827" w:rsidP="00234827">
      <w:pPr>
        <w:pStyle w:val="Odstavecseseznamem"/>
        <w:ind w:left="786"/>
        <w:jc w:val="both"/>
        <w:rPr>
          <w:rFonts w:ascii="Arial" w:hAnsi="Arial" w:cs="Arial"/>
        </w:rPr>
      </w:pPr>
    </w:p>
    <w:p w:rsidR="00A85724" w:rsidRDefault="00A85724" w:rsidP="00234827">
      <w:pPr>
        <w:pStyle w:val="Odstavecseseznamem"/>
        <w:ind w:left="786"/>
        <w:jc w:val="both"/>
        <w:rPr>
          <w:rFonts w:ascii="Arial" w:hAnsi="Arial" w:cs="Arial"/>
        </w:rPr>
      </w:pPr>
    </w:p>
    <w:p w:rsidR="00ED1CCD" w:rsidRDefault="00ED1CCD" w:rsidP="00234827">
      <w:pPr>
        <w:pStyle w:val="Odstavecseseznamem"/>
        <w:ind w:left="786"/>
        <w:jc w:val="both"/>
        <w:rPr>
          <w:rFonts w:ascii="Arial" w:hAnsi="Arial" w:cs="Arial"/>
        </w:rPr>
      </w:pPr>
    </w:p>
    <w:p w:rsidR="00ED1CCD" w:rsidRDefault="00ED1CCD" w:rsidP="00234827">
      <w:pPr>
        <w:pStyle w:val="Odstavecseseznamem"/>
        <w:ind w:left="786"/>
        <w:jc w:val="both"/>
        <w:rPr>
          <w:rFonts w:ascii="Arial" w:hAnsi="Arial" w:cs="Arial"/>
        </w:rPr>
      </w:pPr>
    </w:p>
    <w:p w:rsidR="00ED1CCD" w:rsidRDefault="00ED1CCD" w:rsidP="00234827">
      <w:pPr>
        <w:pStyle w:val="Odstavecseseznamem"/>
        <w:ind w:left="786"/>
        <w:jc w:val="both"/>
        <w:rPr>
          <w:rFonts w:ascii="Arial" w:hAnsi="Arial" w:cs="Arial"/>
        </w:rPr>
      </w:pPr>
    </w:p>
    <w:p w:rsidR="00B8203F" w:rsidRDefault="00B8203F" w:rsidP="00234827">
      <w:pPr>
        <w:pStyle w:val="Odstavecseseznamem"/>
        <w:ind w:left="786"/>
        <w:jc w:val="both"/>
        <w:rPr>
          <w:rFonts w:ascii="Arial" w:hAnsi="Arial" w:cs="Arial"/>
        </w:rPr>
      </w:pPr>
    </w:p>
    <w:p w:rsidR="00ED1CCD" w:rsidRDefault="00ED1CCD" w:rsidP="00234827">
      <w:pPr>
        <w:pStyle w:val="Odstavecseseznamem"/>
        <w:ind w:left="786"/>
        <w:jc w:val="both"/>
        <w:rPr>
          <w:rFonts w:ascii="Arial" w:hAnsi="Arial" w:cs="Arial"/>
        </w:rPr>
      </w:pPr>
    </w:p>
    <w:p w:rsidR="006F3A24" w:rsidRPr="003570AA" w:rsidRDefault="006F3A24" w:rsidP="0023482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t>Rozsah plnění energetických cílů a cílových hodnot</w:t>
      </w:r>
    </w:p>
    <w:tbl>
      <w:tblPr>
        <w:tblStyle w:val="Mkatabulky"/>
        <w:tblW w:w="8505" w:type="dxa"/>
        <w:tblInd w:w="817" w:type="dxa"/>
        <w:tblLayout w:type="fixed"/>
        <w:tblLook w:val="04A0"/>
      </w:tblPr>
      <w:tblGrid>
        <w:gridCol w:w="709"/>
        <w:gridCol w:w="3133"/>
        <w:gridCol w:w="1559"/>
        <w:gridCol w:w="3104"/>
      </w:tblGrid>
      <w:tr w:rsidR="00CD1F3A" w:rsidRPr="00C0510E" w:rsidTr="006D6CBC">
        <w:trPr>
          <w:trHeight w:val="312"/>
        </w:trPr>
        <w:tc>
          <w:tcPr>
            <w:tcW w:w="709" w:type="dxa"/>
            <w:vAlign w:val="center"/>
          </w:tcPr>
          <w:p w:rsidR="00CD1F3A" w:rsidRPr="00C0510E" w:rsidRDefault="00CD1F3A" w:rsidP="00A20CE0">
            <w:pPr>
              <w:jc w:val="center"/>
              <w:rPr>
                <w:rFonts w:ascii="Arial" w:hAnsi="Arial" w:cs="Arial"/>
                <w:b/>
              </w:rPr>
            </w:pPr>
            <w:r w:rsidRPr="00C0510E">
              <w:rPr>
                <w:rFonts w:ascii="Arial" w:hAnsi="Arial" w:cs="Arial"/>
                <w:b/>
              </w:rPr>
              <w:lastRenderedPageBreak/>
              <w:t>Číslo</w:t>
            </w:r>
          </w:p>
        </w:tc>
        <w:tc>
          <w:tcPr>
            <w:tcW w:w="3133" w:type="dxa"/>
            <w:vAlign w:val="center"/>
          </w:tcPr>
          <w:p w:rsidR="00CD1F3A" w:rsidRPr="00C0510E" w:rsidRDefault="00CD1F3A" w:rsidP="00A20CE0">
            <w:pPr>
              <w:jc w:val="center"/>
              <w:rPr>
                <w:rFonts w:ascii="Arial" w:hAnsi="Arial" w:cs="Arial"/>
                <w:b/>
              </w:rPr>
            </w:pPr>
            <w:r w:rsidRPr="00C0510E">
              <w:rPr>
                <w:rFonts w:ascii="Arial" w:hAnsi="Arial" w:cs="Arial"/>
                <w:b/>
              </w:rPr>
              <w:t>Náplň cíle</w:t>
            </w:r>
          </w:p>
        </w:tc>
        <w:tc>
          <w:tcPr>
            <w:tcW w:w="1559" w:type="dxa"/>
            <w:vAlign w:val="center"/>
          </w:tcPr>
          <w:p w:rsidR="00CD1F3A" w:rsidRPr="00C0510E" w:rsidRDefault="00CD1F3A" w:rsidP="00A20CE0">
            <w:pPr>
              <w:jc w:val="center"/>
              <w:rPr>
                <w:rFonts w:ascii="Arial" w:hAnsi="Arial" w:cs="Arial"/>
                <w:b/>
              </w:rPr>
            </w:pPr>
            <w:r w:rsidRPr="00C0510E">
              <w:rPr>
                <w:rFonts w:ascii="Arial" w:hAnsi="Arial" w:cs="Arial"/>
                <w:b/>
              </w:rPr>
              <w:t>Termín</w:t>
            </w:r>
          </w:p>
          <w:p w:rsidR="00CD1F3A" w:rsidRPr="00C0510E" w:rsidRDefault="00CD1F3A" w:rsidP="00A20CE0">
            <w:pPr>
              <w:jc w:val="center"/>
              <w:rPr>
                <w:rFonts w:ascii="Arial" w:hAnsi="Arial" w:cs="Arial"/>
                <w:b/>
              </w:rPr>
            </w:pPr>
            <w:r w:rsidRPr="00C0510E">
              <w:rPr>
                <w:rFonts w:ascii="Arial" w:hAnsi="Arial" w:cs="Arial"/>
                <w:b/>
              </w:rPr>
              <w:t>vyhotovení</w:t>
            </w:r>
          </w:p>
        </w:tc>
        <w:tc>
          <w:tcPr>
            <w:tcW w:w="3104" w:type="dxa"/>
            <w:vAlign w:val="center"/>
          </w:tcPr>
          <w:p w:rsidR="00CD1F3A" w:rsidRPr="00C0510E" w:rsidRDefault="00CD1F3A" w:rsidP="00A20CE0">
            <w:pPr>
              <w:jc w:val="center"/>
              <w:rPr>
                <w:rFonts w:ascii="Arial" w:hAnsi="Arial" w:cs="Arial"/>
                <w:b/>
              </w:rPr>
            </w:pPr>
            <w:r w:rsidRPr="00C0510E">
              <w:rPr>
                <w:rFonts w:ascii="Arial" w:hAnsi="Arial" w:cs="Arial"/>
                <w:b/>
              </w:rPr>
              <w:t>Stav plnění</w:t>
            </w:r>
            <w:r w:rsidR="00DE5A08">
              <w:rPr>
                <w:rFonts w:ascii="Arial" w:hAnsi="Arial" w:cs="Arial"/>
                <w:b/>
              </w:rPr>
              <w:t xml:space="preserve"> v roce 2018</w:t>
            </w:r>
          </w:p>
        </w:tc>
      </w:tr>
      <w:tr w:rsidR="00CD1F3A" w:rsidRPr="00C0510E" w:rsidTr="00196AED">
        <w:trPr>
          <w:trHeight w:val="312"/>
        </w:trPr>
        <w:tc>
          <w:tcPr>
            <w:tcW w:w="709" w:type="dxa"/>
            <w:vAlign w:val="center"/>
          </w:tcPr>
          <w:p w:rsidR="00CD1F3A" w:rsidRPr="00C0510E" w:rsidRDefault="00CD1F3A" w:rsidP="00196AED">
            <w:pPr>
              <w:jc w:val="center"/>
              <w:rPr>
                <w:rFonts w:ascii="Arial" w:hAnsi="Arial" w:cs="Arial"/>
              </w:rPr>
            </w:pPr>
            <w:r w:rsidRPr="00C0510E">
              <w:rPr>
                <w:rFonts w:ascii="Arial" w:hAnsi="Arial" w:cs="Arial"/>
              </w:rPr>
              <w:t>1.</w:t>
            </w:r>
          </w:p>
        </w:tc>
        <w:tc>
          <w:tcPr>
            <w:tcW w:w="3133" w:type="dxa"/>
            <w:vAlign w:val="center"/>
          </w:tcPr>
          <w:p w:rsidR="00CD1F3A" w:rsidRPr="00C0510E" w:rsidRDefault="00CD1F3A" w:rsidP="00A20CE0">
            <w:pPr>
              <w:rPr>
                <w:rFonts w:ascii="Arial" w:hAnsi="Arial" w:cs="Arial"/>
              </w:rPr>
            </w:pPr>
            <w:r w:rsidRPr="00C0510E">
              <w:rPr>
                <w:rFonts w:ascii="Arial" w:hAnsi="Arial" w:cs="Arial"/>
              </w:rPr>
              <w:t>Zavedení samoodečtů instalovaných  měřidel a tepla</w:t>
            </w:r>
          </w:p>
        </w:tc>
        <w:tc>
          <w:tcPr>
            <w:tcW w:w="1559" w:type="dxa"/>
            <w:vAlign w:val="center"/>
          </w:tcPr>
          <w:p w:rsidR="00CD1F3A" w:rsidRPr="00C0510E" w:rsidRDefault="00CD1F3A" w:rsidP="00A20CE0">
            <w:pPr>
              <w:jc w:val="center"/>
              <w:rPr>
                <w:rFonts w:ascii="Arial" w:hAnsi="Arial" w:cs="Arial"/>
              </w:rPr>
            </w:pPr>
            <w:r w:rsidRPr="00C0510E">
              <w:rPr>
                <w:rFonts w:ascii="Arial" w:hAnsi="Arial" w:cs="Arial"/>
              </w:rPr>
              <w:t>31.12.2019</w:t>
            </w:r>
          </w:p>
        </w:tc>
        <w:tc>
          <w:tcPr>
            <w:tcW w:w="3104" w:type="dxa"/>
            <w:vAlign w:val="center"/>
          </w:tcPr>
          <w:p w:rsidR="00CD1F3A" w:rsidRPr="00C0510E" w:rsidRDefault="00CD1F3A" w:rsidP="00CD1F3A">
            <w:pPr>
              <w:jc w:val="center"/>
              <w:rPr>
                <w:rFonts w:ascii="Arial" w:hAnsi="Arial" w:cs="Arial"/>
              </w:rPr>
            </w:pPr>
            <w:r w:rsidRPr="00C0510E">
              <w:rPr>
                <w:rFonts w:ascii="Arial" w:hAnsi="Arial" w:cs="Arial"/>
              </w:rPr>
              <w:t>Cíl trvá</w:t>
            </w:r>
          </w:p>
        </w:tc>
      </w:tr>
      <w:tr w:rsidR="00CD1F3A" w:rsidRPr="00C0510E" w:rsidTr="00196AED">
        <w:trPr>
          <w:trHeight w:val="300"/>
        </w:trPr>
        <w:tc>
          <w:tcPr>
            <w:tcW w:w="709" w:type="dxa"/>
            <w:vAlign w:val="center"/>
          </w:tcPr>
          <w:p w:rsidR="00CD1F3A" w:rsidRPr="00C0510E" w:rsidRDefault="00CD1F3A" w:rsidP="00196AED">
            <w:pPr>
              <w:jc w:val="center"/>
              <w:rPr>
                <w:rFonts w:ascii="Arial" w:hAnsi="Arial" w:cs="Arial"/>
              </w:rPr>
            </w:pPr>
            <w:r w:rsidRPr="00C0510E">
              <w:rPr>
                <w:rFonts w:ascii="Arial" w:hAnsi="Arial" w:cs="Arial"/>
              </w:rPr>
              <w:t>2.</w:t>
            </w:r>
          </w:p>
        </w:tc>
        <w:tc>
          <w:tcPr>
            <w:tcW w:w="3133" w:type="dxa"/>
            <w:vAlign w:val="center"/>
          </w:tcPr>
          <w:p w:rsidR="00CD1F3A" w:rsidRPr="00C0510E" w:rsidRDefault="00CD1F3A" w:rsidP="00A20CE0">
            <w:pPr>
              <w:rPr>
                <w:rFonts w:ascii="Arial" w:hAnsi="Arial" w:cs="Arial"/>
              </w:rPr>
            </w:pPr>
            <w:r w:rsidRPr="00C0510E">
              <w:rPr>
                <w:rFonts w:ascii="Arial" w:hAnsi="Arial" w:cs="Arial"/>
              </w:rPr>
              <w:t>Zavedení samoodečtů instalovaných  měřidel elektřiny</w:t>
            </w:r>
          </w:p>
        </w:tc>
        <w:tc>
          <w:tcPr>
            <w:tcW w:w="1559" w:type="dxa"/>
            <w:vAlign w:val="center"/>
          </w:tcPr>
          <w:p w:rsidR="00CD1F3A" w:rsidRPr="00C0510E" w:rsidRDefault="00CD1F3A" w:rsidP="00A20CE0">
            <w:pPr>
              <w:jc w:val="center"/>
              <w:rPr>
                <w:rFonts w:ascii="Arial" w:hAnsi="Arial" w:cs="Arial"/>
              </w:rPr>
            </w:pPr>
            <w:r w:rsidRPr="00C0510E">
              <w:rPr>
                <w:rFonts w:ascii="Arial" w:hAnsi="Arial" w:cs="Arial"/>
              </w:rPr>
              <w:t>30.12.2020</w:t>
            </w:r>
          </w:p>
        </w:tc>
        <w:tc>
          <w:tcPr>
            <w:tcW w:w="3104" w:type="dxa"/>
            <w:vAlign w:val="center"/>
          </w:tcPr>
          <w:p w:rsidR="00CD1F3A" w:rsidRPr="00C0510E" w:rsidRDefault="00CD1F3A" w:rsidP="00CD1F3A">
            <w:pPr>
              <w:jc w:val="center"/>
              <w:rPr>
                <w:rFonts w:ascii="Arial" w:hAnsi="Arial" w:cs="Arial"/>
              </w:rPr>
            </w:pPr>
            <w:r w:rsidRPr="00C0510E">
              <w:rPr>
                <w:rFonts w:ascii="Arial" w:hAnsi="Arial" w:cs="Arial"/>
              </w:rPr>
              <w:t>Cíl trvá</w:t>
            </w:r>
          </w:p>
        </w:tc>
      </w:tr>
      <w:tr w:rsidR="00CD1F3A" w:rsidRPr="00C0510E" w:rsidTr="00196AED">
        <w:trPr>
          <w:trHeight w:val="785"/>
        </w:trPr>
        <w:tc>
          <w:tcPr>
            <w:tcW w:w="709" w:type="dxa"/>
            <w:vAlign w:val="center"/>
          </w:tcPr>
          <w:p w:rsidR="00CD1F3A" w:rsidRPr="00C0510E" w:rsidRDefault="00CD1F3A" w:rsidP="00196AED">
            <w:pPr>
              <w:jc w:val="center"/>
              <w:rPr>
                <w:rFonts w:ascii="Arial" w:hAnsi="Arial" w:cs="Arial"/>
              </w:rPr>
            </w:pPr>
            <w:r w:rsidRPr="00C0510E">
              <w:rPr>
                <w:rFonts w:ascii="Arial" w:hAnsi="Arial" w:cs="Arial"/>
              </w:rPr>
              <w:t>3.</w:t>
            </w:r>
          </w:p>
        </w:tc>
        <w:tc>
          <w:tcPr>
            <w:tcW w:w="3133" w:type="dxa"/>
            <w:vAlign w:val="center"/>
          </w:tcPr>
          <w:p w:rsidR="00CD1F3A" w:rsidRPr="00C0510E" w:rsidRDefault="00CD1F3A" w:rsidP="00A20CE0">
            <w:pPr>
              <w:rPr>
                <w:rFonts w:ascii="Arial" w:hAnsi="Arial" w:cs="Arial"/>
                <w:color w:val="000000"/>
              </w:rPr>
            </w:pPr>
            <w:r w:rsidRPr="00C0510E">
              <w:rPr>
                <w:rFonts w:ascii="Arial" w:hAnsi="Arial" w:cs="Arial"/>
                <w:color w:val="000000"/>
              </w:rPr>
              <w:t>Instalace klimatizačních systémů/ změna systému chlazení/ řízení výkonu</w:t>
            </w:r>
          </w:p>
        </w:tc>
        <w:tc>
          <w:tcPr>
            <w:tcW w:w="1559" w:type="dxa"/>
            <w:vAlign w:val="center"/>
          </w:tcPr>
          <w:p w:rsidR="00CD1F3A" w:rsidRPr="00C0510E" w:rsidRDefault="00CD1F3A" w:rsidP="00A20CE0">
            <w:pPr>
              <w:jc w:val="center"/>
              <w:rPr>
                <w:rFonts w:ascii="Arial" w:hAnsi="Arial" w:cs="Arial"/>
                <w:color w:val="000000"/>
              </w:rPr>
            </w:pPr>
            <w:r w:rsidRPr="00C0510E">
              <w:rPr>
                <w:rFonts w:ascii="Arial" w:hAnsi="Arial" w:cs="Arial"/>
                <w:color w:val="000000"/>
              </w:rPr>
              <w:t>31.12.2020</w:t>
            </w:r>
          </w:p>
        </w:tc>
        <w:tc>
          <w:tcPr>
            <w:tcW w:w="3104" w:type="dxa"/>
            <w:vAlign w:val="center"/>
          </w:tcPr>
          <w:p w:rsidR="00CD1F3A" w:rsidRPr="00C0510E" w:rsidRDefault="00CD1F3A" w:rsidP="00CD1F3A">
            <w:pPr>
              <w:jc w:val="center"/>
              <w:rPr>
                <w:rFonts w:ascii="Arial" w:hAnsi="Arial" w:cs="Arial"/>
              </w:rPr>
            </w:pPr>
            <w:r w:rsidRPr="00C0510E">
              <w:rPr>
                <w:rFonts w:ascii="Arial" w:hAnsi="Arial" w:cs="Arial"/>
              </w:rPr>
              <w:t>Cíl trvá</w:t>
            </w:r>
          </w:p>
        </w:tc>
      </w:tr>
      <w:tr w:rsidR="00A9214B" w:rsidRPr="00C0510E" w:rsidTr="00196AED">
        <w:trPr>
          <w:trHeight w:val="785"/>
        </w:trPr>
        <w:tc>
          <w:tcPr>
            <w:tcW w:w="709" w:type="dxa"/>
            <w:vAlign w:val="center"/>
          </w:tcPr>
          <w:p w:rsidR="00A9214B" w:rsidRPr="00107250" w:rsidRDefault="00A9214B" w:rsidP="00196AED">
            <w:pPr>
              <w:jc w:val="center"/>
              <w:rPr>
                <w:rFonts w:ascii="Arial" w:hAnsi="Arial" w:cs="Arial"/>
              </w:rPr>
            </w:pPr>
            <w:r w:rsidRPr="00107250">
              <w:rPr>
                <w:rFonts w:ascii="Arial" w:hAnsi="Arial" w:cs="Arial"/>
              </w:rPr>
              <w:t>4.</w:t>
            </w:r>
          </w:p>
        </w:tc>
        <w:tc>
          <w:tcPr>
            <w:tcW w:w="3133" w:type="dxa"/>
            <w:vAlign w:val="center"/>
          </w:tcPr>
          <w:p w:rsidR="00A9214B" w:rsidRPr="00107250" w:rsidRDefault="00A9214B" w:rsidP="00A20CE0">
            <w:pPr>
              <w:rPr>
                <w:rFonts w:ascii="Arial" w:hAnsi="Arial" w:cs="Arial"/>
                <w:color w:val="000000"/>
              </w:rPr>
            </w:pPr>
            <w:r w:rsidRPr="00107250">
              <w:rPr>
                <w:rFonts w:ascii="Arial" w:hAnsi="Arial" w:cs="Arial"/>
              </w:rPr>
              <w:t>Revize stávajících a doplnění PENB u budov připojených na SZT</w:t>
            </w:r>
          </w:p>
        </w:tc>
        <w:tc>
          <w:tcPr>
            <w:tcW w:w="1559" w:type="dxa"/>
            <w:vAlign w:val="center"/>
          </w:tcPr>
          <w:p w:rsidR="00A9214B" w:rsidRPr="00107250" w:rsidRDefault="00A9214B" w:rsidP="00A20CE0">
            <w:pPr>
              <w:jc w:val="center"/>
              <w:rPr>
                <w:rFonts w:ascii="Arial" w:hAnsi="Arial" w:cs="Arial"/>
                <w:color w:val="000000"/>
              </w:rPr>
            </w:pPr>
            <w:r w:rsidRPr="00107250">
              <w:rPr>
                <w:rFonts w:ascii="Arial" w:hAnsi="Arial" w:cs="Arial"/>
                <w:color w:val="000000"/>
              </w:rPr>
              <w:t>31.12.2020</w:t>
            </w:r>
          </w:p>
        </w:tc>
        <w:tc>
          <w:tcPr>
            <w:tcW w:w="3104" w:type="dxa"/>
            <w:vAlign w:val="center"/>
          </w:tcPr>
          <w:p w:rsidR="00A9214B" w:rsidRPr="00107250" w:rsidRDefault="00A9214B" w:rsidP="00CD1F3A">
            <w:pPr>
              <w:jc w:val="center"/>
              <w:rPr>
                <w:rFonts w:ascii="Arial" w:hAnsi="Arial" w:cs="Arial"/>
              </w:rPr>
            </w:pPr>
            <w:r w:rsidRPr="00107250">
              <w:rPr>
                <w:rFonts w:ascii="Arial" w:hAnsi="Arial" w:cs="Arial"/>
              </w:rPr>
              <w:t>Cíl trvá</w:t>
            </w:r>
          </w:p>
        </w:tc>
      </w:tr>
      <w:tr w:rsidR="00CD1F3A" w:rsidRPr="00C0510E" w:rsidTr="00196AED">
        <w:trPr>
          <w:trHeight w:val="312"/>
        </w:trPr>
        <w:tc>
          <w:tcPr>
            <w:tcW w:w="709" w:type="dxa"/>
            <w:vAlign w:val="center"/>
          </w:tcPr>
          <w:p w:rsidR="00CD1F3A" w:rsidRPr="000C4067" w:rsidRDefault="0083676B" w:rsidP="00196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D1F3A" w:rsidRPr="000C4067">
              <w:rPr>
                <w:rFonts w:ascii="Arial" w:hAnsi="Arial" w:cs="Arial"/>
              </w:rPr>
              <w:t>.</w:t>
            </w:r>
          </w:p>
        </w:tc>
        <w:tc>
          <w:tcPr>
            <w:tcW w:w="3133" w:type="dxa"/>
            <w:vAlign w:val="center"/>
          </w:tcPr>
          <w:p w:rsidR="00CD1F3A" w:rsidRPr="000C4067" w:rsidRDefault="00CD1F3A" w:rsidP="00A20CE0">
            <w:pPr>
              <w:rPr>
                <w:rFonts w:ascii="Arial" w:hAnsi="Arial" w:cs="Arial"/>
              </w:rPr>
            </w:pPr>
            <w:r w:rsidRPr="000C4067">
              <w:rPr>
                <w:rFonts w:ascii="Arial" w:hAnsi="Arial" w:cs="Arial"/>
              </w:rPr>
              <w:t>Certifikace systému managementu hospodaření energií FNOL dle ČSN EN ISO 5001:2012</w:t>
            </w:r>
          </w:p>
        </w:tc>
        <w:tc>
          <w:tcPr>
            <w:tcW w:w="1559" w:type="dxa"/>
            <w:vAlign w:val="center"/>
          </w:tcPr>
          <w:p w:rsidR="00CD1F3A" w:rsidRPr="000C4067" w:rsidRDefault="00CD1F3A" w:rsidP="00A20CE0">
            <w:pPr>
              <w:jc w:val="center"/>
              <w:rPr>
                <w:rFonts w:ascii="Arial" w:hAnsi="Arial" w:cs="Arial"/>
              </w:rPr>
            </w:pPr>
            <w:r w:rsidRPr="000C4067">
              <w:rPr>
                <w:rFonts w:ascii="Arial" w:hAnsi="Arial" w:cs="Arial"/>
              </w:rPr>
              <w:t>31.3.2019</w:t>
            </w:r>
          </w:p>
        </w:tc>
        <w:tc>
          <w:tcPr>
            <w:tcW w:w="3104" w:type="dxa"/>
            <w:vAlign w:val="center"/>
          </w:tcPr>
          <w:p w:rsidR="00CD1F3A" w:rsidRPr="000C4067" w:rsidRDefault="00CD1F3A" w:rsidP="00094174">
            <w:pPr>
              <w:jc w:val="center"/>
              <w:rPr>
                <w:rFonts w:ascii="Arial" w:hAnsi="Arial" w:cs="Arial"/>
              </w:rPr>
            </w:pPr>
            <w:r w:rsidRPr="000C4067">
              <w:rPr>
                <w:rFonts w:ascii="Arial" w:hAnsi="Arial" w:cs="Arial"/>
              </w:rPr>
              <w:t>Proveden 1. stupeň certifikačního auditu</w:t>
            </w:r>
          </w:p>
          <w:p w:rsidR="00CD1F3A" w:rsidRPr="000C4067" w:rsidRDefault="00CD1F3A" w:rsidP="00094174">
            <w:pPr>
              <w:jc w:val="center"/>
              <w:rPr>
                <w:rFonts w:ascii="Arial" w:hAnsi="Arial" w:cs="Arial"/>
              </w:rPr>
            </w:pPr>
            <w:r w:rsidRPr="000C4067">
              <w:rPr>
                <w:rFonts w:ascii="Arial" w:hAnsi="Arial" w:cs="Arial"/>
              </w:rPr>
              <w:t>Cíl trvá</w:t>
            </w:r>
          </w:p>
        </w:tc>
      </w:tr>
      <w:tr w:rsidR="00CD1F3A" w:rsidRPr="00C0510E" w:rsidTr="00196AED">
        <w:trPr>
          <w:trHeight w:val="312"/>
        </w:trPr>
        <w:tc>
          <w:tcPr>
            <w:tcW w:w="709" w:type="dxa"/>
            <w:vAlign w:val="center"/>
          </w:tcPr>
          <w:p w:rsidR="00CD1F3A" w:rsidRPr="000C4067" w:rsidRDefault="0083676B" w:rsidP="00196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D1F3A" w:rsidRPr="000C4067">
              <w:rPr>
                <w:rFonts w:ascii="Arial" w:hAnsi="Arial" w:cs="Arial"/>
              </w:rPr>
              <w:t>.</w:t>
            </w:r>
          </w:p>
        </w:tc>
        <w:tc>
          <w:tcPr>
            <w:tcW w:w="3133" w:type="dxa"/>
          </w:tcPr>
          <w:p w:rsidR="00CD1F3A" w:rsidRPr="000C4067" w:rsidRDefault="00CD1F3A" w:rsidP="00A20CE0">
            <w:pPr>
              <w:rPr>
                <w:rFonts w:ascii="Arial" w:hAnsi="Arial" w:cs="Arial"/>
              </w:rPr>
            </w:pPr>
            <w:r w:rsidRPr="000C4067">
              <w:rPr>
                <w:rFonts w:ascii="Arial" w:hAnsi="Arial" w:cs="Arial"/>
              </w:rPr>
              <w:t>Proškolení a výcvik 2 osob pro interní audit dle ČSN EN ISO 50001:2012</w:t>
            </w:r>
          </w:p>
        </w:tc>
        <w:tc>
          <w:tcPr>
            <w:tcW w:w="1559" w:type="dxa"/>
            <w:vAlign w:val="center"/>
          </w:tcPr>
          <w:p w:rsidR="00CD1F3A" w:rsidRPr="000C4067" w:rsidRDefault="00CD1F3A" w:rsidP="00A20CE0">
            <w:pPr>
              <w:jc w:val="center"/>
              <w:rPr>
                <w:rFonts w:ascii="Arial" w:hAnsi="Arial" w:cs="Arial"/>
              </w:rPr>
            </w:pPr>
            <w:r w:rsidRPr="000C4067">
              <w:rPr>
                <w:rFonts w:ascii="Arial" w:hAnsi="Arial" w:cs="Arial"/>
              </w:rPr>
              <w:t>31.12.2019</w:t>
            </w:r>
          </w:p>
        </w:tc>
        <w:tc>
          <w:tcPr>
            <w:tcW w:w="3104" w:type="dxa"/>
            <w:vAlign w:val="center"/>
          </w:tcPr>
          <w:p w:rsidR="00CD1F3A" w:rsidRPr="000C4067" w:rsidRDefault="00094174" w:rsidP="00094174">
            <w:pPr>
              <w:jc w:val="center"/>
              <w:rPr>
                <w:rFonts w:ascii="Arial" w:hAnsi="Arial" w:cs="Arial"/>
              </w:rPr>
            </w:pPr>
            <w:r w:rsidRPr="000C4067">
              <w:rPr>
                <w:rFonts w:ascii="Arial" w:hAnsi="Arial" w:cs="Arial"/>
              </w:rPr>
              <w:t>Cíl trvá</w:t>
            </w:r>
          </w:p>
        </w:tc>
      </w:tr>
      <w:tr w:rsidR="00CD1F3A" w:rsidRPr="00C0510E" w:rsidTr="00196AED">
        <w:trPr>
          <w:trHeight w:val="312"/>
        </w:trPr>
        <w:tc>
          <w:tcPr>
            <w:tcW w:w="709" w:type="dxa"/>
            <w:vAlign w:val="center"/>
          </w:tcPr>
          <w:p w:rsidR="00CD1F3A" w:rsidRPr="000C4067" w:rsidRDefault="0083676B" w:rsidP="00196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D1F3A" w:rsidRPr="000C4067">
              <w:rPr>
                <w:rFonts w:ascii="Arial" w:hAnsi="Arial" w:cs="Arial"/>
              </w:rPr>
              <w:t>.</w:t>
            </w:r>
          </w:p>
        </w:tc>
        <w:tc>
          <w:tcPr>
            <w:tcW w:w="3133" w:type="dxa"/>
          </w:tcPr>
          <w:p w:rsidR="00CD1F3A" w:rsidRPr="000C4067" w:rsidRDefault="00CD1F3A" w:rsidP="00A20CE0">
            <w:pPr>
              <w:rPr>
                <w:rFonts w:ascii="Arial" w:hAnsi="Arial" w:cs="Arial"/>
              </w:rPr>
            </w:pPr>
            <w:r w:rsidRPr="000C4067">
              <w:rPr>
                <w:rFonts w:ascii="Arial" w:hAnsi="Arial" w:cs="Arial"/>
              </w:rPr>
              <w:t xml:space="preserve">Zvyšování povědomí zaměstnanců FNOL </w:t>
            </w:r>
          </w:p>
        </w:tc>
        <w:tc>
          <w:tcPr>
            <w:tcW w:w="1559" w:type="dxa"/>
            <w:vAlign w:val="center"/>
          </w:tcPr>
          <w:p w:rsidR="00CD1F3A" w:rsidRPr="000C4067" w:rsidRDefault="00CD1F3A" w:rsidP="00A20CE0">
            <w:pPr>
              <w:jc w:val="center"/>
              <w:rPr>
                <w:rFonts w:ascii="Arial" w:hAnsi="Arial" w:cs="Arial"/>
              </w:rPr>
            </w:pPr>
            <w:r w:rsidRPr="000C4067">
              <w:rPr>
                <w:rFonts w:ascii="Arial" w:hAnsi="Arial" w:cs="Arial"/>
              </w:rPr>
              <w:t>31.12.2019</w:t>
            </w:r>
          </w:p>
        </w:tc>
        <w:tc>
          <w:tcPr>
            <w:tcW w:w="3104" w:type="dxa"/>
            <w:vAlign w:val="center"/>
          </w:tcPr>
          <w:p w:rsidR="00CD1F3A" w:rsidRPr="000C4067" w:rsidRDefault="00094174" w:rsidP="00094174">
            <w:pPr>
              <w:jc w:val="center"/>
              <w:rPr>
                <w:rFonts w:ascii="Arial" w:hAnsi="Arial" w:cs="Arial"/>
              </w:rPr>
            </w:pPr>
            <w:r w:rsidRPr="000C4067">
              <w:rPr>
                <w:rFonts w:ascii="Arial" w:hAnsi="Arial" w:cs="Arial"/>
              </w:rPr>
              <w:t>Cíl trvá</w:t>
            </w:r>
          </w:p>
        </w:tc>
      </w:tr>
    </w:tbl>
    <w:p w:rsidR="006F3A24" w:rsidRDefault="003570AA" w:rsidP="00363CEE">
      <w:pPr>
        <w:pStyle w:val="Odstavecseseznamem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formuláři Fm-10 Akční plán EnMS jsou průběžně vyhodnocovány jednotlivé aktivity vedoucí k naplnění cílů.</w:t>
      </w:r>
    </w:p>
    <w:p w:rsidR="00363CEE" w:rsidRPr="00363CEE" w:rsidRDefault="00363CEE" w:rsidP="00363CEE">
      <w:pPr>
        <w:pStyle w:val="Odstavecseseznamem"/>
        <w:ind w:left="786"/>
        <w:jc w:val="both"/>
        <w:rPr>
          <w:rFonts w:ascii="Arial" w:hAnsi="Arial" w:cs="Arial"/>
          <w:b/>
          <w:sz w:val="28"/>
        </w:rPr>
      </w:pPr>
    </w:p>
    <w:p w:rsidR="006F3A24" w:rsidRPr="003570AA" w:rsidRDefault="006F3A24" w:rsidP="0023482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t>Výsledky auditu EnMS (interních, externích)</w:t>
      </w:r>
    </w:p>
    <w:tbl>
      <w:tblPr>
        <w:tblStyle w:val="Mkatabulky"/>
        <w:tblW w:w="0" w:type="auto"/>
        <w:tblInd w:w="959" w:type="dxa"/>
        <w:tblLook w:val="04A0"/>
      </w:tblPr>
      <w:tblGrid>
        <w:gridCol w:w="2657"/>
        <w:gridCol w:w="2818"/>
        <w:gridCol w:w="2746"/>
      </w:tblGrid>
      <w:tr w:rsidR="00EF1389" w:rsidTr="003570AA">
        <w:tc>
          <w:tcPr>
            <w:tcW w:w="2657" w:type="dxa"/>
          </w:tcPr>
          <w:p w:rsidR="00EF1389" w:rsidRPr="00EF1389" w:rsidRDefault="00EF1389" w:rsidP="00EF138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389">
              <w:rPr>
                <w:rFonts w:ascii="Arial" w:hAnsi="Arial" w:cs="Arial"/>
                <w:sz w:val="20"/>
                <w:szCs w:val="20"/>
              </w:rPr>
              <w:t>Počet interních auditů</w:t>
            </w:r>
          </w:p>
        </w:tc>
        <w:tc>
          <w:tcPr>
            <w:tcW w:w="2818" w:type="dxa"/>
          </w:tcPr>
          <w:p w:rsidR="00EF1389" w:rsidRPr="00EF1389" w:rsidRDefault="00EF1389" w:rsidP="00EF138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neshod</w:t>
            </w:r>
          </w:p>
        </w:tc>
        <w:tc>
          <w:tcPr>
            <w:tcW w:w="2746" w:type="dxa"/>
          </w:tcPr>
          <w:p w:rsidR="00EF1389" w:rsidRPr="00EF1389" w:rsidRDefault="00EF1389" w:rsidP="00EF138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Stanovena NPO</w:t>
            </w:r>
          </w:p>
        </w:tc>
      </w:tr>
      <w:tr w:rsidR="00EF1389" w:rsidTr="003570AA">
        <w:trPr>
          <w:trHeight w:val="476"/>
        </w:trPr>
        <w:tc>
          <w:tcPr>
            <w:tcW w:w="2657" w:type="dxa"/>
            <w:vAlign w:val="center"/>
          </w:tcPr>
          <w:p w:rsidR="00EF1389" w:rsidRPr="00EF1389" w:rsidRDefault="00776400" w:rsidP="009B7C78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18" w:type="dxa"/>
            <w:vAlign w:val="center"/>
          </w:tcPr>
          <w:p w:rsidR="00EF1389" w:rsidRPr="00EF1389" w:rsidRDefault="00BB05C4" w:rsidP="009B7C78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46" w:type="dxa"/>
            <w:vAlign w:val="center"/>
          </w:tcPr>
          <w:p w:rsidR="00EF1389" w:rsidRPr="00EF1389" w:rsidRDefault="00BB05C4" w:rsidP="009B7C78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285222" w:rsidRPr="00285222" w:rsidRDefault="00285222" w:rsidP="00285222">
      <w:pPr>
        <w:ind w:firstLine="708"/>
        <w:jc w:val="both"/>
        <w:rPr>
          <w:rFonts w:ascii="Arial" w:hAnsi="Arial" w:cs="Arial"/>
          <w:sz w:val="10"/>
          <w:szCs w:val="10"/>
        </w:rPr>
      </w:pPr>
    </w:p>
    <w:p w:rsidR="00285222" w:rsidRPr="00285222" w:rsidRDefault="00285222" w:rsidP="00285222">
      <w:pPr>
        <w:ind w:left="708"/>
        <w:jc w:val="both"/>
        <w:rPr>
          <w:rFonts w:ascii="Arial" w:eastAsia="Calibri" w:hAnsi="Arial" w:cs="Arial"/>
          <w:lang w:eastAsia="en-US"/>
        </w:rPr>
      </w:pPr>
      <w:r w:rsidRPr="00285222">
        <w:rPr>
          <w:rFonts w:ascii="Arial" w:eastAsia="Calibri" w:hAnsi="Arial" w:cs="Arial"/>
          <w:lang w:eastAsia="en-US"/>
        </w:rPr>
        <w:t xml:space="preserve">V roce 2018 bylo v souladu s programem provedeno 7 </w:t>
      </w:r>
      <w:r>
        <w:rPr>
          <w:rFonts w:ascii="Arial" w:eastAsia="Calibri" w:hAnsi="Arial" w:cs="Arial"/>
          <w:lang w:eastAsia="en-US"/>
        </w:rPr>
        <w:t>interních auditů. Zjištěné neshody byly řešeny prostřednictví neshodné práce na</w:t>
      </w:r>
      <w:r w:rsidRPr="00285222">
        <w:rPr>
          <w:rFonts w:ascii="Arial" w:eastAsia="Calibri" w:hAnsi="Arial" w:cs="Arial"/>
          <w:lang w:eastAsia="en-US"/>
        </w:rPr>
        <w:t xml:space="preserve"> formuláři Fm-MP-G015-03-NESH-001</w:t>
      </w:r>
      <w:r>
        <w:rPr>
          <w:rFonts w:ascii="Arial" w:eastAsia="Calibri" w:hAnsi="Arial" w:cs="Arial"/>
          <w:lang w:eastAsia="en-US"/>
        </w:rPr>
        <w:t xml:space="preserve"> </w:t>
      </w:r>
      <w:r w:rsidRPr="00285222">
        <w:rPr>
          <w:rFonts w:ascii="Arial" w:eastAsia="Calibri" w:hAnsi="Arial" w:cs="Arial"/>
          <w:lang w:eastAsia="en-US"/>
        </w:rPr>
        <w:t>Záznamu o neshodě, potenciální neshodě</w:t>
      </w:r>
      <w:r>
        <w:rPr>
          <w:rFonts w:ascii="Arial" w:eastAsia="Calibri" w:hAnsi="Arial" w:cs="Arial"/>
          <w:lang w:eastAsia="en-US"/>
        </w:rPr>
        <w:t>.</w:t>
      </w:r>
    </w:p>
    <w:p w:rsidR="00285222" w:rsidRDefault="00285222" w:rsidP="00EF1389">
      <w:pPr>
        <w:pStyle w:val="Odstavecseseznamem"/>
        <w:ind w:left="786"/>
        <w:jc w:val="both"/>
        <w:rPr>
          <w:rFonts w:ascii="Arial" w:hAnsi="Arial" w:cs="Arial"/>
          <w:b/>
          <w:sz w:val="28"/>
        </w:rPr>
      </w:pPr>
    </w:p>
    <w:tbl>
      <w:tblPr>
        <w:tblStyle w:val="Mkatabulky"/>
        <w:tblW w:w="0" w:type="auto"/>
        <w:tblInd w:w="959" w:type="dxa"/>
        <w:tblLook w:val="04A0"/>
      </w:tblPr>
      <w:tblGrid>
        <w:gridCol w:w="2662"/>
        <w:gridCol w:w="2815"/>
        <w:gridCol w:w="2744"/>
      </w:tblGrid>
      <w:tr w:rsidR="00EF1389" w:rsidTr="003570AA">
        <w:tc>
          <w:tcPr>
            <w:tcW w:w="2662" w:type="dxa"/>
          </w:tcPr>
          <w:p w:rsidR="00EF1389" w:rsidRPr="00EF1389" w:rsidRDefault="00EF1389" w:rsidP="00EF138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389">
              <w:rPr>
                <w:rFonts w:ascii="Arial" w:hAnsi="Arial" w:cs="Arial"/>
                <w:sz w:val="20"/>
                <w:szCs w:val="20"/>
              </w:rPr>
              <w:t xml:space="preserve">Počet </w:t>
            </w:r>
            <w:r>
              <w:rPr>
                <w:rFonts w:ascii="Arial" w:hAnsi="Arial" w:cs="Arial"/>
                <w:sz w:val="20"/>
                <w:szCs w:val="20"/>
              </w:rPr>
              <w:t>externích</w:t>
            </w:r>
            <w:r w:rsidRPr="00EF1389">
              <w:rPr>
                <w:rFonts w:ascii="Arial" w:hAnsi="Arial" w:cs="Arial"/>
                <w:sz w:val="20"/>
                <w:szCs w:val="20"/>
              </w:rPr>
              <w:t xml:space="preserve"> auditů</w:t>
            </w:r>
          </w:p>
        </w:tc>
        <w:tc>
          <w:tcPr>
            <w:tcW w:w="2815" w:type="dxa"/>
          </w:tcPr>
          <w:p w:rsidR="00EF1389" w:rsidRPr="00EF1389" w:rsidRDefault="00EF1389" w:rsidP="00A20CE0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neshod</w:t>
            </w:r>
          </w:p>
        </w:tc>
        <w:tc>
          <w:tcPr>
            <w:tcW w:w="2744" w:type="dxa"/>
          </w:tcPr>
          <w:p w:rsidR="00EF1389" w:rsidRPr="00EF1389" w:rsidRDefault="00EF1389" w:rsidP="00A20CE0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Stanovena NPO</w:t>
            </w:r>
          </w:p>
        </w:tc>
      </w:tr>
      <w:tr w:rsidR="00EF1389" w:rsidTr="003570AA">
        <w:trPr>
          <w:trHeight w:val="410"/>
        </w:trPr>
        <w:tc>
          <w:tcPr>
            <w:tcW w:w="2662" w:type="dxa"/>
            <w:vAlign w:val="center"/>
          </w:tcPr>
          <w:p w:rsidR="00EF1389" w:rsidRPr="00EF1389" w:rsidRDefault="009B7C78" w:rsidP="009B7C78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15" w:type="dxa"/>
            <w:vAlign w:val="center"/>
          </w:tcPr>
          <w:p w:rsidR="00EF1389" w:rsidRPr="00EF1389" w:rsidRDefault="009B7C78" w:rsidP="009B7C78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44" w:type="dxa"/>
            <w:vAlign w:val="center"/>
          </w:tcPr>
          <w:p w:rsidR="00EF1389" w:rsidRPr="00EF1389" w:rsidRDefault="009B7C78" w:rsidP="009B7C78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6F3A24" w:rsidRDefault="00ED1CCD" w:rsidP="00EF1389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3570AA" w:rsidRPr="000F48FA" w:rsidRDefault="00ED1CCD" w:rsidP="000F48FA">
      <w:pPr>
        <w:pStyle w:val="Odstavecseseznamem"/>
        <w:ind w:left="786"/>
        <w:jc w:val="both"/>
        <w:rPr>
          <w:rFonts w:ascii="Arial" w:hAnsi="Arial" w:cs="Arial"/>
          <w:sz w:val="20"/>
          <w:szCs w:val="20"/>
        </w:rPr>
      </w:pPr>
      <w:r w:rsidRPr="003570AA">
        <w:rPr>
          <w:rFonts w:ascii="Arial" w:hAnsi="Arial" w:cs="Arial"/>
          <w:sz w:val="20"/>
          <w:szCs w:val="20"/>
        </w:rPr>
        <w:t xml:space="preserve">Dne 29. 10. 2018 proběhla úvodní návštěva a přezkoumání dokumentace, kterou vykonal Ing. Jaroslav Maslowski, </w:t>
      </w:r>
      <w:r w:rsidR="006D6CBC" w:rsidRPr="003570AA">
        <w:rPr>
          <w:rFonts w:ascii="Arial" w:hAnsi="Arial" w:cs="Arial"/>
          <w:sz w:val="20"/>
          <w:szCs w:val="20"/>
        </w:rPr>
        <w:t>auditor</w:t>
      </w:r>
      <w:r w:rsidRPr="003570AA">
        <w:rPr>
          <w:rFonts w:ascii="Arial" w:hAnsi="Arial" w:cs="Arial"/>
          <w:sz w:val="20"/>
          <w:szCs w:val="20"/>
        </w:rPr>
        <w:t xml:space="preserve"> společnosti DNV GL, která byla na základě VZMR vybrána jako certifikační osoba pro ČSN EN ISO 50001. Na základě této návštěvy byly stanoveny 4 méně závažné neshody a 2 pozorování. </w:t>
      </w:r>
      <w:r w:rsidR="00A573E0" w:rsidRPr="003570AA">
        <w:rPr>
          <w:rFonts w:ascii="Arial" w:hAnsi="Arial" w:cs="Arial"/>
          <w:sz w:val="20"/>
          <w:szCs w:val="20"/>
        </w:rPr>
        <w:t>NPO byly stanoveny na formuláři FakultnnemocniceOlomouc_DI_List of findings_2018-10-29_draft a dne 8.</w:t>
      </w:r>
      <w:r w:rsidR="00F40FE5">
        <w:rPr>
          <w:rFonts w:ascii="Arial" w:hAnsi="Arial" w:cs="Arial"/>
          <w:sz w:val="20"/>
          <w:szCs w:val="20"/>
        </w:rPr>
        <w:t xml:space="preserve"> </w:t>
      </w:r>
      <w:r w:rsidR="00A573E0" w:rsidRPr="003570AA">
        <w:rPr>
          <w:rFonts w:ascii="Arial" w:hAnsi="Arial" w:cs="Arial"/>
          <w:sz w:val="20"/>
          <w:szCs w:val="20"/>
        </w:rPr>
        <w:t>11.</w:t>
      </w:r>
      <w:r w:rsidR="00F40FE5">
        <w:rPr>
          <w:rFonts w:ascii="Arial" w:hAnsi="Arial" w:cs="Arial"/>
          <w:sz w:val="20"/>
          <w:szCs w:val="20"/>
        </w:rPr>
        <w:t xml:space="preserve"> </w:t>
      </w:r>
      <w:r w:rsidR="00A573E0" w:rsidRPr="003570AA">
        <w:rPr>
          <w:rFonts w:ascii="Arial" w:hAnsi="Arial" w:cs="Arial"/>
          <w:sz w:val="20"/>
          <w:szCs w:val="20"/>
        </w:rPr>
        <w:t>2018 odeslány e-mailem auditorovi.</w:t>
      </w:r>
      <w:r w:rsidRPr="003570AA">
        <w:rPr>
          <w:rFonts w:ascii="Arial" w:hAnsi="Arial" w:cs="Arial"/>
          <w:sz w:val="20"/>
          <w:szCs w:val="20"/>
        </w:rPr>
        <w:t xml:space="preserve">  </w:t>
      </w:r>
    </w:p>
    <w:p w:rsidR="00ED1CCD" w:rsidRPr="006F3A24" w:rsidRDefault="00ED1CCD" w:rsidP="00EF1389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6F3A24" w:rsidRPr="003570AA" w:rsidRDefault="006F3A24" w:rsidP="0023482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t>Stav neshod, nápravných a preventivních opatření</w:t>
      </w:r>
    </w:p>
    <w:p w:rsidR="000F48FA" w:rsidRDefault="00C34724" w:rsidP="00363CEE">
      <w:pPr>
        <w:pStyle w:val="Odstavecseseznamem"/>
        <w:spacing w:before="240"/>
        <w:ind w:left="786" w:right="403"/>
        <w:jc w:val="both"/>
        <w:rPr>
          <w:rFonts w:ascii="Arial" w:hAnsi="Arial" w:cs="Arial"/>
          <w:sz w:val="20"/>
          <w:szCs w:val="20"/>
        </w:rPr>
      </w:pPr>
      <w:r w:rsidRPr="003570AA">
        <w:rPr>
          <w:rFonts w:ascii="Arial" w:hAnsi="Arial" w:cs="Arial"/>
          <w:sz w:val="20"/>
          <w:szCs w:val="20"/>
        </w:rPr>
        <w:t xml:space="preserve">Na nedostatky zjištěné při interních </w:t>
      </w:r>
      <w:r w:rsidR="00E52358">
        <w:rPr>
          <w:rFonts w:ascii="Arial" w:hAnsi="Arial" w:cs="Arial"/>
          <w:sz w:val="20"/>
          <w:szCs w:val="20"/>
        </w:rPr>
        <w:t xml:space="preserve">a externích </w:t>
      </w:r>
      <w:r w:rsidRPr="003570AA">
        <w:rPr>
          <w:rFonts w:ascii="Arial" w:hAnsi="Arial" w:cs="Arial"/>
          <w:sz w:val="20"/>
          <w:szCs w:val="20"/>
        </w:rPr>
        <w:t>auditech jsou vystaven</w:t>
      </w:r>
      <w:r w:rsidR="00CD44BD">
        <w:rPr>
          <w:rFonts w:ascii="Arial" w:hAnsi="Arial" w:cs="Arial"/>
          <w:sz w:val="20"/>
          <w:szCs w:val="20"/>
        </w:rPr>
        <w:t>y záznamy o neshodě a jsou stanovena nápravná a preventivní opatření.</w:t>
      </w:r>
      <w:r w:rsidR="00E52358">
        <w:rPr>
          <w:rFonts w:ascii="Arial" w:hAnsi="Arial" w:cs="Arial"/>
          <w:sz w:val="20"/>
          <w:szCs w:val="20"/>
        </w:rPr>
        <w:t xml:space="preserve"> Neshody mimo audity nebyly v roce 2018 identifikovány.</w:t>
      </w:r>
    </w:p>
    <w:p w:rsidR="00706A75" w:rsidRPr="00363CEE" w:rsidRDefault="00706A75" w:rsidP="00363CEE">
      <w:pPr>
        <w:pStyle w:val="Odstavecseseznamem"/>
        <w:spacing w:before="240"/>
        <w:ind w:left="786" w:right="403"/>
        <w:jc w:val="both"/>
        <w:rPr>
          <w:rFonts w:ascii="Arial" w:hAnsi="Arial" w:cs="Arial"/>
          <w:sz w:val="20"/>
          <w:szCs w:val="20"/>
        </w:rPr>
      </w:pPr>
    </w:p>
    <w:p w:rsidR="006F3A24" w:rsidRPr="003570AA" w:rsidRDefault="006F3A24" w:rsidP="0023482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t>Předpokládaná energetická náročnost pro další období</w:t>
      </w:r>
    </w:p>
    <w:p w:rsidR="006F3A24" w:rsidRDefault="009A0B9A" w:rsidP="004E5B31">
      <w:pPr>
        <w:pStyle w:val="Odstavecseseznamem"/>
        <w:ind w:left="7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FNOL</w:t>
      </w:r>
      <w:r w:rsidR="00321785" w:rsidRPr="003570AA">
        <w:rPr>
          <w:rFonts w:ascii="Arial" w:hAnsi="Arial" w:cs="Arial"/>
          <w:sz w:val="20"/>
          <w:szCs w:val="20"/>
        </w:rPr>
        <w:t xml:space="preserve"> má stanoveny EnPI pro rok 2019. </w:t>
      </w:r>
    </w:p>
    <w:tbl>
      <w:tblPr>
        <w:tblW w:w="7164" w:type="dxa"/>
        <w:tblInd w:w="769" w:type="dxa"/>
        <w:tblCellMar>
          <w:left w:w="70" w:type="dxa"/>
          <w:right w:w="70" w:type="dxa"/>
        </w:tblCellMar>
        <w:tblLook w:val="04A0"/>
      </w:tblPr>
      <w:tblGrid>
        <w:gridCol w:w="730"/>
        <w:gridCol w:w="4308"/>
        <w:gridCol w:w="2126"/>
      </w:tblGrid>
      <w:tr w:rsidR="009A0B9A" w:rsidRPr="003570AA" w:rsidTr="004E673B">
        <w:trPr>
          <w:trHeight w:val="6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Pr="00D303EE" w:rsidRDefault="009A0B9A" w:rsidP="00A20CE0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>Pořadí EnPI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Pr="00D303EE" w:rsidRDefault="009A0B9A" w:rsidP="00A20CE0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>Ukazatel energetické náročnosti (EnPI)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Pr="00D303EE" w:rsidRDefault="009A0B9A" w:rsidP="00A20C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Plán 2019</w:t>
            </w:r>
          </w:p>
        </w:tc>
      </w:tr>
      <w:tr w:rsidR="009A0B9A" w:rsidRPr="003570AA" w:rsidTr="004E673B">
        <w:trPr>
          <w:trHeight w:val="630"/>
        </w:trPr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Pr="00D303EE" w:rsidRDefault="009A0B9A" w:rsidP="009A0B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03E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9A" w:rsidRPr="00D303EE" w:rsidRDefault="009A0B9A" w:rsidP="009A0B9A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>celková spotřeba tepla v areálu/D°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Default="009A0B9A" w:rsidP="009A0B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A0B9A" w:rsidRPr="003570AA" w:rsidTr="004E673B">
        <w:trPr>
          <w:trHeight w:val="6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Pr="00D303EE" w:rsidRDefault="009A0B9A" w:rsidP="009A0B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03EE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9A" w:rsidRPr="00D303EE" w:rsidRDefault="009A0B9A" w:rsidP="009A0B9A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>celková spotřeba elektřiny v areálu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Default="009A0B9A" w:rsidP="009A0B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</w:t>
            </w:r>
          </w:p>
        </w:tc>
      </w:tr>
      <w:tr w:rsidR="009A0B9A" w:rsidRPr="003570AA" w:rsidTr="004E673B">
        <w:trPr>
          <w:trHeight w:val="6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Pr="00D303EE" w:rsidRDefault="009A0B9A" w:rsidP="009A0B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03EE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9A" w:rsidRPr="00D303EE" w:rsidRDefault="009A0B9A" w:rsidP="009A0B9A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 xml:space="preserve">celková spotřeba tepla </w:t>
            </w:r>
            <w:r>
              <w:rPr>
                <w:rFonts w:ascii="Arial" w:hAnsi="Arial" w:cs="Arial"/>
                <w:color w:val="000000"/>
              </w:rPr>
              <w:t>ZUBNI</w:t>
            </w:r>
            <w:r w:rsidRPr="00D303EE">
              <w:rPr>
                <w:rFonts w:ascii="Arial" w:hAnsi="Arial" w:cs="Arial"/>
                <w:color w:val="000000"/>
              </w:rPr>
              <w:t xml:space="preserve"> Palackého/D°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Default="009A0B9A" w:rsidP="009A0B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</w:t>
            </w:r>
          </w:p>
        </w:tc>
      </w:tr>
      <w:tr w:rsidR="009A0B9A" w:rsidRPr="003570AA" w:rsidTr="004E673B">
        <w:trPr>
          <w:trHeight w:val="6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Pr="00D303EE" w:rsidRDefault="009A0B9A" w:rsidP="009A0B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03EE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9A" w:rsidRPr="00D303EE" w:rsidRDefault="009A0B9A" w:rsidP="009A0B9A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 xml:space="preserve">celková spotřeba elektřiny </w:t>
            </w:r>
            <w:r>
              <w:rPr>
                <w:rFonts w:ascii="Arial" w:hAnsi="Arial" w:cs="Arial"/>
                <w:color w:val="000000"/>
              </w:rPr>
              <w:t>ZUBNI</w:t>
            </w:r>
            <w:r w:rsidRPr="00D303EE">
              <w:rPr>
                <w:rFonts w:ascii="Arial" w:hAnsi="Arial" w:cs="Arial"/>
                <w:color w:val="000000"/>
              </w:rPr>
              <w:t xml:space="preserve"> Palackého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Default="009A0B9A" w:rsidP="009A0B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</w:tr>
    </w:tbl>
    <w:p w:rsidR="006D6CBC" w:rsidRPr="004E673B" w:rsidRDefault="006D6CBC" w:rsidP="004E673B">
      <w:pPr>
        <w:rPr>
          <w:rFonts w:ascii="Arial" w:hAnsi="Arial" w:cs="Arial"/>
        </w:rPr>
      </w:pPr>
    </w:p>
    <w:p w:rsidR="006F3A24" w:rsidRPr="003570AA" w:rsidRDefault="006F3A24" w:rsidP="0023482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t>Doporučení ke zlepšování</w:t>
      </w:r>
    </w:p>
    <w:p w:rsidR="004E5B31" w:rsidRDefault="004E5B31" w:rsidP="004E5B31">
      <w:pPr>
        <w:pStyle w:val="Odstavecseseznamem"/>
        <w:ind w:left="786"/>
        <w:rPr>
          <w:rFonts w:ascii="Arial" w:hAnsi="Arial" w:cs="Arial"/>
          <w:sz w:val="20"/>
          <w:szCs w:val="20"/>
        </w:rPr>
      </w:pPr>
      <w:r w:rsidRPr="004E673B">
        <w:rPr>
          <w:rFonts w:ascii="Arial" w:hAnsi="Arial" w:cs="Arial"/>
          <w:sz w:val="20"/>
          <w:szCs w:val="20"/>
        </w:rPr>
        <w:t>Rozšířit hranice systému EnMS o spotřebu pohonných hmot pro vozidla v majetku FNOL.</w:t>
      </w:r>
    </w:p>
    <w:p w:rsidR="00C52B37" w:rsidRPr="003570AA" w:rsidRDefault="00C52B37" w:rsidP="004E5B31">
      <w:pPr>
        <w:pStyle w:val="Odstavecseseznamem"/>
        <w:ind w:left="786"/>
        <w:rPr>
          <w:rFonts w:ascii="Arial" w:hAnsi="Arial" w:cs="Arial"/>
          <w:sz w:val="20"/>
          <w:szCs w:val="20"/>
        </w:rPr>
      </w:pPr>
    </w:p>
    <w:p w:rsidR="006F3A24" w:rsidRPr="006F3A24" w:rsidRDefault="006F3A24" w:rsidP="00C52B37">
      <w:pPr>
        <w:pStyle w:val="Odstavecseseznamem"/>
        <w:ind w:left="786"/>
        <w:jc w:val="center"/>
        <w:rPr>
          <w:rFonts w:ascii="Arial" w:hAnsi="Arial" w:cs="Arial"/>
          <w:b/>
          <w:sz w:val="32"/>
          <w:szCs w:val="32"/>
        </w:rPr>
      </w:pPr>
      <w:r w:rsidRPr="006F3A24">
        <w:rPr>
          <w:rFonts w:ascii="Arial" w:hAnsi="Arial" w:cs="Arial"/>
          <w:b/>
          <w:sz w:val="32"/>
          <w:szCs w:val="32"/>
        </w:rPr>
        <w:t>Výstupy z přezkoumání EnMS</w:t>
      </w:r>
    </w:p>
    <w:p w:rsidR="006F3A24" w:rsidRDefault="006F3A24" w:rsidP="0023482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t>Přijatá opatření</w:t>
      </w:r>
    </w:p>
    <w:p w:rsidR="00271939" w:rsidRPr="004B6186" w:rsidRDefault="00271939" w:rsidP="00271939">
      <w:pPr>
        <w:pStyle w:val="DEFOdrazky"/>
        <w:spacing w:before="0" w:line="276" w:lineRule="auto"/>
        <w:ind w:left="426"/>
        <w:rPr>
          <w:i w:val="0"/>
          <w:sz w:val="22"/>
          <w:szCs w:val="22"/>
        </w:rPr>
      </w:pPr>
      <w:r w:rsidRPr="004B6186">
        <w:rPr>
          <w:i w:val="0"/>
          <w:sz w:val="22"/>
          <w:szCs w:val="22"/>
        </w:rPr>
        <w:t>Vedení společnosti na základě přezkoumán</w:t>
      </w:r>
      <w:r w:rsidR="009A0B9A">
        <w:rPr>
          <w:i w:val="0"/>
          <w:sz w:val="22"/>
          <w:szCs w:val="22"/>
        </w:rPr>
        <w:t>í stanovuje následující</w:t>
      </w:r>
      <w:r w:rsidRPr="004B6186">
        <w:rPr>
          <w:i w:val="0"/>
          <w:sz w:val="22"/>
          <w:szCs w:val="22"/>
        </w:rPr>
        <w:t>:</w:t>
      </w:r>
    </w:p>
    <w:p w:rsidR="00271939" w:rsidRPr="00271939" w:rsidRDefault="00271939" w:rsidP="00271939">
      <w:pPr>
        <w:jc w:val="both"/>
        <w:rPr>
          <w:rFonts w:ascii="Arial" w:hAnsi="Arial" w:cs="Arial"/>
          <w:b/>
          <w:sz w:val="24"/>
          <w:szCs w:val="24"/>
        </w:rPr>
      </w:pPr>
    </w:p>
    <w:p w:rsidR="006F3A24" w:rsidRPr="00AA4971" w:rsidRDefault="006F3A24" w:rsidP="00685F07">
      <w:pPr>
        <w:ind w:left="706" w:hanging="280"/>
        <w:jc w:val="both"/>
        <w:rPr>
          <w:rFonts w:ascii="Arial" w:hAnsi="Arial" w:cs="Arial"/>
        </w:rPr>
      </w:pPr>
      <w:r w:rsidRPr="00AA4971">
        <w:rPr>
          <w:rFonts w:ascii="Arial" w:hAnsi="Arial" w:cs="Arial"/>
        </w:rPr>
        <w:t>a)</w:t>
      </w:r>
      <w:r w:rsidRPr="00AA4971">
        <w:rPr>
          <w:rFonts w:ascii="Arial" w:hAnsi="Arial" w:cs="Arial"/>
          <w:sz w:val="22"/>
        </w:rPr>
        <w:tab/>
      </w:r>
      <w:r w:rsidR="00271939">
        <w:rPr>
          <w:rFonts w:ascii="Arial" w:hAnsi="Arial" w:cs="Arial"/>
        </w:rPr>
        <w:t>změn</w:t>
      </w:r>
      <w:r w:rsidR="009A0B9A">
        <w:rPr>
          <w:rFonts w:ascii="Arial" w:hAnsi="Arial" w:cs="Arial"/>
        </w:rPr>
        <w:t>y</w:t>
      </w:r>
      <w:r w:rsidRPr="00AA4971">
        <w:rPr>
          <w:rFonts w:ascii="Arial" w:hAnsi="Arial" w:cs="Arial"/>
        </w:rPr>
        <w:t xml:space="preserve"> energetické náročnosti FNOL</w:t>
      </w:r>
      <w:r w:rsidR="00685F07">
        <w:rPr>
          <w:rFonts w:ascii="Arial" w:hAnsi="Arial" w:cs="Arial"/>
        </w:rPr>
        <w:t xml:space="preserve"> - </w:t>
      </w:r>
      <w:r w:rsidR="00685F07" w:rsidRPr="00685F07">
        <w:rPr>
          <w:rFonts w:ascii="Arial" w:hAnsi="Arial" w:cs="Arial"/>
        </w:rPr>
        <w:t>dosáhnout cílových E</w:t>
      </w:r>
      <w:r w:rsidR="00271939">
        <w:rPr>
          <w:rFonts w:ascii="Arial" w:hAnsi="Arial" w:cs="Arial"/>
        </w:rPr>
        <w:t>nPI stanovených na rok 2019,</w:t>
      </w:r>
    </w:p>
    <w:p w:rsidR="005449CA" w:rsidRPr="00AA4971" w:rsidRDefault="005449CA" w:rsidP="00234827">
      <w:pPr>
        <w:ind w:firstLine="426"/>
        <w:jc w:val="both"/>
        <w:rPr>
          <w:rFonts w:ascii="Arial" w:hAnsi="Arial" w:cs="Arial"/>
        </w:rPr>
      </w:pPr>
    </w:p>
    <w:p w:rsidR="006F3A24" w:rsidRPr="00AA4971" w:rsidRDefault="00271939" w:rsidP="00234827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změn</w:t>
      </w:r>
      <w:r w:rsidR="009A0B9A">
        <w:rPr>
          <w:rFonts w:ascii="Arial" w:hAnsi="Arial" w:cs="Arial"/>
        </w:rPr>
        <w:t>y</w:t>
      </w:r>
      <w:r w:rsidR="006F3A24" w:rsidRPr="00AA4971">
        <w:rPr>
          <w:rFonts w:ascii="Arial" w:hAnsi="Arial" w:cs="Arial"/>
        </w:rPr>
        <w:t xml:space="preserve"> Energetické politiky FNOL</w:t>
      </w:r>
      <w:r w:rsidR="00685F07">
        <w:rPr>
          <w:rFonts w:ascii="Arial" w:hAnsi="Arial" w:cs="Arial"/>
        </w:rPr>
        <w:t xml:space="preserve"> - </w:t>
      </w:r>
      <w:r w:rsidR="00685F07" w:rsidRPr="00685F07">
        <w:rPr>
          <w:rFonts w:ascii="Arial" w:hAnsi="Arial" w:cs="Arial"/>
        </w:rPr>
        <w:t>není třeba, je v souladu se strategickými záměry společnosti</w:t>
      </w:r>
      <w:r w:rsidR="0008694F">
        <w:rPr>
          <w:rFonts w:ascii="Arial" w:hAnsi="Arial" w:cs="Arial"/>
        </w:rPr>
        <w:t>,</w:t>
      </w:r>
    </w:p>
    <w:p w:rsidR="005449CA" w:rsidRPr="00AA4971" w:rsidRDefault="005449CA" w:rsidP="00234827">
      <w:pPr>
        <w:ind w:firstLine="426"/>
        <w:jc w:val="both"/>
        <w:rPr>
          <w:rFonts w:ascii="Arial" w:hAnsi="Arial" w:cs="Arial"/>
        </w:rPr>
      </w:pPr>
    </w:p>
    <w:p w:rsidR="006F3A24" w:rsidRPr="00AA4971" w:rsidRDefault="00271939" w:rsidP="00271939">
      <w:pPr>
        <w:ind w:left="706" w:hanging="280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změn</w:t>
      </w:r>
      <w:r w:rsidR="009A0B9A">
        <w:rPr>
          <w:rFonts w:ascii="Arial" w:hAnsi="Arial" w:cs="Arial"/>
        </w:rPr>
        <w:t>y</w:t>
      </w:r>
      <w:r w:rsidR="006F3A24" w:rsidRPr="00AA4971">
        <w:rPr>
          <w:rFonts w:ascii="Arial" w:hAnsi="Arial" w:cs="Arial"/>
        </w:rPr>
        <w:t xml:space="preserve"> EnPI</w:t>
      </w:r>
      <w:r w:rsidR="00685F07">
        <w:rPr>
          <w:rFonts w:ascii="Arial" w:hAnsi="Arial" w:cs="Arial"/>
        </w:rPr>
        <w:t xml:space="preserve"> – pro rok 2019 jsou stanovena v bodě č. 8</w:t>
      </w:r>
      <w:r w:rsidR="009A0B9A">
        <w:rPr>
          <w:rFonts w:ascii="Arial" w:hAnsi="Arial" w:cs="Arial"/>
        </w:rPr>
        <w:t xml:space="preserve"> (vstupy pro přezkoumání EnMS)</w:t>
      </w:r>
      <w:r w:rsidR="00685F07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avšak vedení FNOL ukládá Energetickému týmu po zavedení samoodečtů tepla a elektřiny nadefinovat podrobnější EnPI, vztahující se k jednot</w:t>
      </w:r>
      <w:r w:rsidR="0008694F">
        <w:rPr>
          <w:rFonts w:ascii="Arial" w:hAnsi="Arial" w:cs="Arial"/>
        </w:rPr>
        <w:t>livým komoditám a objektům FNOL,</w:t>
      </w:r>
    </w:p>
    <w:p w:rsidR="005449CA" w:rsidRPr="00AA4971" w:rsidRDefault="005449CA" w:rsidP="00234827">
      <w:pPr>
        <w:ind w:left="709" w:hanging="283"/>
        <w:jc w:val="both"/>
        <w:rPr>
          <w:rFonts w:ascii="Arial" w:hAnsi="Arial" w:cs="Arial"/>
        </w:rPr>
      </w:pPr>
    </w:p>
    <w:p w:rsidR="006F3A24" w:rsidRDefault="006F3A24" w:rsidP="00234827">
      <w:pPr>
        <w:ind w:left="709" w:hanging="283"/>
        <w:jc w:val="both"/>
        <w:rPr>
          <w:rFonts w:ascii="Arial" w:hAnsi="Arial" w:cs="Arial"/>
        </w:rPr>
      </w:pPr>
      <w:r w:rsidRPr="00AA4971">
        <w:rPr>
          <w:rFonts w:ascii="Arial" w:hAnsi="Arial" w:cs="Arial"/>
        </w:rPr>
        <w:t>d)</w:t>
      </w:r>
      <w:r w:rsidRPr="00AA4971">
        <w:rPr>
          <w:rFonts w:ascii="Arial" w:hAnsi="Arial" w:cs="Arial"/>
        </w:rPr>
        <w:tab/>
        <w:t>změn</w:t>
      </w:r>
      <w:r w:rsidR="009A0B9A">
        <w:rPr>
          <w:rFonts w:ascii="Arial" w:hAnsi="Arial" w:cs="Arial"/>
        </w:rPr>
        <w:t>y</w:t>
      </w:r>
      <w:r w:rsidRPr="00AA4971">
        <w:rPr>
          <w:rFonts w:ascii="Arial" w:hAnsi="Arial" w:cs="Arial"/>
        </w:rPr>
        <w:t xml:space="preserve"> cílů, cílových hodnot a dalších součástí EnMS v souladu se závazkem organizace k neustálému zlepšování</w:t>
      </w:r>
      <w:r w:rsidR="00C32E6D">
        <w:rPr>
          <w:rFonts w:ascii="Arial" w:hAnsi="Arial" w:cs="Arial"/>
        </w:rPr>
        <w:t xml:space="preserve"> – doplnění </w:t>
      </w:r>
      <w:r w:rsidR="00A26427">
        <w:rPr>
          <w:rFonts w:ascii="Arial" w:hAnsi="Arial" w:cs="Arial"/>
        </w:rPr>
        <w:t>4</w:t>
      </w:r>
      <w:r w:rsidR="00C32E6D">
        <w:rPr>
          <w:rFonts w:ascii="Arial" w:hAnsi="Arial" w:cs="Arial"/>
        </w:rPr>
        <w:t xml:space="preserve"> cílů pro období 2019 a 2020.</w:t>
      </w:r>
    </w:p>
    <w:p w:rsidR="00C32E6D" w:rsidRDefault="00C32E6D" w:rsidP="00234827">
      <w:pPr>
        <w:ind w:left="709" w:hanging="283"/>
        <w:jc w:val="both"/>
        <w:rPr>
          <w:rFonts w:ascii="Arial" w:hAnsi="Arial" w:cs="Arial"/>
        </w:rPr>
      </w:pPr>
    </w:p>
    <w:tbl>
      <w:tblPr>
        <w:tblStyle w:val="Mkatabulky"/>
        <w:tblW w:w="8505" w:type="dxa"/>
        <w:tblInd w:w="704" w:type="dxa"/>
        <w:tblLayout w:type="fixed"/>
        <w:tblLook w:val="04A0"/>
      </w:tblPr>
      <w:tblGrid>
        <w:gridCol w:w="1985"/>
        <w:gridCol w:w="2976"/>
        <w:gridCol w:w="2268"/>
        <w:gridCol w:w="1276"/>
      </w:tblGrid>
      <w:tr w:rsidR="00A11E70" w:rsidRPr="00DE5A08" w:rsidTr="00DE5A08">
        <w:trPr>
          <w:trHeight w:val="312"/>
        </w:trPr>
        <w:tc>
          <w:tcPr>
            <w:tcW w:w="1985" w:type="dxa"/>
            <w:vAlign w:val="center"/>
          </w:tcPr>
          <w:p w:rsidR="00A11E70" w:rsidRPr="00DE5A08" w:rsidRDefault="00A11E70" w:rsidP="00A20CE0">
            <w:pPr>
              <w:jc w:val="center"/>
              <w:rPr>
                <w:rFonts w:ascii="Arial" w:hAnsi="Arial" w:cs="Arial"/>
                <w:b/>
              </w:rPr>
            </w:pPr>
            <w:r w:rsidRPr="00DE5A08">
              <w:rPr>
                <w:rFonts w:ascii="Arial" w:hAnsi="Arial" w:cs="Arial"/>
                <w:b/>
              </w:rPr>
              <w:t>Náplň cíle</w:t>
            </w:r>
          </w:p>
        </w:tc>
        <w:tc>
          <w:tcPr>
            <w:tcW w:w="2976" w:type="dxa"/>
            <w:vAlign w:val="center"/>
          </w:tcPr>
          <w:p w:rsidR="00A11E70" w:rsidRPr="00DE5A08" w:rsidRDefault="00A11E70" w:rsidP="00A20CE0">
            <w:pPr>
              <w:jc w:val="center"/>
              <w:rPr>
                <w:rFonts w:ascii="Arial" w:hAnsi="Arial" w:cs="Arial"/>
                <w:b/>
              </w:rPr>
            </w:pPr>
            <w:r w:rsidRPr="00DE5A08">
              <w:rPr>
                <w:rFonts w:ascii="Arial" w:hAnsi="Arial" w:cs="Arial"/>
                <w:b/>
              </w:rPr>
              <w:t>Cílová hodnota</w:t>
            </w:r>
          </w:p>
        </w:tc>
        <w:tc>
          <w:tcPr>
            <w:tcW w:w="2268" w:type="dxa"/>
            <w:vAlign w:val="center"/>
          </w:tcPr>
          <w:p w:rsidR="00A11E70" w:rsidRPr="00DE5A08" w:rsidRDefault="00A11E70" w:rsidP="00A20CE0">
            <w:pPr>
              <w:jc w:val="center"/>
              <w:rPr>
                <w:rFonts w:ascii="Arial" w:hAnsi="Arial" w:cs="Arial"/>
                <w:b/>
              </w:rPr>
            </w:pPr>
            <w:r w:rsidRPr="00DE5A08">
              <w:rPr>
                <w:rFonts w:ascii="Arial" w:hAnsi="Arial" w:cs="Arial"/>
                <w:b/>
              </w:rPr>
              <w:t>Odpovídá</w:t>
            </w:r>
          </w:p>
        </w:tc>
        <w:tc>
          <w:tcPr>
            <w:tcW w:w="1276" w:type="dxa"/>
            <w:vAlign w:val="center"/>
          </w:tcPr>
          <w:p w:rsidR="00A11E70" w:rsidRPr="00DE5A08" w:rsidRDefault="00A11E70" w:rsidP="00A20CE0">
            <w:pPr>
              <w:jc w:val="center"/>
              <w:rPr>
                <w:rFonts w:ascii="Arial" w:hAnsi="Arial" w:cs="Arial"/>
                <w:b/>
              </w:rPr>
            </w:pPr>
            <w:r w:rsidRPr="00DE5A08">
              <w:rPr>
                <w:rFonts w:ascii="Arial" w:hAnsi="Arial" w:cs="Arial"/>
                <w:b/>
              </w:rPr>
              <w:t>Termín</w:t>
            </w:r>
          </w:p>
          <w:p w:rsidR="00A11E70" w:rsidRPr="00DE5A08" w:rsidRDefault="00DE5A08" w:rsidP="00A20CE0">
            <w:pPr>
              <w:jc w:val="center"/>
              <w:rPr>
                <w:rFonts w:ascii="Arial" w:hAnsi="Arial" w:cs="Arial"/>
                <w:b/>
              </w:rPr>
            </w:pPr>
            <w:r w:rsidRPr="00DE5A08">
              <w:rPr>
                <w:rFonts w:ascii="Arial" w:hAnsi="Arial" w:cs="Arial"/>
                <w:b/>
              </w:rPr>
              <w:t>provedení</w:t>
            </w:r>
          </w:p>
        </w:tc>
      </w:tr>
      <w:tr w:rsidR="00A11E70" w:rsidRPr="00DE5A08" w:rsidTr="00DE5A08">
        <w:trPr>
          <w:trHeight w:val="977"/>
        </w:trPr>
        <w:tc>
          <w:tcPr>
            <w:tcW w:w="1985" w:type="dxa"/>
            <w:vAlign w:val="center"/>
          </w:tcPr>
          <w:p w:rsidR="00A11E70" w:rsidRPr="00DE5A08" w:rsidRDefault="00A11E70" w:rsidP="00A20CE0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>Demolice budovy G</w:t>
            </w:r>
          </w:p>
        </w:tc>
        <w:tc>
          <w:tcPr>
            <w:tcW w:w="2976" w:type="dxa"/>
            <w:vAlign w:val="center"/>
          </w:tcPr>
          <w:p w:rsidR="00A11E70" w:rsidRPr="00DE5A08" w:rsidRDefault="00570162" w:rsidP="002A6C96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>Ukončení odběru a spotřeby veškerých komodit v budově G</w:t>
            </w:r>
          </w:p>
        </w:tc>
        <w:tc>
          <w:tcPr>
            <w:tcW w:w="2268" w:type="dxa"/>
            <w:vAlign w:val="center"/>
          </w:tcPr>
          <w:p w:rsidR="00A11E70" w:rsidRPr="00DE5A08" w:rsidRDefault="00570162" w:rsidP="00A20CE0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>Ing. Vladimír Olejníček</w:t>
            </w:r>
          </w:p>
        </w:tc>
        <w:tc>
          <w:tcPr>
            <w:tcW w:w="1276" w:type="dxa"/>
            <w:vAlign w:val="center"/>
          </w:tcPr>
          <w:p w:rsidR="00A11E70" w:rsidRPr="00DE5A08" w:rsidRDefault="00A11E70" w:rsidP="00A20CE0">
            <w:pPr>
              <w:jc w:val="center"/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>31.12.2019</w:t>
            </w:r>
          </w:p>
        </w:tc>
      </w:tr>
      <w:tr w:rsidR="00A11E70" w:rsidRPr="00DE5A08" w:rsidTr="00DE5A08">
        <w:trPr>
          <w:trHeight w:val="977"/>
        </w:trPr>
        <w:tc>
          <w:tcPr>
            <w:tcW w:w="1985" w:type="dxa"/>
            <w:vAlign w:val="center"/>
          </w:tcPr>
          <w:p w:rsidR="00A11E70" w:rsidRPr="00DE5A08" w:rsidRDefault="00570162" w:rsidP="00A20CE0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 xml:space="preserve">Stavba budovy </w:t>
            </w:r>
            <w:r w:rsidR="00C32E6D" w:rsidRPr="00DE5A08">
              <w:rPr>
                <w:rFonts w:ascii="Arial" w:hAnsi="Arial" w:cs="Arial"/>
              </w:rPr>
              <w:t>X</w:t>
            </w:r>
          </w:p>
        </w:tc>
        <w:tc>
          <w:tcPr>
            <w:tcW w:w="2976" w:type="dxa"/>
            <w:vAlign w:val="center"/>
          </w:tcPr>
          <w:p w:rsidR="00A11E70" w:rsidRPr="00DE5A08" w:rsidRDefault="009A0B9A" w:rsidP="00A20CE0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>Nová budova s nízkou energetickou náročností (náhrada energeticky nevyhovující budovy K)</w:t>
            </w:r>
          </w:p>
        </w:tc>
        <w:tc>
          <w:tcPr>
            <w:tcW w:w="2268" w:type="dxa"/>
            <w:vAlign w:val="center"/>
          </w:tcPr>
          <w:p w:rsidR="00A11E70" w:rsidRPr="00DE5A08" w:rsidRDefault="00C32E6D" w:rsidP="00A20CE0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>Ing. Vladimír Olejníček</w:t>
            </w:r>
          </w:p>
        </w:tc>
        <w:tc>
          <w:tcPr>
            <w:tcW w:w="1276" w:type="dxa"/>
            <w:vAlign w:val="center"/>
          </w:tcPr>
          <w:p w:rsidR="00A11E70" w:rsidRPr="00DE5A08" w:rsidRDefault="009A0B9A" w:rsidP="00A20CE0">
            <w:pPr>
              <w:jc w:val="center"/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>31.12.2019</w:t>
            </w:r>
          </w:p>
        </w:tc>
      </w:tr>
      <w:tr w:rsidR="00A11E70" w:rsidRPr="00DE5A08" w:rsidTr="00DE5A08">
        <w:trPr>
          <w:trHeight w:val="977"/>
        </w:trPr>
        <w:tc>
          <w:tcPr>
            <w:tcW w:w="1985" w:type="dxa"/>
            <w:vAlign w:val="center"/>
          </w:tcPr>
          <w:p w:rsidR="00A11E70" w:rsidRPr="00DE5A08" w:rsidRDefault="00570162" w:rsidP="00A20CE0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>Demolice budovy K</w:t>
            </w:r>
          </w:p>
        </w:tc>
        <w:tc>
          <w:tcPr>
            <w:tcW w:w="2976" w:type="dxa"/>
            <w:vAlign w:val="center"/>
          </w:tcPr>
          <w:p w:rsidR="00A11E70" w:rsidRPr="00DE5A08" w:rsidRDefault="00570162" w:rsidP="009A0B9A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 xml:space="preserve">Ukončení odběru </w:t>
            </w:r>
            <w:r w:rsidR="009A0B9A" w:rsidRPr="00DE5A08">
              <w:rPr>
                <w:rFonts w:ascii="Arial" w:hAnsi="Arial" w:cs="Arial"/>
              </w:rPr>
              <w:t>a spotřeby veš</w:t>
            </w:r>
            <w:r w:rsidRPr="00DE5A08">
              <w:rPr>
                <w:rFonts w:ascii="Arial" w:hAnsi="Arial" w:cs="Arial"/>
              </w:rPr>
              <w:t>kerých komodit v budově K</w:t>
            </w:r>
          </w:p>
        </w:tc>
        <w:tc>
          <w:tcPr>
            <w:tcW w:w="2268" w:type="dxa"/>
            <w:vAlign w:val="center"/>
          </w:tcPr>
          <w:p w:rsidR="00A11E70" w:rsidRPr="00DE5A08" w:rsidRDefault="00570162" w:rsidP="00A20CE0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>Ing. Vladimír Olejníček</w:t>
            </w:r>
          </w:p>
        </w:tc>
        <w:tc>
          <w:tcPr>
            <w:tcW w:w="1276" w:type="dxa"/>
            <w:vAlign w:val="center"/>
          </w:tcPr>
          <w:p w:rsidR="00A11E70" w:rsidRPr="00DE5A08" w:rsidRDefault="00570162" w:rsidP="00A20CE0">
            <w:pPr>
              <w:jc w:val="center"/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>31.12. 2020</w:t>
            </w:r>
          </w:p>
        </w:tc>
      </w:tr>
      <w:tr w:rsidR="00A26427" w:rsidRPr="00DE5A08" w:rsidTr="00DE5A08">
        <w:trPr>
          <w:trHeight w:val="977"/>
        </w:trPr>
        <w:tc>
          <w:tcPr>
            <w:tcW w:w="1985" w:type="dxa"/>
            <w:vAlign w:val="center"/>
          </w:tcPr>
          <w:p w:rsidR="00A26427" w:rsidRPr="00DE5A08" w:rsidRDefault="00A26427" w:rsidP="00A20CE0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>Rozšíření hranic systému EnMS</w:t>
            </w:r>
          </w:p>
        </w:tc>
        <w:tc>
          <w:tcPr>
            <w:tcW w:w="2976" w:type="dxa"/>
            <w:vAlign w:val="center"/>
          </w:tcPr>
          <w:p w:rsidR="00A26427" w:rsidRPr="00DE5A08" w:rsidRDefault="00A26427" w:rsidP="009A0B9A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>Rozšířit hranice systému EnMS o spotřebu pohonných hmot pro vozidla v majetku FNOL</w:t>
            </w:r>
          </w:p>
        </w:tc>
        <w:tc>
          <w:tcPr>
            <w:tcW w:w="2268" w:type="dxa"/>
            <w:vAlign w:val="center"/>
          </w:tcPr>
          <w:p w:rsidR="00A26427" w:rsidRPr="00DE5A08" w:rsidRDefault="00A26427" w:rsidP="00A26427">
            <w:pPr>
              <w:jc w:val="center"/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>Ing. Jan Eyer</w:t>
            </w:r>
          </w:p>
        </w:tc>
        <w:tc>
          <w:tcPr>
            <w:tcW w:w="1276" w:type="dxa"/>
            <w:vAlign w:val="center"/>
          </w:tcPr>
          <w:p w:rsidR="00A26427" w:rsidRPr="00DE5A08" w:rsidRDefault="00A26427" w:rsidP="00A20CE0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DE5A08">
              <w:rPr>
                <w:rFonts w:ascii="Arial" w:hAnsi="Arial" w:cs="Arial"/>
              </w:rPr>
              <w:t>31.12.2019</w:t>
            </w:r>
          </w:p>
        </w:tc>
      </w:tr>
    </w:tbl>
    <w:p w:rsidR="006F3A24" w:rsidRPr="00AA4971" w:rsidRDefault="00271939" w:rsidP="00271939">
      <w:pPr>
        <w:ind w:left="706" w:hanging="2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e)</w:t>
      </w:r>
      <w:r>
        <w:rPr>
          <w:rFonts w:ascii="Arial" w:hAnsi="Arial" w:cs="Arial"/>
        </w:rPr>
        <w:tab/>
        <w:t>změn</w:t>
      </w:r>
      <w:r w:rsidR="00A26427">
        <w:rPr>
          <w:rFonts w:ascii="Arial" w:hAnsi="Arial" w:cs="Arial"/>
        </w:rPr>
        <w:t>y</w:t>
      </w:r>
      <w:r w:rsidR="006F3A24" w:rsidRPr="00AA4971">
        <w:rPr>
          <w:rFonts w:ascii="Arial" w:hAnsi="Arial" w:cs="Arial"/>
        </w:rPr>
        <w:t xml:space="preserve"> přidělování zdrojů</w:t>
      </w:r>
      <w:r>
        <w:rPr>
          <w:rFonts w:ascii="Arial" w:hAnsi="Arial" w:cs="Arial"/>
        </w:rPr>
        <w:t xml:space="preserve"> – </w:t>
      </w:r>
      <w:r w:rsidR="00A26427">
        <w:rPr>
          <w:rFonts w:ascii="Arial" w:hAnsi="Arial" w:cs="Arial"/>
        </w:rPr>
        <w:t xml:space="preserve">vedení FNOL </w:t>
      </w:r>
      <w:r>
        <w:rPr>
          <w:rFonts w:ascii="Arial" w:hAnsi="Arial" w:cs="Arial"/>
        </w:rPr>
        <w:t>uvolňuje zdroje</w:t>
      </w:r>
      <w:r w:rsidRPr="00271939">
        <w:rPr>
          <w:rFonts w:ascii="Arial" w:hAnsi="Arial" w:cs="Arial"/>
        </w:rPr>
        <w:t xml:space="preserve"> na další rozvoj EnMS v souladu se stanovenými cíli na rok 201</w:t>
      </w:r>
      <w:r>
        <w:rPr>
          <w:rFonts w:ascii="Arial" w:hAnsi="Arial" w:cs="Arial"/>
        </w:rPr>
        <w:t>9</w:t>
      </w:r>
      <w:r w:rsidRPr="00271939">
        <w:rPr>
          <w:rFonts w:ascii="Arial" w:hAnsi="Arial" w:cs="Arial"/>
        </w:rPr>
        <w:t xml:space="preserve"> dle schváleného plánu investic</w:t>
      </w:r>
      <w:r>
        <w:rPr>
          <w:rFonts w:ascii="Arial" w:hAnsi="Arial" w:cs="Arial"/>
        </w:rPr>
        <w:t>.</w:t>
      </w:r>
    </w:p>
    <w:p w:rsidR="005449CA" w:rsidRPr="00AA4971" w:rsidRDefault="005449CA" w:rsidP="00570162">
      <w:pPr>
        <w:jc w:val="both"/>
        <w:rPr>
          <w:rFonts w:ascii="Arial" w:hAnsi="Arial" w:cs="Arial"/>
        </w:rPr>
      </w:pPr>
    </w:p>
    <w:p w:rsidR="00570162" w:rsidRDefault="00570162" w:rsidP="00570162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 </w:t>
      </w:r>
      <w:r w:rsidR="006F3A24" w:rsidRPr="00AA4971">
        <w:rPr>
          <w:rFonts w:ascii="Arial" w:hAnsi="Arial" w:cs="Arial"/>
        </w:rPr>
        <w:t>další změny ve vztahu k</w:t>
      </w:r>
      <w:r>
        <w:rPr>
          <w:rFonts w:ascii="Arial" w:hAnsi="Arial" w:cs="Arial"/>
        </w:rPr>
        <w:t> </w:t>
      </w:r>
      <w:r w:rsidR="006F3A24" w:rsidRPr="00AA4971">
        <w:rPr>
          <w:rFonts w:ascii="Arial" w:hAnsi="Arial" w:cs="Arial"/>
        </w:rPr>
        <w:t>EnMS</w:t>
      </w:r>
      <w:r>
        <w:rPr>
          <w:rFonts w:ascii="Arial" w:hAnsi="Arial" w:cs="Arial"/>
        </w:rPr>
        <w:t xml:space="preserve"> - </w:t>
      </w:r>
      <w:r w:rsidRPr="00570162">
        <w:rPr>
          <w:rFonts w:ascii="Arial" w:hAnsi="Arial" w:cs="Arial"/>
        </w:rPr>
        <w:t>sy</w:t>
      </w:r>
      <w:r>
        <w:rPr>
          <w:rFonts w:ascii="Arial" w:hAnsi="Arial" w:cs="Arial"/>
        </w:rPr>
        <w:t xml:space="preserve">stém managementu dle ČSN EN ISO 50001:2012 </w:t>
      </w:r>
      <w:r w:rsidR="00A26427">
        <w:rPr>
          <w:rFonts w:ascii="Arial" w:hAnsi="Arial" w:cs="Arial"/>
        </w:rPr>
        <w:t>je zaveden</w:t>
      </w:r>
      <w:r w:rsidR="00A26427">
        <w:rPr>
          <w:rFonts w:ascii="Arial" w:hAnsi="Arial" w:cs="Arial"/>
        </w:rPr>
        <w:br/>
        <w:t xml:space="preserve">            </w:t>
      </w:r>
      <w:r>
        <w:rPr>
          <w:rFonts w:ascii="Arial" w:hAnsi="Arial" w:cs="Arial"/>
        </w:rPr>
        <w:t>v celé organizaci</w:t>
      </w:r>
      <w:r w:rsidRPr="00570162">
        <w:rPr>
          <w:rFonts w:ascii="Arial" w:hAnsi="Arial" w:cs="Arial"/>
        </w:rPr>
        <w:t xml:space="preserve"> a</w:t>
      </w:r>
      <w:r w:rsidR="00A26427">
        <w:rPr>
          <w:rFonts w:ascii="Arial" w:hAnsi="Arial" w:cs="Arial"/>
        </w:rPr>
        <w:t xml:space="preserve"> ta</w:t>
      </w:r>
      <w:r w:rsidRPr="00570162">
        <w:rPr>
          <w:rFonts w:ascii="Arial" w:hAnsi="Arial" w:cs="Arial"/>
        </w:rPr>
        <w:t xml:space="preserve"> je připravena k certifikačnímu auditu.</w:t>
      </w:r>
    </w:p>
    <w:p w:rsidR="00706A75" w:rsidRDefault="00706A75" w:rsidP="00570162">
      <w:pPr>
        <w:ind w:firstLine="426"/>
        <w:jc w:val="both"/>
        <w:rPr>
          <w:rFonts w:ascii="Arial" w:hAnsi="Arial" w:cs="Arial"/>
        </w:rPr>
      </w:pPr>
    </w:p>
    <w:p w:rsidR="00706A75" w:rsidRPr="00570162" w:rsidRDefault="00706A75" w:rsidP="00706A75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Přezkoumání je provedeno pro účely certifikačního auditu.  </w:t>
      </w:r>
      <w:r>
        <w:rPr>
          <w:rFonts w:ascii="Arial" w:eastAsia="Calibri" w:hAnsi="Arial" w:cs="Arial"/>
          <w:lang w:eastAsia="en-US"/>
        </w:rPr>
        <w:t>V únoru 2019 bude provedeno řádné přezkoumání, které obsáhne všechny události v EnMS, které se proběhly ve FNOL</w:t>
      </w:r>
      <w:bookmarkStart w:id="0" w:name="_GoBack"/>
      <w:bookmarkEnd w:id="0"/>
      <w:r>
        <w:rPr>
          <w:rFonts w:ascii="Arial" w:eastAsia="Calibri" w:hAnsi="Arial" w:cs="Arial"/>
          <w:lang w:eastAsia="en-US"/>
        </w:rPr>
        <w:t xml:space="preserve"> roce 2018.</w:t>
      </w:r>
    </w:p>
    <w:p w:rsidR="006F3A24" w:rsidRPr="00AA4971" w:rsidRDefault="006F3A24" w:rsidP="00234827">
      <w:pPr>
        <w:ind w:firstLine="426"/>
        <w:jc w:val="both"/>
        <w:rPr>
          <w:rFonts w:ascii="Arial" w:hAnsi="Arial" w:cs="Arial"/>
        </w:rPr>
      </w:pPr>
    </w:p>
    <w:p w:rsidR="00685F07" w:rsidRPr="00295CAF" w:rsidRDefault="00685F07" w:rsidP="00C52B37">
      <w:pPr>
        <w:jc w:val="both"/>
        <w:rPr>
          <w:rFonts w:ascii="Arial" w:hAnsi="Arial" w:cs="Arial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12"/>
        <w:gridCol w:w="4598"/>
      </w:tblGrid>
      <w:tr w:rsidR="00C52B37" w:rsidRPr="00C52B37" w:rsidTr="00DC0E5A">
        <w:trPr>
          <w:trHeight w:val="624"/>
          <w:jc w:val="center"/>
        </w:trPr>
        <w:tc>
          <w:tcPr>
            <w:tcW w:w="2504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52B37" w:rsidRPr="00C52B37" w:rsidRDefault="00C52B37" w:rsidP="00A20CE0">
            <w:pPr>
              <w:rPr>
                <w:rFonts w:ascii="Arial" w:hAnsi="Arial" w:cs="Arial"/>
              </w:rPr>
            </w:pPr>
            <w:r w:rsidRPr="00C52B37">
              <w:rPr>
                <w:rFonts w:ascii="Arial" w:hAnsi="Arial" w:cs="Arial"/>
              </w:rPr>
              <w:t>Zpracoval:  Ing. Vladimír Olejníček</w:t>
            </w:r>
          </w:p>
        </w:tc>
        <w:tc>
          <w:tcPr>
            <w:tcW w:w="249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B37" w:rsidRPr="00C52B37" w:rsidRDefault="00C52B37" w:rsidP="00A20CE0">
            <w:pPr>
              <w:rPr>
                <w:rFonts w:ascii="Arial" w:hAnsi="Arial" w:cs="Arial"/>
              </w:rPr>
            </w:pPr>
            <w:r w:rsidRPr="00C52B37">
              <w:rPr>
                <w:rFonts w:ascii="Arial" w:hAnsi="Arial" w:cs="Arial"/>
              </w:rPr>
              <w:t>Schválil: prof. MUDr. Roman Havlík, Ph.D.</w:t>
            </w:r>
          </w:p>
        </w:tc>
      </w:tr>
      <w:tr w:rsidR="00C52B37" w:rsidRPr="00C52B37" w:rsidTr="00DC0E5A">
        <w:trPr>
          <w:trHeight w:val="624"/>
          <w:jc w:val="center"/>
        </w:trPr>
        <w:tc>
          <w:tcPr>
            <w:tcW w:w="2504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C52B37" w:rsidRPr="00C52B37" w:rsidRDefault="00C52B37" w:rsidP="00A20CE0">
            <w:pPr>
              <w:rPr>
                <w:rFonts w:ascii="Arial" w:hAnsi="Arial" w:cs="Arial"/>
              </w:rPr>
            </w:pPr>
            <w:r w:rsidRPr="00C52B37">
              <w:rPr>
                <w:rFonts w:ascii="Arial" w:hAnsi="Arial" w:cs="Arial"/>
              </w:rPr>
              <w:t>Představitel vedení pro EnMS</w:t>
            </w:r>
          </w:p>
          <w:p w:rsidR="00C52B37" w:rsidRPr="00C52B37" w:rsidRDefault="00C52B37" w:rsidP="00A20CE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C52B37">
              <w:rPr>
                <w:rFonts w:ascii="Arial" w:hAnsi="Arial" w:cs="Arial"/>
              </w:rPr>
              <w:t xml:space="preserve">Dne:  </w:t>
            </w:r>
            <w:r>
              <w:rPr>
                <w:rFonts w:ascii="Arial" w:hAnsi="Arial" w:cs="Arial"/>
              </w:rPr>
              <w:t>17.</w:t>
            </w:r>
            <w:r w:rsidR="00DC0E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12. 2018</w:t>
            </w:r>
          </w:p>
          <w:p w:rsidR="00C52B37" w:rsidRPr="00C52B37" w:rsidRDefault="00C52B37" w:rsidP="00A20CE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C52B37">
              <w:rPr>
                <w:rFonts w:ascii="Arial" w:hAnsi="Arial" w:cs="Arial"/>
              </w:rPr>
              <w:t>Podpis:</w:t>
            </w:r>
          </w:p>
        </w:tc>
        <w:tc>
          <w:tcPr>
            <w:tcW w:w="249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52B37" w:rsidRPr="00C52B37" w:rsidRDefault="00C52B37" w:rsidP="00A20CE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C52B37">
              <w:rPr>
                <w:rFonts w:ascii="Arial" w:hAnsi="Arial" w:cs="Arial"/>
              </w:rPr>
              <w:t>Ředitel FNOL</w:t>
            </w:r>
          </w:p>
          <w:p w:rsidR="00C52B37" w:rsidRPr="00C52B37" w:rsidRDefault="00C52B37" w:rsidP="00A20CE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C52B37">
              <w:rPr>
                <w:rFonts w:ascii="Arial" w:hAnsi="Arial" w:cs="Arial"/>
              </w:rPr>
              <w:t>Dne</w:t>
            </w:r>
            <w:r w:rsidR="00DC0E5A">
              <w:rPr>
                <w:rFonts w:ascii="Arial" w:hAnsi="Arial" w:cs="Arial"/>
              </w:rPr>
              <w:t xml:space="preserve">: </w:t>
            </w:r>
          </w:p>
          <w:p w:rsidR="00C52B37" w:rsidRPr="00C52B37" w:rsidRDefault="00C52B37" w:rsidP="00A20CE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C52B37">
              <w:rPr>
                <w:rFonts w:ascii="Arial" w:hAnsi="Arial" w:cs="Arial"/>
              </w:rPr>
              <w:t>Podpis:</w:t>
            </w:r>
          </w:p>
        </w:tc>
      </w:tr>
      <w:tr w:rsidR="00857149" w:rsidRPr="00C52B37" w:rsidTr="00857149">
        <w:trPr>
          <w:trHeight w:val="624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857149" w:rsidRPr="00C52B37" w:rsidRDefault="00857149" w:rsidP="00F801F8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 projednán na poradě vedení dne: </w:t>
            </w:r>
            <w:r w:rsidR="007E4F3E">
              <w:rPr>
                <w:rFonts w:ascii="Arial" w:hAnsi="Arial" w:cs="Arial"/>
              </w:rPr>
              <w:t>18.12.2018</w:t>
            </w:r>
          </w:p>
        </w:tc>
      </w:tr>
    </w:tbl>
    <w:p w:rsidR="004A7072" w:rsidRPr="00AA4971" w:rsidRDefault="004A7072" w:rsidP="00234827">
      <w:pPr>
        <w:ind w:firstLine="426"/>
        <w:jc w:val="both"/>
        <w:rPr>
          <w:rFonts w:ascii="Arial" w:hAnsi="Arial" w:cs="Arial"/>
        </w:rPr>
      </w:pPr>
    </w:p>
    <w:sectPr w:rsidR="004A7072" w:rsidRPr="00AA4971" w:rsidSect="00ED4CA5">
      <w:headerReference w:type="default" r:id="rId8"/>
      <w:footerReference w:type="default" r:id="rId9"/>
      <w:pgSz w:w="11906" w:h="16838"/>
      <w:pgMar w:top="1361" w:right="1418" w:bottom="1418" w:left="1418" w:header="284" w:footer="47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7E" w:rsidRDefault="00A6177E">
      <w:r>
        <w:separator/>
      </w:r>
    </w:p>
    <w:p w:rsidR="00A6177E" w:rsidRDefault="00A6177E"/>
  </w:endnote>
  <w:endnote w:type="continuationSeparator" w:id="0">
    <w:p w:rsidR="00A6177E" w:rsidRDefault="00A6177E">
      <w:r>
        <w:continuationSeparator/>
      </w:r>
    </w:p>
    <w:p w:rsidR="00A6177E" w:rsidRDefault="00A6177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E0" w:rsidRPr="003775A7" w:rsidRDefault="00A20CE0">
    <w:pPr>
      <w:pStyle w:val="Zpat"/>
      <w:rPr>
        <w:rFonts w:ascii="Arial" w:hAnsi="Arial"/>
        <w:sz w:val="18"/>
      </w:rPr>
    </w:pPr>
    <w:r w:rsidRPr="00EF1389">
      <w:rPr>
        <w:rFonts w:ascii="Arial" w:hAnsi="Arial" w:cs="Arial"/>
        <w:sz w:val="18"/>
        <w:szCs w:val="18"/>
      </w:rPr>
      <w:t>FNOL_OE_Fm_09_Prezkoumani_EnMS_platnost_od_03</w:t>
    </w:r>
    <w:r w:rsidRPr="00EF1389">
      <w:rPr>
        <w:rFonts w:ascii="Arial" w:hAnsi="Arial" w:cs="Arial"/>
        <w:noProof/>
        <w:sz w:val="18"/>
        <w:szCs w:val="18"/>
      </w:rPr>
      <w:t>_09_2018</w:t>
    </w:r>
    <w:r w:rsidRPr="003775A7">
      <w:rPr>
        <w:rFonts w:ascii="Arial" w:hAnsi="Arial"/>
        <w:sz w:val="18"/>
      </w:rPr>
      <w:tab/>
    </w:r>
    <w:r w:rsidRPr="003775A7">
      <w:rPr>
        <w:rFonts w:ascii="Arial" w:hAnsi="Arial" w:cs="Arial"/>
        <w:sz w:val="18"/>
        <w:szCs w:val="18"/>
      </w:rPr>
      <w:t xml:space="preserve">Strana </w:t>
    </w:r>
    <w:r w:rsidR="00A6341E" w:rsidRPr="003775A7">
      <w:rPr>
        <w:rStyle w:val="slostrnky"/>
        <w:rFonts w:ascii="Arial" w:hAnsi="Arial" w:cs="Arial"/>
        <w:sz w:val="18"/>
        <w:szCs w:val="18"/>
      </w:rPr>
      <w:fldChar w:fldCharType="begin"/>
    </w:r>
    <w:r w:rsidRPr="003775A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A6341E" w:rsidRPr="003775A7">
      <w:rPr>
        <w:rStyle w:val="slostrnky"/>
        <w:rFonts w:ascii="Arial" w:hAnsi="Arial" w:cs="Arial"/>
        <w:sz w:val="18"/>
        <w:szCs w:val="18"/>
      </w:rPr>
      <w:fldChar w:fldCharType="separate"/>
    </w:r>
    <w:r w:rsidR="00BB05C4">
      <w:rPr>
        <w:rStyle w:val="slostrnky"/>
        <w:rFonts w:ascii="Arial" w:hAnsi="Arial" w:cs="Arial"/>
        <w:noProof/>
        <w:sz w:val="18"/>
        <w:szCs w:val="18"/>
      </w:rPr>
      <w:t>4</w:t>
    </w:r>
    <w:r w:rsidR="00A6341E" w:rsidRPr="003775A7">
      <w:rPr>
        <w:rStyle w:val="slostrnky"/>
        <w:rFonts w:ascii="Arial" w:hAnsi="Arial" w:cs="Arial"/>
        <w:sz w:val="18"/>
        <w:szCs w:val="18"/>
      </w:rPr>
      <w:fldChar w:fldCharType="end"/>
    </w:r>
    <w:r w:rsidRPr="003775A7">
      <w:rPr>
        <w:rStyle w:val="slostrnky"/>
        <w:rFonts w:ascii="Arial" w:hAnsi="Arial" w:cs="Arial"/>
        <w:sz w:val="18"/>
        <w:szCs w:val="18"/>
      </w:rPr>
      <w:t xml:space="preserve"> (celkem</w:t>
    </w:r>
    <w:r>
      <w:rPr>
        <w:rStyle w:val="slostrnky"/>
        <w:rFonts w:ascii="Arial" w:hAnsi="Arial" w:cs="Arial"/>
        <w:sz w:val="18"/>
        <w:szCs w:val="18"/>
      </w:rPr>
      <w:t xml:space="preserve"> </w:t>
    </w:r>
    <w:r w:rsidR="00A6341E" w:rsidRPr="003775A7">
      <w:rPr>
        <w:rStyle w:val="slostrnky"/>
        <w:rFonts w:ascii="Arial" w:hAnsi="Arial" w:cs="Arial"/>
        <w:sz w:val="18"/>
        <w:szCs w:val="18"/>
      </w:rPr>
      <w:fldChar w:fldCharType="begin"/>
    </w:r>
    <w:r w:rsidRPr="003775A7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A6341E" w:rsidRPr="003775A7">
      <w:rPr>
        <w:rStyle w:val="slostrnky"/>
        <w:rFonts w:ascii="Arial" w:hAnsi="Arial" w:cs="Arial"/>
        <w:sz w:val="18"/>
        <w:szCs w:val="18"/>
      </w:rPr>
      <w:fldChar w:fldCharType="separate"/>
    </w:r>
    <w:r w:rsidR="00BB05C4">
      <w:rPr>
        <w:rStyle w:val="slostrnky"/>
        <w:rFonts w:ascii="Arial" w:hAnsi="Arial" w:cs="Arial"/>
        <w:noProof/>
        <w:sz w:val="18"/>
        <w:szCs w:val="18"/>
      </w:rPr>
      <w:t>5</w:t>
    </w:r>
    <w:r w:rsidR="00A6341E" w:rsidRPr="003775A7">
      <w:rPr>
        <w:rStyle w:val="slostrnky"/>
        <w:rFonts w:ascii="Arial" w:hAnsi="Arial" w:cs="Arial"/>
        <w:sz w:val="18"/>
        <w:szCs w:val="18"/>
      </w:rPr>
      <w:fldChar w:fldCharType="end"/>
    </w:r>
    <w:r w:rsidRPr="003775A7">
      <w:rPr>
        <w:rStyle w:val="slostrnky"/>
        <w:rFonts w:ascii="Arial" w:hAnsi="Arial" w:cs="Arial"/>
        <w:sz w:val="18"/>
        <w:szCs w:val="18"/>
      </w:rPr>
      <w:t>)</w:t>
    </w:r>
  </w:p>
  <w:p w:rsidR="00A20CE0" w:rsidRDefault="00A20C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7E" w:rsidRDefault="00A6177E">
      <w:r>
        <w:separator/>
      </w:r>
    </w:p>
    <w:p w:rsidR="00A6177E" w:rsidRDefault="00A6177E"/>
  </w:footnote>
  <w:footnote w:type="continuationSeparator" w:id="0">
    <w:p w:rsidR="00A6177E" w:rsidRDefault="00A6177E">
      <w:r>
        <w:continuationSeparator/>
      </w:r>
    </w:p>
    <w:p w:rsidR="00A6177E" w:rsidRDefault="00A6177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64" w:type="pct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23"/>
      <w:gridCol w:w="4250"/>
      <w:gridCol w:w="1985"/>
      <w:gridCol w:w="2170"/>
    </w:tblGrid>
    <w:tr w:rsidR="00A20CE0" w:rsidRPr="003775A7" w:rsidTr="00635F3E">
      <w:trPr>
        <w:trHeight w:val="1021"/>
      </w:trPr>
      <w:tc>
        <w:tcPr>
          <w:tcW w:w="495" w:type="pct"/>
          <w:noWrap/>
          <w:vAlign w:val="center"/>
        </w:tcPr>
        <w:p w:rsidR="00A20CE0" w:rsidRPr="003775A7" w:rsidRDefault="00A20CE0" w:rsidP="002C7B30">
          <w:pPr>
            <w:pStyle w:val="Zpat"/>
            <w:tabs>
              <w:tab w:val="clear" w:pos="4536"/>
              <w:tab w:val="clear" w:pos="9072"/>
            </w:tabs>
            <w:suppressAutoHyphens/>
            <w:spacing w:before="60" w:after="60"/>
            <w:rPr>
              <w:rFonts w:ascii="Arial" w:hAnsi="Arial" w:cs="Arial"/>
              <w:bCs/>
              <w:sz w:val="16"/>
              <w:szCs w:val="16"/>
            </w:rPr>
          </w:pPr>
          <w:r w:rsidRPr="003775A7">
            <w:rPr>
              <w:rFonts w:ascii="Arial" w:hAnsi="Arial" w:cs="Arial"/>
              <w:b/>
            </w:rPr>
            <w:t xml:space="preserve">    </w:t>
          </w:r>
          <w:r w:rsidRPr="003775A7">
            <w:rPr>
              <w:rFonts w:ascii="Arial" w:hAnsi="Arial" w:cs="Arial"/>
              <w:bCs/>
              <w:sz w:val="16"/>
              <w:szCs w:val="16"/>
            </w:rPr>
            <w:t xml:space="preserve">          </w:t>
          </w: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87680" cy="493395"/>
                <wp:effectExtent l="0" t="0" r="7620" b="1905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493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3775A7">
            <w:rPr>
              <w:rFonts w:ascii="Arial" w:hAnsi="Arial" w:cs="Arial"/>
              <w:bCs/>
              <w:sz w:val="16"/>
              <w:szCs w:val="16"/>
            </w:rPr>
            <w:t xml:space="preserve">             </w:t>
          </w:r>
        </w:p>
      </w:tc>
      <w:tc>
        <w:tcPr>
          <w:tcW w:w="2278" w:type="pct"/>
          <w:vAlign w:val="center"/>
        </w:tcPr>
        <w:p w:rsidR="00A20CE0" w:rsidRPr="003775A7" w:rsidRDefault="00A20CE0" w:rsidP="002C7B30">
          <w:pPr>
            <w:pStyle w:val="Zhlav"/>
            <w:tabs>
              <w:tab w:val="clear" w:pos="4536"/>
              <w:tab w:val="clear" w:pos="9072"/>
            </w:tabs>
            <w:suppressAutoHyphens/>
            <w:ind w:left="-68"/>
            <w:rPr>
              <w:rFonts w:ascii="Arial" w:hAnsi="Arial" w:cs="Arial"/>
              <w:bCs/>
              <w:sz w:val="24"/>
              <w:szCs w:val="24"/>
            </w:rPr>
          </w:pPr>
          <w:r w:rsidRPr="003775A7">
            <w:rPr>
              <w:rFonts w:ascii="Arial" w:hAnsi="Arial" w:cs="Arial"/>
              <w:b/>
              <w:sz w:val="24"/>
              <w:szCs w:val="24"/>
            </w:rPr>
            <w:t>Fakultní nemocnice Olomouc</w:t>
          </w:r>
          <w:r w:rsidRPr="003775A7">
            <w:rPr>
              <w:rFonts w:ascii="Arial" w:hAnsi="Arial" w:cs="Arial"/>
              <w:bCs/>
              <w:sz w:val="24"/>
              <w:szCs w:val="24"/>
            </w:rPr>
            <w:t xml:space="preserve"> </w:t>
          </w:r>
        </w:p>
        <w:p w:rsidR="00A20CE0" w:rsidRPr="003775A7" w:rsidRDefault="00A20CE0" w:rsidP="002C7B30">
          <w:pPr>
            <w:pStyle w:val="Zhlav"/>
            <w:tabs>
              <w:tab w:val="clear" w:pos="4536"/>
              <w:tab w:val="clear" w:pos="9072"/>
            </w:tabs>
            <w:suppressAutoHyphens/>
            <w:ind w:left="-68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Oddělení energetiky</w:t>
          </w:r>
          <w:r w:rsidRPr="003775A7">
            <w:rPr>
              <w:rFonts w:ascii="Arial" w:hAnsi="Arial" w:cs="Arial"/>
              <w:b/>
              <w:bCs/>
            </w:rPr>
            <w:t xml:space="preserve">                                               </w:t>
          </w:r>
        </w:p>
      </w:tc>
      <w:tc>
        <w:tcPr>
          <w:tcW w:w="1064" w:type="pct"/>
          <w:vAlign w:val="center"/>
        </w:tcPr>
        <w:p w:rsidR="00A20CE0" w:rsidRPr="003775A7" w:rsidRDefault="00A20CE0" w:rsidP="002C7B30">
          <w:pPr>
            <w:pStyle w:val="Textbubliny"/>
            <w:suppressAutoHyphens/>
            <w:ind w:left="-69"/>
            <w:jc w:val="center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>Přezkoumání EnMS</w:t>
          </w:r>
        </w:p>
      </w:tc>
      <w:tc>
        <w:tcPr>
          <w:tcW w:w="1163" w:type="pct"/>
        </w:tcPr>
        <w:p w:rsidR="00A20CE0" w:rsidRPr="003775A7" w:rsidRDefault="00A20CE0" w:rsidP="002C7B30">
          <w:pPr>
            <w:pStyle w:val="Textbubliny"/>
            <w:suppressAutoHyphens/>
            <w:rPr>
              <w:rFonts w:ascii="Arial" w:hAnsi="Arial"/>
              <w:b/>
              <w:bCs/>
              <w:sz w:val="18"/>
              <w:szCs w:val="18"/>
            </w:rPr>
          </w:pPr>
        </w:p>
        <w:p w:rsidR="00A20CE0" w:rsidRPr="003775A7" w:rsidRDefault="00A20CE0" w:rsidP="00ED4CA5">
          <w:pPr>
            <w:pStyle w:val="Textbubliny"/>
            <w:suppressAutoHyphens/>
            <w:ind w:left="497"/>
            <w:jc w:val="right"/>
            <w:rPr>
              <w:rFonts w:ascii="Arial" w:hAnsi="Arial"/>
              <w:bCs/>
              <w:sz w:val="24"/>
            </w:rPr>
          </w:pPr>
          <w:r w:rsidRPr="003775A7">
            <w:rPr>
              <w:rFonts w:ascii="Arial" w:hAnsi="Arial"/>
              <w:bCs/>
              <w:sz w:val="18"/>
              <w:szCs w:val="18"/>
            </w:rPr>
            <w:t>Dokument č.:</w:t>
          </w:r>
          <w:r w:rsidRPr="003775A7">
            <w:rPr>
              <w:rFonts w:ascii="Arial" w:hAnsi="Arial"/>
              <w:b/>
              <w:bCs/>
              <w:sz w:val="22"/>
              <w:szCs w:val="22"/>
            </w:rPr>
            <w:t xml:space="preserve"> </w:t>
          </w:r>
          <w:r w:rsidRPr="003775A7">
            <w:rPr>
              <w:rFonts w:ascii="Arial" w:hAnsi="Arial"/>
              <w:bCs/>
              <w:sz w:val="22"/>
              <w:szCs w:val="22"/>
            </w:rPr>
            <w:t xml:space="preserve">          </w:t>
          </w:r>
          <w:r w:rsidRPr="003775A7">
            <w:rPr>
              <w:rFonts w:ascii="Arial" w:hAnsi="Arial"/>
              <w:b/>
              <w:bCs/>
              <w:sz w:val="22"/>
              <w:szCs w:val="22"/>
            </w:rPr>
            <w:t>Fm-</w:t>
          </w:r>
          <w:r>
            <w:rPr>
              <w:rFonts w:ascii="Arial" w:hAnsi="Arial"/>
              <w:b/>
              <w:bCs/>
              <w:sz w:val="22"/>
              <w:szCs w:val="22"/>
            </w:rPr>
            <w:t>09</w:t>
          </w:r>
        </w:p>
        <w:p w:rsidR="00A20CE0" w:rsidRPr="003775A7" w:rsidRDefault="00A20CE0" w:rsidP="000F5CF5">
          <w:pPr>
            <w:pStyle w:val="Textbubliny"/>
            <w:suppressAutoHyphens/>
            <w:ind w:left="497"/>
            <w:jc w:val="right"/>
            <w:rPr>
              <w:rFonts w:ascii="Arial" w:hAnsi="Arial"/>
              <w:bCs/>
              <w:sz w:val="22"/>
              <w:szCs w:val="22"/>
            </w:rPr>
          </w:pPr>
          <w:r w:rsidRPr="003775A7">
            <w:rPr>
              <w:rFonts w:ascii="Arial" w:hAnsi="Arial"/>
              <w:bCs/>
              <w:sz w:val="18"/>
              <w:szCs w:val="18"/>
            </w:rPr>
            <w:t>Verze č.:</w:t>
          </w:r>
          <w:r w:rsidRPr="003775A7">
            <w:rPr>
              <w:rFonts w:ascii="Arial" w:hAnsi="Arial"/>
              <w:b/>
              <w:bCs/>
              <w:sz w:val="22"/>
              <w:szCs w:val="22"/>
            </w:rPr>
            <w:t xml:space="preserve"> </w:t>
          </w:r>
          <w:r w:rsidRPr="00B21709">
            <w:rPr>
              <w:rFonts w:ascii="Arial" w:hAnsi="Arial"/>
              <w:bCs/>
              <w:sz w:val="22"/>
              <w:szCs w:val="22"/>
            </w:rPr>
            <w:t>1</w:t>
          </w:r>
        </w:p>
      </w:tc>
    </w:tr>
  </w:tbl>
  <w:p w:rsidR="00A20CE0" w:rsidRPr="003775A7" w:rsidRDefault="00A20CE0" w:rsidP="00D6254B">
    <w:pPr>
      <w:pStyle w:val="Zhlav"/>
    </w:pPr>
  </w:p>
  <w:p w:rsidR="00A20CE0" w:rsidRDefault="00A20CE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5E79"/>
    <w:multiLevelType w:val="hybridMultilevel"/>
    <w:tmpl w:val="02E8EA3E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1377A"/>
    <w:multiLevelType w:val="hybridMultilevel"/>
    <w:tmpl w:val="E9C01B10"/>
    <w:lvl w:ilvl="0" w:tplc="B9F44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843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46E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43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00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06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CE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A2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03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C3281"/>
    <w:multiLevelType w:val="hybridMultilevel"/>
    <w:tmpl w:val="B2E2396C"/>
    <w:lvl w:ilvl="0" w:tplc="04050001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506" w:hanging="360"/>
      </w:pPr>
    </w:lvl>
    <w:lvl w:ilvl="2" w:tplc="04050005" w:tentative="1">
      <w:start w:val="1"/>
      <w:numFmt w:val="lowerRoman"/>
      <w:lvlText w:val="%3."/>
      <w:lvlJc w:val="right"/>
      <w:pPr>
        <w:ind w:left="2226" w:hanging="180"/>
      </w:pPr>
    </w:lvl>
    <w:lvl w:ilvl="3" w:tplc="04050001" w:tentative="1">
      <w:start w:val="1"/>
      <w:numFmt w:val="decimal"/>
      <w:lvlText w:val="%4."/>
      <w:lvlJc w:val="left"/>
      <w:pPr>
        <w:ind w:left="2946" w:hanging="360"/>
      </w:pPr>
    </w:lvl>
    <w:lvl w:ilvl="4" w:tplc="04050003" w:tentative="1">
      <w:start w:val="1"/>
      <w:numFmt w:val="lowerLetter"/>
      <w:lvlText w:val="%5."/>
      <w:lvlJc w:val="left"/>
      <w:pPr>
        <w:ind w:left="3666" w:hanging="360"/>
      </w:pPr>
    </w:lvl>
    <w:lvl w:ilvl="5" w:tplc="04050005" w:tentative="1">
      <w:start w:val="1"/>
      <w:numFmt w:val="lowerRoman"/>
      <w:lvlText w:val="%6."/>
      <w:lvlJc w:val="right"/>
      <w:pPr>
        <w:ind w:left="4386" w:hanging="180"/>
      </w:pPr>
    </w:lvl>
    <w:lvl w:ilvl="6" w:tplc="04050001" w:tentative="1">
      <w:start w:val="1"/>
      <w:numFmt w:val="decimal"/>
      <w:lvlText w:val="%7."/>
      <w:lvlJc w:val="left"/>
      <w:pPr>
        <w:ind w:left="5106" w:hanging="360"/>
      </w:pPr>
    </w:lvl>
    <w:lvl w:ilvl="7" w:tplc="04050003" w:tentative="1">
      <w:start w:val="1"/>
      <w:numFmt w:val="lowerLetter"/>
      <w:lvlText w:val="%8."/>
      <w:lvlJc w:val="left"/>
      <w:pPr>
        <w:ind w:left="5826" w:hanging="360"/>
      </w:pPr>
    </w:lvl>
    <w:lvl w:ilvl="8" w:tplc="040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F72B47"/>
    <w:multiLevelType w:val="hybridMultilevel"/>
    <w:tmpl w:val="B2E2396C"/>
    <w:lvl w:ilvl="0" w:tplc="29228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2C750A"/>
    <w:multiLevelType w:val="hybridMultilevel"/>
    <w:tmpl w:val="BC00DF02"/>
    <w:lvl w:ilvl="0" w:tplc="29228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010F4"/>
    <w:rsid w:val="00041178"/>
    <w:rsid w:val="0008694F"/>
    <w:rsid w:val="00094174"/>
    <w:rsid w:val="000966F1"/>
    <w:rsid w:val="000A7EA1"/>
    <w:rsid w:val="000B0C0A"/>
    <w:rsid w:val="000C390C"/>
    <w:rsid w:val="000C4067"/>
    <w:rsid w:val="000D3B82"/>
    <w:rsid w:val="000E1110"/>
    <w:rsid w:val="000F01D7"/>
    <w:rsid w:val="000F48FA"/>
    <w:rsid w:val="000F5CF5"/>
    <w:rsid w:val="001039A0"/>
    <w:rsid w:val="00107250"/>
    <w:rsid w:val="00107328"/>
    <w:rsid w:val="001167D0"/>
    <w:rsid w:val="00146D75"/>
    <w:rsid w:val="0015088F"/>
    <w:rsid w:val="00186F56"/>
    <w:rsid w:val="00196AED"/>
    <w:rsid w:val="001A2738"/>
    <w:rsid w:val="001A5733"/>
    <w:rsid w:val="001B4C2D"/>
    <w:rsid w:val="001C3970"/>
    <w:rsid w:val="001F412F"/>
    <w:rsid w:val="002008A3"/>
    <w:rsid w:val="0020269C"/>
    <w:rsid w:val="0022279B"/>
    <w:rsid w:val="00226F06"/>
    <w:rsid w:val="002301CB"/>
    <w:rsid w:val="00234827"/>
    <w:rsid w:val="0023506B"/>
    <w:rsid w:val="002360F8"/>
    <w:rsid w:val="00243397"/>
    <w:rsid w:val="002711CC"/>
    <w:rsid w:val="00271939"/>
    <w:rsid w:val="00281BFB"/>
    <w:rsid w:val="00285222"/>
    <w:rsid w:val="00291DEB"/>
    <w:rsid w:val="00295CAF"/>
    <w:rsid w:val="002A3BCD"/>
    <w:rsid w:val="002A6C96"/>
    <w:rsid w:val="002B32D5"/>
    <w:rsid w:val="002B397A"/>
    <w:rsid w:val="002C1270"/>
    <w:rsid w:val="002C2FCF"/>
    <w:rsid w:val="002C7B30"/>
    <w:rsid w:val="002D4317"/>
    <w:rsid w:val="002E3094"/>
    <w:rsid w:val="00321785"/>
    <w:rsid w:val="00336B7A"/>
    <w:rsid w:val="00344796"/>
    <w:rsid w:val="00346831"/>
    <w:rsid w:val="003570AA"/>
    <w:rsid w:val="00363CEE"/>
    <w:rsid w:val="003650D3"/>
    <w:rsid w:val="003775A7"/>
    <w:rsid w:val="00380CFF"/>
    <w:rsid w:val="003920A9"/>
    <w:rsid w:val="003A7BC1"/>
    <w:rsid w:val="00407580"/>
    <w:rsid w:val="00407DF3"/>
    <w:rsid w:val="00420D60"/>
    <w:rsid w:val="004253D8"/>
    <w:rsid w:val="00425410"/>
    <w:rsid w:val="00453A6E"/>
    <w:rsid w:val="00471FA3"/>
    <w:rsid w:val="004A7072"/>
    <w:rsid w:val="004B12F6"/>
    <w:rsid w:val="004B34F2"/>
    <w:rsid w:val="004C3960"/>
    <w:rsid w:val="004C68D2"/>
    <w:rsid w:val="004E5B31"/>
    <w:rsid w:val="004E673B"/>
    <w:rsid w:val="00503905"/>
    <w:rsid w:val="00511CFC"/>
    <w:rsid w:val="00535357"/>
    <w:rsid w:val="00535B0F"/>
    <w:rsid w:val="005449CA"/>
    <w:rsid w:val="00563A6E"/>
    <w:rsid w:val="00564E1E"/>
    <w:rsid w:val="00565F38"/>
    <w:rsid w:val="00570162"/>
    <w:rsid w:val="00571850"/>
    <w:rsid w:val="00577A31"/>
    <w:rsid w:val="00577ACC"/>
    <w:rsid w:val="00590739"/>
    <w:rsid w:val="005D238D"/>
    <w:rsid w:val="005F58F6"/>
    <w:rsid w:val="0060011E"/>
    <w:rsid w:val="00613200"/>
    <w:rsid w:val="006176F8"/>
    <w:rsid w:val="00635F3E"/>
    <w:rsid w:val="00684D5C"/>
    <w:rsid w:val="00685F07"/>
    <w:rsid w:val="00694627"/>
    <w:rsid w:val="006A0A01"/>
    <w:rsid w:val="006A5E95"/>
    <w:rsid w:val="006A7AF6"/>
    <w:rsid w:val="006B347B"/>
    <w:rsid w:val="006C302D"/>
    <w:rsid w:val="006D06E8"/>
    <w:rsid w:val="006D52D3"/>
    <w:rsid w:val="006D6CBC"/>
    <w:rsid w:val="006E4B1C"/>
    <w:rsid w:val="006F3333"/>
    <w:rsid w:val="006F3A24"/>
    <w:rsid w:val="007061FD"/>
    <w:rsid w:val="00706A75"/>
    <w:rsid w:val="00771118"/>
    <w:rsid w:val="00773D37"/>
    <w:rsid w:val="00776400"/>
    <w:rsid w:val="007811FE"/>
    <w:rsid w:val="007E4F3E"/>
    <w:rsid w:val="008010F4"/>
    <w:rsid w:val="00804222"/>
    <w:rsid w:val="0082255A"/>
    <w:rsid w:val="008340AC"/>
    <w:rsid w:val="0083676B"/>
    <w:rsid w:val="00853B0E"/>
    <w:rsid w:val="00857149"/>
    <w:rsid w:val="00860A03"/>
    <w:rsid w:val="008857C4"/>
    <w:rsid w:val="00885AB9"/>
    <w:rsid w:val="00892F12"/>
    <w:rsid w:val="008B37A7"/>
    <w:rsid w:val="008D612E"/>
    <w:rsid w:val="00921FB7"/>
    <w:rsid w:val="00945C69"/>
    <w:rsid w:val="00965C57"/>
    <w:rsid w:val="00992E6B"/>
    <w:rsid w:val="009A0B9A"/>
    <w:rsid w:val="009B5A76"/>
    <w:rsid w:val="009B7C78"/>
    <w:rsid w:val="009C5990"/>
    <w:rsid w:val="00A0505C"/>
    <w:rsid w:val="00A11E70"/>
    <w:rsid w:val="00A20CE0"/>
    <w:rsid w:val="00A21AC1"/>
    <w:rsid w:val="00A22A7B"/>
    <w:rsid w:val="00A26427"/>
    <w:rsid w:val="00A573E0"/>
    <w:rsid w:val="00A6177E"/>
    <w:rsid w:val="00A61E7A"/>
    <w:rsid w:val="00A6341E"/>
    <w:rsid w:val="00A73426"/>
    <w:rsid w:val="00A85724"/>
    <w:rsid w:val="00A9214B"/>
    <w:rsid w:val="00A945E3"/>
    <w:rsid w:val="00A954F5"/>
    <w:rsid w:val="00A9683E"/>
    <w:rsid w:val="00AA001E"/>
    <w:rsid w:val="00AA4971"/>
    <w:rsid w:val="00AB2637"/>
    <w:rsid w:val="00AB3768"/>
    <w:rsid w:val="00AD3295"/>
    <w:rsid w:val="00AD3A33"/>
    <w:rsid w:val="00AD705E"/>
    <w:rsid w:val="00AE624D"/>
    <w:rsid w:val="00AF53DE"/>
    <w:rsid w:val="00B025C6"/>
    <w:rsid w:val="00B16705"/>
    <w:rsid w:val="00B17640"/>
    <w:rsid w:val="00B21709"/>
    <w:rsid w:val="00B31A2E"/>
    <w:rsid w:val="00B71131"/>
    <w:rsid w:val="00B8203F"/>
    <w:rsid w:val="00B93135"/>
    <w:rsid w:val="00BA488B"/>
    <w:rsid w:val="00BA7588"/>
    <w:rsid w:val="00BB05C4"/>
    <w:rsid w:val="00BC1BB0"/>
    <w:rsid w:val="00BC451B"/>
    <w:rsid w:val="00C0510E"/>
    <w:rsid w:val="00C32E6D"/>
    <w:rsid w:val="00C34724"/>
    <w:rsid w:val="00C35DFB"/>
    <w:rsid w:val="00C52B37"/>
    <w:rsid w:val="00C71644"/>
    <w:rsid w:val="00C813A9"/>
    <w:rsid w:val="00CA3AC7"/>
    <w:rsid w:val="00CC1BED"/>
    <w:rsid w:val="00CC3549"/>
    <w:rsid w:val="00CC39AB"/>
    <w:rsid w:val="00CD1F3A"/>
    <w:rsid w:val="00CD44BD"/>
    <w:rsid w:val="00CD6DB1"/>
    <w:rsid w:val="00D303EE"/>
    <w:rsid w:val="00D42924"/>
    <w:rsid w:val="00D47AB9"/>
    <w:rsid w:val="00D6254B"/>
    <w:rsid w:val="00D81FF4"/>
    <w:rsid w:val="00D84DD0"/>
    <w:rsid w:val="00D91290"/>
    <w:rsid w:val="00D95350"/>
    <w:rsid w:val="00DA4029"/>
    <w:rsid w:val="00DC0E5A"/>
    <w:rsid w:val="00DE5A08"/>
    <w:rsid w:val="00E52358"/>
    <w:rsid w:val="00E541CC"/>
    <w:rsid w:val="00E54D6A"/>
    <w:rsid w:val="00E55BDB"/>
    <w:rsid w:val="00E627F3"/>
    <w:rsid w:val="00E805CE"/>
    <w:rsid w:val="00E911E8"/>
    <w:rsid w:val="00ED1CCD"/>
    <w:rsid w:val="00ED4CA5"/>
    <w:rsid w:val="00EE5E04"/>
    <w:rsid w:val="00EF0C01"/>
    <w:rsid w:val="00EF1389"/>
    <w:rsid w:val="00F26147"/>
    <w:rsid w:val="00F40FE5"/>
    <w:rsid w:val="00F801F8"/>
    <w:rsid w:val="00F82813"/>
    <w:rsid w:val="00F87208"/>
    <w:rsid w:val="00FA2B7B"/>
    <w:rsid w:val="00FD20A7"/>
    <w:rsid w:val="00FD6973"/>
    <w:rsid w:val="00FF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0F8"/>
  </w:style>
  <w:style w:type="paragraph" w:styleId="Nadpis1">
    <w:name w:val="heading 1"/>
    <w:basedOn w:val="Normln"/>
    <w:next w:val="Normln"/>
    <w:link w:val="Nadpis1Char"/>
    <w:uiPriority w:val="9"/>
    <w:qFormat/>
    <w:rsid w:val="000F5CF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3A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h3"/>
    <w:basedOn w:val="Normln"/>
    <w:next w:val="Normln"/>
    <w:link w:val="Nadpis3Char"/>
    <w:uiPriority w:val="9"/>
    <w:unhideWhenUsed/>
    <w:qFormat/>
    <w:rsid w:val="00A85724"/>
    <w:pPr>
      <w:keepNext/>
      <w:keepLines/>
      <w:spacing w:before="240" w:after="240"/>
      <w:ind w:left="720" w:hanging="720"/>
      <w:outlineLvl w:val="2"/>
    </w:pPr>
    <w:rPr>
      <w:rFonts w:ascii="Arial" w:hAnsi="Arial"/>
      <w:b/>
      <w:bCs/>
      <w:sz w:val="22"/>
      <w:szCs w:val="22"/>
      <w:lang w:eastAsia="en-US"/>
    </w:rPr>
  </w:style>
  <w:style w:type="paragraph" w:styleId="Nadpis4">
    <w:name w:val="heading 4"/>
    <w:aliases w:val="h4"/>
    <w:basedOn w:val="Normln"/>
    <w:next w:val="Normln"/>
    <w:link w:val="Nadpis4Char"/>
    <w:unhideWhenUsed/>
    <w:qFormat/>
    <w:rsid w:val="00A85724"/>
    <w:pPr>
      <w:keepNext/>
      <w:keepLines/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A85724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A85724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A85724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A85724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A85724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360F8"/>
    <w:pPr>
      <w:jc w:val="center"/>
    </w:pPr>
    <w:rPr>
      <w:rFonts w:ascii="Arial" w:hAnsi="Arial"/>
      <w:b/>
      <w:sz w:val="24"/>
    </w:rPr>
  </w:style>
  <w:style w:type="paragraph" w:styleId="Zhlav">
    <w:name w:val="header"/>
    <w:basedOn w:val="Normln"/>
    <w:rsid w:val="002360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60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54B"/>
  </w:style>
  <w:style w:type="paragraph" w:styleId="Textbubliny">
    <w:name w:val="Balloon Text"/>
    <w:basedOn w:val="Normln"/>
    <w:link w:val="TextbublinyChar"/>
    <w:rsid w:val="00D6254B"/>
    <w:rPr>
      <w:rFonts w:ascii="Tahoma" w:hAnsi="Tahoma" w:cs="Arial"/>
      <w:sz w:val="16"/>
      <w:szCs w:val="24"/>
    </w:rPr>
  </w:style>
  <w:style w:type="character" w:customStyle="1" w:styleId="TextbublinyChar">
    <w:name w:val="Text bubliny Char"/>
    <w:basedOn w:val="Standardnpsmoodstavce"/>
    <w:link w:val="Textbubliny"/>
    <w:rsid w:val="00D6254B"/>
    <w:rPr>
      <w:rFonts w:ascii="Tahoma" w:hAnsi="Tahoma" w:cs="Arial"/>
      <w:sz w:val="16"/>
      <w:szCs w:val="24"/>
    </w:rPr>
  </w:style>
  <w:style w:type="character" w:styleId="slostrnky">
    <w:name w:val="page number"/>
    <w:basedOn w:val="Standardnpsmoodstavce"/>
    <w:rsid w:val="00D6254B"/>
  </w:style>
  <w:style w:type="character" w:styleId="Hypertextovodkaz">
    <w:name w:val="Hyperlink"/>
    <w:basedOn w:val="Standardnpsmoodstavce"/>
    <w:uiPriority w:val="99"/>
    <w:unhideWhenUsed/>
    <w:rsid w:val="00BA7588"/>
    <w:rPr>
      <w:color w:val="0000CC"/>
      <w:u w:val="single"/>
    </w:rPr>
  </w:style>
  <w:style w:type="paragraph" w:styleId="Textvbloku">
    <w:name w:val="Block Text"/>
    <w:basedOn w:val="Normln"/>
    <w:rsid w:val="002008A3"/>
    <w:pPr>
      <w:numPr>
        <w:ilvl w:val="12"/>
      </w:numPr>
      <w:tabs>
        <w:tab w:val="left" w:pos="1276"/>
      </w:tabs>
      <w:ind w:left="1276" w:right="851" w:hanging="1276"/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0F5CF5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0F5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F5CF5"/>
    <w:pPr>
      <w:spacing w:after="300"/>
      <w:contextualSpacing/>
      <w:jc w:val="center"/>
    </w:pPr>
    <w:rPr>
      <w:rFonts w:ascii="Calibri" w:hAnsi="Calibri"/>
      <w:b/>
      <w:spacing w:val="5"/>
      <w:kern w:val="28"/>
      <w:sz w:val="40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F5CF5"/>
    <w:rPr>
      <w:rFonts w:ascii="Calibri" w:hAnsi="Calibri"/>
      <w:b/>
      <w:spacing w:val="5"/>
      <w:kern w:val="28"/>
      <w:sz w:val="40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F3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rsid w:val="001C397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A85724"/>
    <w:rPr>
      <w:rFonts w:ascii="Arial" w:hAnsi="Arial"/>
      <w:b/>
      <w:bCs/>
      <w:sz w:val="22"/>
      <w:szCs w:val="22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rsid w:val="00A85724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A85724"/>
    <w:rPr>
      <w:rFonts w:ascii="Cambria" w:hAnsi="Cambria"/>
      <w:color w:val="243F60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A85724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A85724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rsid w:val="00A85724"/>
    <w:rPr>
      <w:rFonts w:ascii="Cambria" w:hAnsi="Cambria"/>
      <w:color w:val="404040"/>
      <w:lang w:eastAsia="en-US"/>
    </w:rPr>
  </w:style>
  <w:style w:type="character" w:customStyle="1" w:styleId="Nadpis9Char">
    <w:name w:val="Nadpis 9 Char"/>
    <w:basedOn w:val="Standardnpsmoodstavce"/>
    <w:link w:val="Nadpis9"/>
    <w:rsid w:val="00A85724"/>
    <w:rPr>
      <w:rFonts w:ascii="Cambria" w:hAnsi="Cambria"/>
      <w:i/>
      <w:iCs/>
      <w:color w:val="404040"/>
      <w:lang w:eastAsia="en-US"/>
    </w:rPr>
  </w:style>
  <w:style w:type="paragraph" w:customStyle="1" w:styleId="DEFOdrazky">
    <w:name w:val="DEF Odrazky"/>
    <w:basedOn w:val="Normln"/>
    <w:rsid w:val="004A7072"/>
    <w:pPr>
      <w:spacing w:before="120"/>
    </w:pPr>
    <w:rPr>
      <w:rFonts w:ascii="Arial" w:hAnsi="Arial" w:cs="Arial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42E42-B220-49EA-9C2E-8989E9E7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1272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Seznámení s QS 03</vt:lpstr>
    </vt:vector>
  </TitlesOfParts>
  <Company>OK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Seznámení s QS 03</dc:title>
  <dc:creator>Jana Duchoslavová</dc:creator>
  <cp:lastModifiedBy>OINF</cp:lastModifiedBy>
  <cp:revision>43</cp:revision>
  <cp:lastPrinted>2019-01-04T15:25:00Z</cp:lastPrinted>
  <dcterms:created xsi:type="dcterms:W3CDTF">2018-12-15T05:07:00Z</dcterms:created>
  <dcterms:modified xsi:type="dcterms:W3CDTF">2019-01-06T19:11:00Z</dcterms:modified>
</cp:coreProperties>
</file>