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FB9" w:rsidRPr="005E30C6" w:rsidRDefault="00C43FB9" w:rsidP="00C43FB9">
      <w:pPr>
        <w:shd w:val="clear" w:color="auto" w:fill="FFFFFF" w:themeFill="background1"/>
        <w:spacing w:after="0" w:line="240" w:lineRule="auto"/>
        <w:jc w:val="both"/>
        <w:rPr>
          <w:rFonts w:asciiTheme="minorHAnsi" w:eastAsia="MS Mincho" w:hAnsiTheme="minorHAnsi" w:cstheme="minorBidi"/>
        </w:rPr>
      </w:pPr>
      <w:r w:rsidRPr="7F6B0D31">
        <w:rPr>
          <w:rFonts w:asciiTheme="minorHAnsi" w:eastAsia="MS Mincho" w:hAnsiTheme="minorHAnsi" w:cstheme="minorBidi"/>
          <w:b/>
          <w:bCs/>
        </w:rPr>
        <w:t>Zákon č. 406/2000 Sb. o Zákon o hospodaření energií</w:t>
      </w:r>
      <w:r w:rsidRPr="7F6B0D31">
        <w:rPr>
          <w:rFonts w:asciiTheme="minorHAnsi" w:eastAsia="MS Mincho" w:hAnsiTheme="minorHAnsi" w:cstheme="minorBidi"/>
        </w:rPr>
        <w:t xml:space="preserve"> stanovuje </w:t>
      </w:r>
      <w:r w:rsidRPr="7F6B0D31">
        <w:rPr>
          <w:rFonts w:asciiTheme="minorHAnsi" w:eastAsia="MS Mincho" w:hAnsiTheme="minorHAnsi" w:cstheme="minorBidi"/>
          <w:b/>
          <w:bCs/>
        </w:rPr>
        <w:t>opatření pro zvyšování hospodárnosti užití energie</w:t>
      </w:r>
      <w:r w:rsidRPr="7F6B0D31">
        <w:rPr>
          <w:rFonts w:asciiTheme="minorHAnsi" w:eastAsia="MS Mincho" w:hAnsiTheme="minorHAnsi" w:cstheme="minorBidi"/>
        </w:rPr>
        <w:t xml:space="preserve"> a práva a povinnosti při nakládání s energií a energetickými zdroji. Jako základní koncepce pro efektivní využívání energie určuje </w:t>
      </w:r>
      <w:r w:rsidRPr="7F6B0D31">
        <w:rPr>
          <w:rFonts w:asciiTheme="minorHAnsi" w:eastAsia="MS Mincho" w:hAnsiTheme="minorHAnsi" w:cstheme="minorBidi"/>
          <w:b/>
          <w:bCs/>
        </w:rPr>
        <w:t>Státní energetickou koncepci</w:t>
      </w:r>
      <w:r w:rsidRPr="7F6B0D31">
        <w:rPr>
          <w:rFonts w:asciiTheme="minorHAnsi" w:eastAsia="MS Mincho" w:hAnsiTheme="minorHAnsi" w:cstheme="minorBidi"/>
        </w:rPr>
        <w:t xml:space="preserve">, územní energetické koncepce a </w:t>
      </w:r>
      <w:r w:rsidRPr="7F6B0D31">
        <w:rPr>
          <w:rFonts w:asciiTheme="minorHAnsi" w:eastAsia="MS Mincho" w:hAnsiTheme="minorHAnsi" w:cstheme="minorBidi"/>
          <w:b/>
          <w:bCs/>
        </w:rPr>
        <w:t>Státní program na podporu úspor energie a využití obnovitelných zdrojů energie</w:t>
      </w:r>
      <w:r w:rsidRPr="7F6B0D31">
        <w:rPr>
          <w:rFonts w:asciiTheme="minorHAnsi" w:eastAsia="MS Mincho" w:hAnsiTheme="minorHAnsi" w:cstheme="minorBidi"/>
        </w:rPr>
        <w:t xml:space="preserve">. </w:t>
      </w:r>
    </w:p>
    <w:p w:rsidR="00C43FB9" w:rsidRPr="005E30C6" w:rsidRDefault="00C43FB9" w:rsidP="00C43FB9">
      <w:pPr>
        <w:shd w:val="clear" w:color="auto" w:fill="FFFFFF"/>
        <w:spacing w:after="0" w:line="240" w:lineRule="auto"/>
        <w:jc w:val="both"/>
        <w:rPr>
          <w:rFonts w:asciiTheme="minorHAnsi" w:eastAsia="MS Mincho" w:hAnsiTheme="minorHAnsi" w:cstheme="minorHAnsi"/>
        </w:rPr>
      </w:pPr>
      <w:r w:rsidRPr="005E30C6">
        <w:rPr>
          <w:rFonts w:asciiTheme="minorHAnsi" w:eastAsia="MS Mincho" w:hAnsiTheme="minorHAnsi" w:cstheme="minorHAnsi"/>
        </w:rPr>
        <w:t xml:space="preserve">Zákon dále stanovuje minimální energetickou účinnost pro výrobu energie, ukazatele pro energetickou náročnost budov, vytápění a přípravu teplé vody a zavádí povinnost provedení </w:t>
      </w:r>
      <w:bookmarkStart w:id="0" w:name="Energetický_audit"/>
      <w:r w:rsidRPr="005E30C6">
        <w:rPr>
          <w:rFonts w:asciiTheme="minorHAnsi" w:eastAsia="MS Mincho" w:hAnsiTheme="minorHAnsi" w:cstheme="minorHAnsi"/>
        </w:rPr>
        <w:fldChar w:fldCharType="begin"/>
      </w:r>
      <w:r w:rsidRPr="005E30C6">
        <w:rPr>
          <w:rFonts w:asciiTheme="minorHAnsi" w:eastAsia="MS Mincho" w:hAnsiTheme="minorHAnsi" w:cstheme="minorHAnsi"/>
        </w:rPr>
        <w:instrText xml:space="preserve"> HYPERLINK "http://www.mpo-efekt.cz/cz/energeticke-expertizy/energeticky-audit" \o "Energetický audit" </w:instrText>
      </w:r>
      <w:r w:rsidRPr="005E30C6">
        <w:rPr>
          <w:rFonts w:asciiTheme="minorHAnsi" w:eastAsia="MS Mincho" w:hAnsiTheme="minorHAnsi" w:cstheme="minorHAnsi"/>
        </w:rPr>
        <w:fldChar w:fldCharType="separate"/>
      </w:r>
      <w:r w:rsidRPr="005E30C6">
        <w:rPr>
          <w:rFonts w:asciiTheme="minorHAnsi" w:eastAsia="MS Mincho" w:hAnsiTheme="minorHAnsi" w:cstheme="minorHAnsi"/>
        </w:rPr>
        <w:t>energetického auditu</w:t>
      </w:r>
      <w:r w:rsidRPr="005E30C6">
        <w:rPr>
          <w:rFonts w:asciiTheme="minorHAnsi" w:eastAsia="MS Mincho" w:hAnsiTheme="minorHAnsi" w:cstheme="minorHAnsi"/>
        </w:rPr>
        <w:fldChar w:fldCharType="end"/>
      </w:r>
      <w:bookmarkEnd w:id="0"/>
      <w:r w:rsidRPr="005E30C6">
        <w:rPr>
          <w:rFonts w:asciiTheme="minorHAnsi" w:eastAsia="MS Mincho" w:hAnsiTheme="minorHAnsi" w:cstheme="minorHAnsi"/>
        </w:rPr>
        <w:t xml:space="preserve"> </w:t>
      </w:r>
      <w:bookmarkStart w:id="1" w:name="_Hlk121726345"/>
      <w:r>
        <w:rPr>
          <w:rFonts w:asciiTheme="minorHAnsi" w:eastAsia="MS Mincho" w:hAnsiTheme="minorHAnsi" w:cstheme="minorHAnsi"/>
        </w:rPr>
        <w:t xml:space="preserve">nebo certifikace </w:t>
      </w:r>
      <w:r w:rsidRPr="003C1CC6">
        <w:rPr>
          <w:rFonts w:asciiTheme="minorHAnsi" w:eastAsia="MS Mincho" w:hAnsiTheme="minorHAnsi" w:cstheme="minorHAnsi"/>
        </w:rPr>
        <w:t>systém</w:t>
      </w:r>
      <w:r>
        <w:rPr>
          <w:rFonts w:asciiTheme="minorHAnsi" w:eastAsia="MS Mincho" w:hAnsiTheme="minorHAnsi" w:cstheme="minorHAnsi"/>
        </w:rPr>
        <w:t>u</w:t>
      </w:r>
      <w:r w:rsidRPr="003C1CC6">
        <w:rPr>
          <w:rFonts w:asciiTheme="minorHAnsi" w:eastAsia="MS Mincho" w:hAnsiTheme="minorHAnsi" w:cstheme="minorHAnsi"/>
        </w:rPr>
        <w:t xml:space="preserve"> hospodaření s energií </w:t>
      </w:r>
      <w:r>
        <w:rPr>
          <w:rFonts w:asciiTheme="minorHAnsi" w:eastAsia="MS Mincho" w:hAnsiTheme="minorHAnsi" w:cstheme="minorHAnsi"/>
        </w:rPr>
        <w:t>a</w:t>
      </w:r>
      <w:r w:rsidRPr="003C1CC6">
        <w:rPr>
          <w:rFonts w:asciiTheme="minorHAnsi" w:eastAsia="MS Mincho" w:hAnsiTheme="minorHAnsi" w:cstheme="minorHAnsi"/>
        </w:rPr>
        <w:t xml:space="preserve">kreditovanou osobou </w:t>
      </w:r>
      <w:bookmarkEnd w:id="1"/>
      <w:r w:rsidRPr="005E30C6">
        <w:rPr>
          <w:rFonts w:asciiTheme="minorHAnsi" w:eastAsia="MS Mincho" w:hAnsiTheme="minorHAnsi" w:cstheme="minorHAnsi"/>
        </w:rPr>
        <w:t xml:space="preserve">pro větší spotřebitele energie a také zpracování </w:t>
      </w:r>
      <w:bookmarkStart w:id="2" w:name="Průkaz_eneretické_náročnosti_budov"/>
      <w:r w:rsidRPr="005E30C6">
        <w:rPr>
          <w:rFonts w:asciiTheme="minorHAnsi" w:eastAsia="MS Mincho" w:hAnsiTheme="minorHAnsi" w:cstheme="minorHAnsi"/>
        </w:rPr>
        <w:fldChar w:fldCharType="begin"/>
      </w:r>
      <w:r w:rsidRPr="005E30C6">
        <w:rPr>
          <w:rFonts w:asciiTheme="minorHAnsi" w:eastAsia="MS Mincho" w:hAnsiTheme="minorHAnsi" w:cstheme="minorHAnsi"/>
        </w:rPr>
        <w:instrText xml:space="preserve"> HYPERLINK "http://www.mpo-efekt.cz/cz/energeticke-expertizy/prukaz-energeticke-narocnosti-budov" \o "Průkaz eneretické náročnosti budov" </w:instrText>
      </w:r>
      <w:r w:rsidRPr="005E30C6">
        <w:rPr>
          <w:rFonts w:asciiTheme="minorHAnsi" w:eastAsia="MS Mincho" w:hAnsiTheme="minorHAnsi" w:cstheme="minorHAnsi"/>
        </w:rPr>
        <w:fldChar w:fldCharType="separate"/>
      </w:r>
      <w:r w:rsidRPr="005E30C6">
        <w:rPr>
          <w:rFonts w:asciiTheme="minorHAnsi" w:eastAsia="MS Mincho" w:hAnsiTheme="minorHAnsi" w:cstheme="minorHAnsi"/>
        </w:rPr>
        <w:t>průkazů energetické náročnosti budov</w:t>
      </w:r>
      <w:r w:rsidRPr="005E30C6">
        <w:rPr>
          <w:rFonts w:asciiTheme="minorHAnsi" w:eastAsia="MS Mincho" w:hAnsiTheme="minorHAnsi" w:cstheme="minorHAnsi"/>
        </w:rPr>
        <w:fldChar w:fldCharType="end"/>
      </w:r>
      <w:bookmarkEnd w:id="2"/>
      <w:r w:rsidRPr="005E30C6">
        <w:rPr>
          <w:rFonts w:asciiTheme="minorHAnsi" w:eastAsia="MS Mincho" w:hAnsiTheme="minorHAnsi" w:cstheme="minorHAnsi"/>
        </w:rPr>
        <w:t xml:space="preserve"> pro všechny novostavby a opravy větších budov. Elektrospotřebiče jsou podle tohoto zákona povinně označovány energetickými štítky a jejich konstrukce podléhá požadavkům na </w:t>
      </w:r>
      <w:proofErr w:type="spellStart"/>
      <w:r w:rsidRPr="005E30C6">
        <w:rPr>
          <w:rFonts w:asciiTheme="minorHAnsi" w:eastAsia="MS Mincho" w:hAnsiTheme="minorHAnsi" w:cstheme="minorHAnsi"/>
        </w:rPr>
        <w:t>ekodesign</w:t>
      </w:r>
      <w:proofErr w:type="spellEnd"/>
      <w:r w:rsidRPr="005E30C6">
        <w:rPr>
          <w:rFonts w:asciiTheme="minorHAnsi" w:eastAsia="MS Mincho" w:hAnsiTheme="minorHAnsi" w:cstheme="minorHAnsi"/>
        </w:rPr>
        <w:t>.</w:t>
      </w:r>
    </w:p>
    <w:p w:rsidR="00C43FB9" w:rsidRPr="00A17DDD" w:rsidRDefault="00C43FB9" w:rsidP="00C43FB9">
      <w:pPr>
        <w:shd w:val="clear" w:color="auto" w:fill="FFFFFF"/>
        <w:spacing w:after="0" w:line="240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</w:p>
    <w:p w:rsidR="00C43FB9" w:rsidRPr="005E30C6" w:rsidRDefault="00C43FB9" w:rsidP="00C43FB9">
      <w:pPr>
        <w:shd w:val="clear" w:color="auto" w:fill="FFFFFF" w:themeFill="background1"/>
        <w:spacing w:after="0" w:line="240" w:lineRule="auto"/>
        <w:jc w:val="both"/>
        <w:rPr>
          <w:rFonts w:asciiTheme="minorHAnsi" w:eastAsia="MS Mincho" w:hAnsiTheme="minorHAnsi" w:cstheme="minorBidi"/>
          <w:u w:val="single"/>
        </w:rPr>
      </w:pPr>
      <w:r w:rsidRPr="7F6B0D31">
        <w:rPr>
          <w:rFonts w:asciiTheme="minorHAnsi" w:eastAsia="MS Mincho" w:hAnsiTheme="minorHAnsi" w:cstheme="minorBidi"/>
          <w:u w:val="single"/>
        </w:rPr>
        <w:t>Přehled aktuálně platných vyhlášek a zákonů, z jejichž názvů je zřejmé jejich zaměření:</w:t>
      </w:r>
    </w:p>
    <w:p w:rsidR="00C43FB9" w:rsidRPr="005E30C6" w:rsidRDefault="00C43FB9" w:rsidP="00C43FB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Theme="minorHAnsi" w:eastAsia="MS Mincho" w:hAnsiTheme="minorHAnsi" w:cstheme="minorHAnsi"/>
        </w:rPr>
      </w:pPr>
      <w:r w:rsidRPr="005E30C6">
        <w:rPr>
          <w:rFonts w:asciiTheme="minorHAnsi" w:eastAsia="MS Mincho" w:hAnsiTheme="minorHAnsi" w:cstheme="minorHAnsi"/>
        </w:rPr>
        <w:t>Vyhláška č. 140/2021 Sb. o energetickém auditu (provádí předpis 406/2000 Sb.)</w:t>
      </w:r>
    </w:p>
    <w:p w:rsidR="00C43FB9" w:rsidRPr="005E30C6" w:rsidRDefault="00C43FB9" w:rsidP="00C43FB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Theme="minorHAnsi" w:eastAsia="MS Mincho" w:hAnsiTheme="minorHAnsi" w:cstheme="minorHAnsi"/>
        </w:rPr>
      </w:pPr>
      <w:r w:rsidRPr="005E30C6">
        <w:rPr>
          <w:rFonts w:asciiTheme="minorHAnsi" w:eastAsia="MS Mincho" w:hAnsiTheme="minorHAnsi" w:cstheme="minorHAnsi"/>
        </w:rPr>
        <w:t xml:space="preserve">Vyhláška č. 141/2021 Sb. </w:t>
      </w:r>
      <w:r w:rsidRPr="005E30C6">
        <w:rPr>
          <w:rFonts w:asciiTheme="minorHAnsi" w:hAnsiTheme="minorHAnsi" w:cstheme="minorHAnsi"/>
        </w:rPr>
        <w:t xml:space="preserve">o energetickém posudku a o údajích vedených v Systému monitoringu spotřeby energie </w:t>
      </w:r>
      <w:r w:rsidRPr="005E30C6">
        <w:rPr>
          <w:rFonts w:asciiTheme="minorHAnsi" w:eastAsia="MS Mincho" w:hAnsiTheme="minorHAnsi" w:cstheme="minorHAnsi"/>
        </w:rPr>
        <w:t>(provádí předpis 406/2000 Sb.)</w:t>
      </w:r>
    </w:p>
    <w:p w:rsidR="00C43FB9" w:rsidRPr="005E30C6" w:rsidRDefault="00C43FB9" w:rsidP="00C43FB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Theme="minorHAnsi" w:eastAsia="MS Mincho" w:hAnsiTheme="minorHAnsi" w:cstheme="minorHAnsi"/>
        </w:rPr>
      </w:pPr>
      <w:r w:rsidRPr="005E30C6">
        <w:rPr>
          <w:rFonts w:asciiTheme="minorHAnsi" w:eastAsia="MS Mincho" w:hAnsiTheme="minorHAnsi" w:cstheme="minorHAnsi"/>
        </w:rPr>
        <w:t>Vyhláška č. 264/2020 Sb. o energetické náročnosti budov (provádí předpis 406/2000 Sb.)</w:t>
      </w:r>
    </w:p>
    <w:p w:rsidR="00C43FB9" w:rsidRPr="005E30C6" w:rsidRDefault="00C43FB9" w:rsidP="00C43FB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Theme="minorHAnsi" w:eastAsia="MS Mincho" w:hAnsiTheme="minorHAnsi" w:cstheme="minorHAnsi"/>
        </w:rPr>
      </w:pPr>
      <w:r w:rsidRPr="005E30C6">
        <w:rPr>
          <w:rFonts w:asciiTheme="minorHAnsi" w:eastAsia="MS Mincho" w:hAnsiTheme="minorHAnsi" w:cstheme="minorHAnsi"/>
        </w:rPr>
        <w:t>Vyhláška č. 441/2012 Sb. o stanovení minimální účinnosti užití energie při výrobě elektřiny a tepelné energie (provádí předpis 406/2000 Sb. a 165/2012 Sb.)</w:t>
      </w:r>
    </w:p>
    <w:p w:rsidR="00C43FB9" w:rsidRPr="005E30C6" w:rsidRDefault="00C43FB9" w:rsidP="00C43FB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Theme="minorHAnsi" w:eastAsia="MS Mincho" w:hAnsiTheme="minorHAnsi" w:cstheme="minorHAnsi"/>
        </w:rPr>
      </w:pPr>
      <w:r w:rsidRPr="005E30C6">
        <w:rPr>
          <w:rFonts w:asciiTheme="minorHAnsi" w:eastAsia="MS Mincho" w:hAnsiTheme="minorHAnsi" w:cstheme="minorHAnsi"/>
        </w:rPr>
        <w:t>Vyhláška č. 193/2007 Sb., kterou se stanoví podrobnosti účinnosti užití energie při rozvodu tepelné energie a vnitřním rozvodu tepelné energie a chladu (provádí předpis 406/2000 Sb.)</w:t>
      </w:r>
    </w:p>
    <w:p w:rsidR="00C43FB9" w:rsidRPr="005E30C6" w:rsidRDefault="00C43FB9" w:rsidP="00C43FB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Theme="minorHAnsi" w:eastAsia="MS Mincho" w:hAnsiTheme="minorHAnsi" w:cstheme="minorHAnsi"/>
        </w:rPr>
      </w:pPr>
      <w:r w:rsidRPr="005E30C6">
        <w:rPr>
          <w:rFonts w:asciiTheme="minorHAnsi" w:eastAsia="MS Mincho" w:hAnsiTheme="minorHAnsi" w:cstheme="minorHAnsi"/>
        </w:rPr>
        <w:t xml:space="preserve">Vyhláška č. 194/2007 Sb., kterou se stanoví pravidla pro vytápění a dodávku teplé vody, měrné ukazatele spotřeby tepelné energie pro vytápění a pro </w:t>
      </w:r>
    </w:p>
    <w:p w:rsidR="00C43FB9" w:rsidRPr="00E53D04" w:rsidRDefault="00C43FB9" w:rsidP="00C43FB9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inorHAnsi" w:eastAsia="MS Mincho" w:hAnsiTheme="minorHAnsi" w:cstheme="minorHAnsi"/>
        </w:rPr>
      </w:pPr>
      <w:r w:rsidRPr="005E30C6">
        <w:rPr>
          <w:rFonts w:asciiTheme="minorHAnsi" w:eastAsia="MS Mincho" w:hAnsiTheme="minorHAnsi" w:cstheme="minorHAnsi"/>
        </w:rPr>
        <w:t xml:space="preserve">přípravu teplé vody a požadavky na vybavení vnitřních tepelných zařízení budov přístroji regulujícími dodávku tepelné energie konečným </w:t>
      </w:r>
      <w:r w:rsidRPr="00E53D04">
        <w:rPr>
          <w:rFonts w:asciiTheme="minorHAnsi" w:eastAsia="MS Mincho" w:hAnsiTheme="minorHAnsi" w:cstheme="minorHAnsi"/>
        </w:rPr>
        <w:t>spotřebitelům (provádí předpis 406/2000 Sb., aktualizuje Vyhláška č. 237/2014 Sb.)</w:t>
      </w:r>
    </w:p>
    <w:p w:rsidR="00C43FB9" w:rsidRPr="00E53D04" w:rsidRDefault="00C43FB9" w:rsidP="00C43FB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Theme="minorHAnsi" w:eastAsia="MS Mincho" w:hAnsiTheme="minorHAnsi" w:cstheme="minorHAnsi"/>
        </w:rPr>
      </w:pPr>
      <w:r w:rsidRPr="00E53D04">
        <w:rPr>
          <w:rFonts w:asciiTheme="minorHAnsi" w:eastAsia="MS Mincho" w:hAnsiTheme="minorHAnsi" w:cstheme="minorHAnsi"/>
        </w:rPr>
        <w:t>Vyhláška č. 38/2022 Sb. o kontrole provozovaného systému vytápění a kombinovaného systému vytápění a větrání (provádí předpis 406/2000 Sb.)</w:t>
      </w:r>
    </w:p>
    <w:p w:rsidR="00C43FB9" w:rsidRPr="00E53D04" w:rsidRDefault="00C43FB9" w:rsidP="00C43FB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Theme="minorHAnsi" w:eastAsia="MS Mincho" w:hAnsiTheme="minorHAnsi" w:cstheme="minorHAnsi"/>
        </w:rPr>
      </w:pPr>
      <w:r w:rsidRPr="005707FD">
        <w:rPr>
          <w:rFonts w:asciiTheme="minorHAnsi" w:eastAsia="MS Mincho" w:hAnsiTheme="minorHAnsi" w:cstheme="minorHAnsi"/>
        </w:rPr>
        <w:t>Vyhláška č. 284/2022 Sb. o kontrole provozovaného systému klimatizace a kombinovaného systému klimatizace a větrání (provádí předpis 406/2000 Sb.)</w:t>
      </w:r>
    </w:p>
    <w:p w:rsidR="00C43FB9" w:rsidRPr="00E53D04" w:rsidRDefault="00C43FB9" w:rsidP="00C43FB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Theme="minorHAnsi" w:eastAsia="MS Mincho" w:hAnsiTheme="minorHAnsi" w:cstheme="minorHAnsi"/>
        </w:rPr>
      </w:pPr>
      <w:r w:rsidRPr="00E53D04">
        <w:rPr>
          <w:rFonts w:asciiTheme="minorHAnsi" w:eastAsia="MS Mincho" w:hAnsiTheme="minorHAnsi" w:cstheme="minorHAnsi"/>
        </w:rPr>
        <w:t xml:space="preserve">Nařízení vlády č. </w:t>
      </w:r>
      <w:bookmarkStart w:id="3" w:name="_Hlk121726290"/>
      <w:r w:rsidRPr="00443647">
        <w:rPr>
          <w:rFonts w:asciiTheme="minorHAnsi" w:eastAsia="MS Mincho" w:hAnsiTheme="minorHAnsi" w:cstheme="minorHAnsi"/>
        </w:rPr>
        <w:t>349/2022</w:t>
      </w:r>
      <w:bookmarkEnd w:id="3"/>
      <w:r w:rsidRPr="00E53D04">
        <w:rPr>
          <w:rFonts w:asciiTheme="minorHAnsi" w:eastAsia="MS Mincho" w:hAnsiTheme="minorHAnsi" w:cstheme="minorHAnsi"/>
        </w:rPr>
        <w:t>Sb. o státní energetické koncepci a o územní energetické koncepci (provádí předpis 406/2000 Sb.)</w:t>
      </w:r>
    </w:p>
    <w:p w:rsidR="00C43FB9" w:rsidRPr="005E30C6" w:rsidRDefault="00C43FB9" w:rsidP="00C43FB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Theme="minorHAnsi" w:eastAsia="MS Mincho" w:hAnsiTheme="minorHAnsi" w:cstheme="minorHAnsi"/>
        </w:rPr>
      </w:pPr>
      <w:r w:rsidRPr="005E30C6">
        <w:rPr>
          <w:rFonts w:asciiTheme="minorHAnsi" w:eastAsia="MS Mincho" w:hAnsiTheme="minorHAnsi" w:cstheme="minorHAnsi"/>
        </w:rPr>
        <w:t>Zákon č. 201/2012 Sb., o ochraně ovzduší (novelizace zákonem 87/2014 Sb., 369/2016 Sb., 172/2018 Sb.)</w:t>
      </w:r>
    </w:p>
    <w:p w:rsidR="00C43FB9" w:rsidRPr="005E30C6" w:rsidRDefault="00C43FB9" w:rsidP="00C43FB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Theme="minorHAnsi" w:eastAsia="MS Mincho" w:hAnsiTheme="minorHAnsi" w:cstheme="minorHAnsi"/>
        </w:rPr>
      </w:pPr>
      <w:r w:rsidRPr="005E30C6">
        <w:rPr>
          <w:rFonts w:asciiTheme="minorHAnsi" w:eastAsia="MS Mincho" w:hAnsiTheme="minorHAnsi" w:cstheme="minorHAnsi"/>
        </w:rPr>
        <w:t>Zákon č. 165/2012 Sb. o podporovaných zdrojích energie a o změně některých zákonů (novelizace zákonem 310/2013 Sb., 131/2015 Sb., 103/2017 Sb.)</w:t>
      </w:r>
    </w:p>
    <w:p w:rsidR="00C43FB9" w:rsidRPr="005E30C6" w:rsidRDefault="00C43FB9" w:rsidP="00C43FB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Theme="minorHAnsi" w:eastAsia="MS Mincho" w:hAnsiTheme="minorHAnsi" w:cstheme="minorHAnsi"/>
        </w:rPr>
      </w:pPr>
      <w:r w:rsidRPr="005E30C6">
        <w:rPr>
          <w:rFonts w:asciiTheme="minorHAnsi" w:eastAsia="MS Mincho" w:hAnsiTheme="minorHAnsi" w:cstheme="minorHAnsi"/>
        </w:rPr>
        <w:t>Zákon č. 505/1990 Sb. o metrologii (poslední novelizace zákonem č. 152/2021 Sb.)</w:t>
      </w:r>
    </w:p>
    <w:p w:rsidR="00C43FB9" w:rsidRPr="005E30C6" w:rsidRDefault="00C43FB9" w:rsidP="00C43FB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Theme="minorHAnsi" w:eastAsia="MS Mincho" w:hAnsiTheme="minorHAnsi" w:cstheme="minorHAnsi"/>
        </w:rPr>
      </w:pPr>
      <w:r w:rsidRPr="005E30C6">
        <w:rPr>
          <w:rFonts w:asciiTheme="minorHAnsi" w:eastAsia="MS Mincho" w:hAnsiTheme="minorHAnsi" w:cstheme="minorHAnsi"/>
        </w:rPr>
        <w:t>Zákon č. 458/2000 Sb. o podmínkách podnikání a o výkonu státní správy v energetických odvětvích a o změně některých zákonů (energetický zákon)</w:t>
      </w:r>
    </w:p>
    <w:p w:rsidR="00C43FB9" w:rsidRPr="005E30C6" w:rsidRDefault="00C43FB9" w:rsidP="00C43FB9">
      <w:pPr>
        <w:keepNext/>
        <w:keepLines/>
        <w:spacing w:after="0" w:line="240" w:lineRule="auto"/>
        <w:outlineLvl w:val="0"/>
        <w:rPr>
          <w:rFonts w:asciiTheme="minorHAnsi" w:eastAsia="Times New Roman" w:hAnsiTheme="minorHAnsi" w:cstheme="minorHAnsi"/>
          <w:b/>
          <w:bCs/>
          <w:color w:val="345A8A"/>
        </w:rPr>
      </w:pPr>
    </w:p>
    <w:p w:rsidR="00C43FB9" w:rsidRPr="005E30C6" w:rsidRDefault="00C43FB9" w:rsidP="00C43FB9">
      <w:pPr>
        <w:spacing w:after="0" w:line="240" w:lineRule="auto"/>
        <w:rPr>
          <w:rFonts w:asciiTheme="minorHAnsi" w:eastAsia="MS Mincho" w:hAnsiTheme="minorHAnsi" w:cstheme="minorHAnsi"/>
          <w:u w:val="single"/>
        </w:rPr>
      </w:pPr>
      <w:r w:rsidRPr="005E30C6">
        <w:rPr>
          <w:rFonts w:asciiTheme="minorHAnsi" w:eastAsia="MS Mincho" w:hAnsiTheme="minorHAnsi" w:cstheme="minorHAnsi"/>
          <w:u w:val="single"/>
        </w:rPr>
        <w:t>Přehled základních alternativních opatření – dotačních programů pro aktuální období:</w:t>
      </w:r>
    </w:p>
    <w:p w:rsidR="00C43FB9" w:rsidRDefault="00C43FB9" w:rsidP="00C43FB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eastAsia="MS Mincho" w:hAnsiTheme="minorHAnsi" w:cstheme="minorHAnsi"/>
          <w:b/>
        </w:rPr>
      </w:pPr>
      <w:r w:rsidRPr="005E30C6">
        <w:rPr>
          <w:rFonts w:asciiTheme="minorHAnsi" w:eastAsia="MS Mincho" w:hAnsiTheme="minorHAnsi" w:cstheme="minorHAnsi"/>
          <w:b/>
        </w:rPr>
        <w:t xml:space="preserve">Program EFEKT </w:t>
      </w:r>
      <w:r>
        <w:rPr>
          <w:rFonts w:asciiTheme="minorHAnsi" w:eastAsia="MS Mincho" w:hAnsiTheme="minorHAnsi" w:cstheme="minorHAnsi"/>
          <w:b/>
        </w:rPr>
        <w:t xml:space="preserve">III </w:t>
      </w:r>
      <w:r w:rsidRPr="005E30C6">
        <w:rPr>
          <w:rFonts w:asciiTheme="minorHAnsi" w:eastAsia="MS Mincho" w:hAnsiTheme="minorHAnsi" w:cstheme="minorHAnsi"/>
          <w:b/>
        </w:rPr>
        <w:t>(MPO)</w:t>
      </w:r>
      <w:r>
        <w:rPr>
          <w:rFonts w:asciiTheme="minorHAnsi" w:eastAsia="MS Mincho" w:hAnsiTheme="minorHAnsi" w:cstheme="minorHAnsi"/>
          <w:b/>
        </w:rPr>
        <w:t xml:space="preserve"> - </w:t>
      </w:r>
      <w:r w:rsidRPr="00283F4B">
        <w:rPr>
          <w:rFonts w:asciiTheme="minorHAnsi" w:eastAsia="MS Mincho" w:hAnsiTheme="minorHAnsi" w:cstheme="minorHAnsi"/>
          <w:b/>
        </w:rPr>
        <w:t>OSA 4 - Energetický management a koncepce</w:t>
      </w:r>
    </w:p>
    <w:p w:rsidR="00C43FB9" w:rsidRDefault="00C43FB9" w:rsidP="00C43FB9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Theme="minorHAnsi" w:eastAsia="MS Mincho" w:hAnsiTheme="minorHAnsi" w:cstheme="minorHAnsi"/>
          <w:bCs/>
        </w:rPr>
      </w:pPr>
      <w:r w:rsidRPr="00283F4B">
        <w:rPr>
          <w:rFonts w:asciiTheme="minorHAnsi" w:eastAsia="MS Mincho" w:hAnsiTheme="minorHAnsi" w:cstheme="minorHAnsi"/>
          <w:bCs/>
        </w:rPr>
        <w:t xml:space="preserve">Zavedení systému hospodaření </w:t>
      </w:r>
      <w:r>
        <w:rPr>
          <w:rFonts w:asciiTheme="minorHAnsi" w:eastAsia="MS Mincho" w:hAnsiTheme="minorHAnsi" w:cstheme="minorHAnsi"/>
          <w:bCs/>
        </w:rPr>
        <w:t> </w:t>
      </w:r>
      <w:r w:rsidRPr="00283F4B">
        <w:rPr>
          <w:rFonts w:asciiTheme="minorHAnsi" w:eastAsia="MS Mincho" w:hAnsiTheme="minorHAnsi" w:cstheme="minorHAnsi"/>
          <w:bCs/>
        </w:rPr>
        <w:t xml:space="preserve"> energií </w:t>
      </w:r>
      <w:r>
        <w:rPr>
          <w:rFonts w:asciiTheme="minorHAnsi" w:eastAsia="MS Mincho" w:hAnsiTheme="minorHAnsi" w:cstheme="minorHAnsi"/>
          <w:bCs/>
        </w:rPr>
        <w:t> </w:t>
      </w:r>
      <w:r w:rsidRPr="00283F4B">
        <w:rPr>
          <w:rFonts w:asciiTheme="minorHAnsi" w:eastAsia="MS Mincho" w:hAnsiTheme="minorHAnsi" w:cstheme="minorHAnsi"/>
          <w:bCs/>
        </w:rPr>
        <w:t xml:space="preserve"> podobě energetického managementu</w:t>
      </w:r>
    </w:p>
    <w:p w:rsidR="00C43FB9" w:rsidRPr="003A38B3" w:rsidRDefault="00C43FB9" w:rsidP="00C43FB9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Theme="minorHAnsi" w:eastAsia="MS Mincho" w:hAnsiTheme="minorHAnsi" w:cstheme="minorHAnsi"/>
          <w:bCs/>
        </w:rPr>
      </w:pPr>
      <w:r w:rsidRPr="00283F4B">
        <w:rPr>
          <w:rFonts w:asciiTheme="minorHAnsi" w:eastAsia="MS Mincho" w:hAnsiTheme="minorHAnsi" w:cstheme="minorHAnsi"/>
          <w:bCs/>
        </w:rPr>
        <w:lastRenderedPageBreak/>
        <w:t>Zpracování místní energetické koncepce</w:t>
      </w:r>
    </w:p>
    <w:p w:rsidR="00C43FB9" w:rsidRPr="005E30C6" w:rsidRDefault="00C43FB9" w:rsidP="00C43FB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eastAsia="MS Mincho" w:hAnsiTheme="minorHAnsi" w:cstheme="minorHAnsi"/>
          <w:bCs/>
        </w:rPr>
      </w:pPr>
      <w:r w:rsidRPr="005E30C6">
        <w:rPr>
          <w:rFonts w:asciiTheme="minorHAnsi" w:eastAsia="MS Mincho" w:hAnsiTheme="minorHAnsi" w:cstheme="minorHAnsi"/>
          <w:bCs/>
        </w:rPr>
        <w:t>Integrovaný regionální operační program 2021-2027 (MMR)</w:t>
      </w:r>
    </w:p>
    <w:p w:rsidR="00C43FB9" w:rsidRDefault="00C43FB9" w:rsidP="00C43FB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eastAsia="MS Mincho" w:hAnsiTheme="minorHAnsi" w:cstheme="minorHAnsi"/>
          <w:bCs/>
        </w:rPr>
      </w:pPr>
      <w:r w:rsidRPr="005E30C6">
        <w:rPr>
          <w:rFonts w:asciiTheme="minorHAnsi" w:eastAsia="MS Mincho" w:hAnsiTheme="minorHAnsi" w:cstheme="minorHAnsi"/>
          <w:bCs/>
        </w:rPr>
        <w:t>Operační program Životní prostředí 2021-2027 (MŽP)</w:t>
      </w:r>
      <w:r>
        <w:rPr>
          <w:rFonts w:asciiTheme="minorHAnsi" w:eastAsia="MS Mincho" w:hAnsiTheme="minorHAnsi" w:cstheme="minorHAnsi"/>
          <w:bCs/>
        </w:rPr>
        <w:t xml:space="preserve"> – specifický cíl </w:t>
      </w:r>
      <w:r w:rsidRPr="00283F4B">
        <w:rPr>
          <w:rFonts w:asciiTheme="minorHAnsi" w:eastAsia="MS Mincho" w:hAnsiTheme="minorHAnsi" w:cstheme="minorHAnsi"/>
          <w:bCs/>
        </w:rPr>
        <w:t>1.1 Energetické úspory</w:t>
      </w:r>
    </w:p>
    <w:p w:rsidR="00C43FB9" w:rsidRDefault="00C43FB9" w:rsidP="00C43FB9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Theme="minorHAnsi" w:eastAsia="MS Mincho" w:hAnsiTheme="minorHAnsi" w:cstheme="minorHAnsi"/>
          <w:bCs/>
        </w:rPr>
      </w:pPr>
      <w:r w:rsidRPr="004C30EF">
        <w:rPr>
          <w:rFonts w:asciiTheme="minorHAnsi" w:eastAsia="MS Mincho" w:hAnsiTheme="minorHAnsi" w:cstheme="minorHAnsi"/>
          <w:bCs/>
        </w:rPr>
        <w:t>1.1.1</w:t>
      </w:r>
      <w:r>
        <w:rPr>
          <w:rFonts w:asciiTheme="minorHAnsi" w:eastAsia="MS Mincho" w:hAnsiTheme="minorHAnsi" w:cstheme="minorHAnsi"/>
          <w:bCs/>
        </w:rPr>
        <w:t xml:space="preserve"> </w:t>
      </w:r>
      <w:r w:rsidRPr="004C30EF">
        <w:rPr>
          <w:rFonts w:asciiTheme="minorHAnsi" w:eastAsia="MS Mincho" w:hAnsiTheme="minorHAnsi" w:cstheme="minorHAnsi"/>
          <w:bCs/>
        </w:rPr>
        <w:t>Snížení energetické náročnosti veřejných budov a veřejné infrastruktury</w:t>
      </w:r>
    </w:p>
    <w:p w:rsidR="00C43FB9" w:rsidRDefault="00C43FB9" w:rsidP="00C43FB9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Theme="minorHAnsi" w:eastAsia="MS Mincho" w:hAnsiTheme="minorHAnsi" w:cstheme="minorHAnsi"/>
          <w:bCs/>
        </w:rPr>
      </w:pPr>
      <w:r w:rsidRPr="004C30EF">
        <w:rPr>
          <w:rFonts w:asciiTheme="minorHAnsi" w:eastAsia="MS Mincho" w:hAnsiTheme="minorHAnsi" w:cstheme="minorHAnsi"/>
          <w:bCs/>
        </w:rPr>
        <w:t>1.1.2 Snížení energetické náročnosti/zvýšení účinnosti technologických procesů</w:t>
      </w:r>
    </w:p>
    <w:p w:rsidR="00C43FB9" w:rsidRDefault="00C43FB9" w:rsidP="00C43FB9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Theme="minorHAnsi" w:eastAsia="MS Mincho" w:hAnsiTheme="minorHAnsi" w:cstheme="minorHAnsi"/>
          <w:bCs/>
        </w:rPr>
      </w:pPr>
      <w:r w:rsidRPr="004C30EF">
        <w:rPr>
          <w:rFonts w:asciiTheme="minorHAnsi" w:eastAsia="MS Mincho" w:hAnsiTheme="minorHAnsi" w:cstheme="minorHAnsi"/>
          <w:bCs/>
        </w:rPr>
        <w:t>1.1.3 Zlepšení kvality vnitřního prostředí veřejných budov</w:t>
      </w:r>
    </w:p>
    <w:p w:rsidR="00C43FB9" w:rsidRDefault="00C43FB9" w:rsidP="00C43FB9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Theme="minorHAnsi" w:eastAsia="MS Mincho" w:hAnsiTheme="minorHAnsi" w:cstheme="minorHAnsi"/>
          <w:bCs/>
        </w:rPr>
      </w:pPr>
      <w:r w:rsidRPr="004C30EF">
        <w:rPr>
          <w:rFonts w:asciiTheme="minorHAnsi" w:eastAsia="MS Mincho" w:hAnsiTheme="minorHAnsi" w:cstheme="minorHAnsi"/>
          <w:bCs/>
        </w:rPr>
        <w:t>1.1.4 Zvýšení adaptability veřejných budov na změnu klimatu</w:t>
      </w:r>
    </w:p>
    <w:p w:rsidR="00C43FB9" w:rsidRPr="005E30C6" w:rsidRDefault="00C43FB9" w:rsidP="00C43FB9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Theme="minorHAnsi" w:eastAsia="MS Mincho" w:hAnsiTheme="minorHAnsi" w:cstheme="minorHAnsi"/>
          <w:bCs/>
        </w:rPr>
      </w:pPr>
      <w:r w:rsidRPr="004C30EF">
        <w:rPr>
          <w:rFonts w:asciiTheme="minorHAnsi" w:eastAsia="MS Mincho" w:hAnsiTheme="minorHAnsi" w:cstheme="minorHAnsi"/>
          <w:bCs/>
        </w:rPr>
        <w:t>1.1.5 Výstavba nových veřejných budov, které budou splňovat parametry pro pasivní nebo plusové budovy</w:t>
      </w:r>
    </w:p>
    <w:p w:rsidR="00C43FB9" w:rsidRPr="005E30C6" w:rsidRDefault="00C43FB9" w:rsidP="00C43FB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eastAsia="MS Mincho" w:hAnsiTheme="minorHAnsi" w:cstheme="minorHAnsi"/>
          <w:bCs/>
        </w:rPr>
      </w:pPr>
      <w:r w:rsidRPr="005E30C6">
        <w:rPr>
          <w:rFonts w:asciiTheme="minorHAnsi" w:eastAsia="MS Mincho" w:hAnsiTheme="minorHAnsi" w:cstheme="minorHAnsi"/>
          <w:bCs/>
        </w:rPr>
        <w:t>Operační program Technologie a aplikace pro konkurenceschopnost 2021-2027 (MPO)</w:t>
      </w:r>
    </w:p>
    <w:p w:rsidR="00C43FB9" w:rsidRPr="005E30C6" w:rsidRDefault="00C43FB9" w:rsidP="00C43FB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eastAsia="MS Mincho" w:hAnsiTheme="minorHAnsi" w:cstheme="minorHAnsi"/>
          <w:bCs/>
        </w:rPr>
      </w:pPr>
      <w:r w:rsidRPr="005E30C6">
        <w:rPr>
          <w:rFonts w:asciiTheme="minorHAnsi" w:eastAsia="MS Mincho" w:hAnsiTheme="minorHAnsi" w:cstheme="minorHAnsi"/>
          <w:bCs/>
        </w:rPr>
        <w:t>Operační program Spravedlivé transformace 2021-2027 (MŽP)</w:t>
      </w:r>
    </w:p>
    <w:p w:rsidR="00C43FB9" w:rsidRPr="005E30C6" w:rsidRDefault="00C43FB9" w:rsidP="00C43FB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eastAsia="MS Mincho" w:hAnsiTheme="minorHAnsi" w:cstheme="minorHAnsi"/>
          <w:bCs/>
        </w:rPr>
      </w:pPr>
      <w:r w:rsidRPr="005E30C6">
        <w:rPr>
          <w:rFonts w:asciiTheme="minorHAnsi" w:eastAsia="MS Mincho" w:hAnsiTheme="minorHAnsi" w:cstheme="minorHAnsi"/>
          <w:bCs/>
        </w:rPr>
        <w:t>Operační program Doprava 2021-2027 (MD)</w:t>
      </w:r>
    </w:p>
    <w:p w:rsidR="00C43FB9" w:rsidRPr="005E30C6" w:rsidRDefault="00C43FB9" w:rsidP="00C43FB9">
      <w:pPr>
        <w:spacing w:after="0" w:line="240" w:lineRule="auto"/>
        <w:contextualSpacing/>
        <w:jc w:val="both"/>
        <w:rPr>
          <w:rFonts w:asciiTheme="minorHAnsi" w:eastAsia="MS Mincho" w:hAnsiTheme="minorHAnsi" w:cstheme="minorHAnsi"/>
          <w:b/>
        </w:rPr>
      </w:pPr>
    </w:p>
    <w:p w:rsidR="00C43FB9" w:rsidRDefault="00C43FB9" w:rsidP="00C43FB9">
      <w:pPr>
        <w:rPr>
          <w:rFonts w:asciiTheme="minorHAnsi" w:eastAsia="MS Mincho" w:hAnsiTheme="minorHAnsi" w:cstheme="minorHAnsi"/>
        </w:rPr>
      </w:pPr>
      <w:r w:rsidRPr="005E30C6">
        <w:rPr>
          <w:rFonts w:asciiTheme="minorHAnsi" w:eastAsia="MS Mincho" w:hAnsiTheme="minorHAnsi" w:cstheme="minorHAnsi"/>
        </w:rPr>
        <w:t>Zároveň upozorňujeme, že tento dokument neposkytuje přehled povinných kontrol, prohlídek, revizí a zkoušek technických zařízení instalovaných v budovách.</w:t>
      </w:r>
    </w:p>
    <w:p w:rsidR="00C43FB9" w:rsidRPr="005E30C6" w:rsidRDefault="00C43FB9" w:rsidP="00C43FB9">
      <w:pPr>
        <w:rPr>
          <w:rFonts w:asciiTheme="minorHAnsi" w:eastAsia="MS Mincho" w:hAnsiTheme="minorHAnsi" w:cstheme="minorHAnsi"/>
        </w:rPr>
      </w:pPr>
    </w:p>
    <w:p w:rsidR="00C43FB9" w:rsidRPr="00A17DDD" w:rsidRDefault="00C43FB9" w:rsidP="00C43FB9">
      <w:pPr>
        <w:pStyle w:val="Nadpis1"/>
      </w:pPr>
      <w:r w:rsidRPr="00A17DDD">
        <w:t xml:space="preserve">Vybrané </w:t>
      </w:r>
      <w:r w:rsidRPr="005E30C6">
        <w:t>legislativní</w:t>
      </w:r>
      <w:r w:rsidRPr="00A17DDD">
        <w:t xml:space="preserve"> povinnosti </w:t>
      </w:r>
    </w:p>
    <w:p w:rsidR="00C43FB9" w:rsidRPr="005E30C6" w:rsidRDefault="00C43FB9" w:rsidP="00C43FB9">
      <w:pPr>
        <w:shd w:val="clear" w:color="auto" w:fill="FFFFFF"/>
        <w:rPr>
          <w:rFonts w:asciiTheme="minorHAnsi" w:hAnsiTheme="minorHAnsi" w:cstheme="minorHAnsi"/>
          <w:u w:val="single"/>
        </w:rPr>
      </w:pPr>
      <w:r w:rsidRPr="005E30C6">
        <w:rPr>
          <w:rFonts w:asciiTheme="minorHAnsi" w:hAnsiTheme="minorHAnsi" w:cstheme="minorHAnsi"/>
          <w:u w:val="single"/>
        </w:rPr>
        <w:t xml:space="preserve">Přehled povinností na zpracování dokumentace a provádění činností dle zákona č.406/2000 Sb. o hospodaření energií a jeho prováděcích vyhlášek: </w:t>
      </w:r>
    </w:p>
    <w:tbl>
      <w:tblPr>
        <w:tblW w:w="4975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1"/>
        <w:gridCol w:w="2406"/>
        <w:gridCol w:w="4151"/>
        <w:gridCol w:w="2702"/>
        <w:gridCol w:w="3141"/>
      </w:tblGrid>
      <w:tr w:rsidR="00C43FB9" w:rsidRPr="00A17DDD" w:rsidTr="00032F33">
        <w:trPr>
          <w:trHeight w:val="30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Dokument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Povinnost vypracovat</w:t>
            </w: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Kdy se musí zpracovávat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Platnost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Zákon, vyhláška</w:t>
            </w:r>
          </w:p>
        </w:tc>
      </w:tr>
      <w:tr w:rsidR="00C43FB9" w:rsidRPr="00A17DDD" w:rsidTr="00032F33">
        <w:trPr>
          <w:trHeight w:val="300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Průkaz energetické náročnosti budovy</w:t>
            </w:r>
          </w:p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(PENB)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cs-CZ"/>
              </w:rPr>
              <w:t>Nové budovy</w:t>
            </w: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cs-CZ"/>
              </w:rPr>
              <w:t>při výstavbě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16"/>
                <w:szCs w:val="16"/>
              </w:rPr>
            </w:pPr>
            <w:r w:rsidRPr="00A17DDD">
              <w:rPr>
                <w:rFonts w:asciiTheme="minorHAnsi" w:eastAsia="MS Mincho" w:hAnsiTheme="minorHAnsi" w:cstheme="minorHAnsi"/>
                <w:sz w:val="16"/>
                <w:szCs w:val="16"/>
              </w:rPr>
              <w:t>10 let ode dne jeho vyhotovení nebo do provedení větší změny dokončené budovy, pro kterou byl zpracován, anebo do provedení změny způsobu vytápění, chlazení nebo přípravy teplé vody v dané budově</w:t>
            </w:r>
          </w:p>
        </w:tc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16"/>
                <w:szCs w:val="16"/>
              </w:rPr>
            </w:pPr>
            <w:r w:rsidRPr="00A17DDD">
              <w:rPr>
                <w:rFonts w:asciiTheme="minorHAnsi" w:eastAsia="MS Mincho" w:hAnsiTheme="minorHAnsi" w:cstheme="minorHAnsi"/>
                <w:sz w:val="16"/>
                <w:szCs w:val="16"/>
              </w:rPr>
              <w:t xml:space="preserve">§ </w:t>
            </w:r>
            <w:proofErr w:type="gramStart"/>
            <w:r w:rsidRPr="00A17DDD">
              <w:rPr>
                <w:rFonts w:asciiTheme="minorHAnsi" w:eastAsia="MS Mincho" w:hAnsiTheme="minorHAnsi" w:cstheme="minorHAnsi"/>
                <w:sz w:val="16"/>
                <w:szCs w:val="16"/>
              </w:rPr>
              <w:t>7a</w:t>
            </w:r>
            <w:proofErr w:type="gramEnd"/>
            <w:r w:rsidRPr="00A17DDD">
              <w:rPr>
                <w:rFonts w:asciiTheme="minorHAnsi" w:eastAsia="MS Mincho" w:hAnsiTheme="minorHAnsi" w:cstheme="minorHAnsi"/>
                <w:sz w:val="16"/>
                <w:szCs w:val="16"/>
              </w:rPr>
              <w:t xml:space="preserve"> </w:t>
            </w:r>
            <w:hyperlink r:id="rId8" w:history="1">
              <w:r w:rsidRPr="00A17DDD">
                <w:rPr>
                  <w:rFonts w:asciiTheme="minorHAnsi" w:eastAsia="MS Mincho" w:hAnsiTheme="minorHAnsi" w:cstheme="minorHAnsi"/>
                  <w:b/>
                  <w:bCs/>
                  <w:sz w:val="16"/>
                  <w:szCs w:val="16"/>
                </w:rPr>
                <w:t>zákona č. 406/2000 Sb.</w:t>
              </w:r>
              <w:r w:rsidRPr="00A17DDD">
                <w:rPr>
                  <w:rFonts w:asciiTheme="minorHAnsi" w:eastAsia="MS Mincho" w:hAnsiTheme="minorHAnsi" w:cstheme="minorHAnsi"/>
                  <w:b/>
                  <w:bCs/>
                  <w:sz w:val="16"/>
                  <w:szCs w:val="16"/>
                </w:rPr>
                <w:br/>
                <w:t>o hospodaření energií</w:t>
              </w:r>
            </w:hyperlink>
          </w:p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</w:pPr>
          </w:p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MS Mincho" w:hAnsiTheme="minorHAnsi" w:cstheme="minorHAnsi"/>
                <w:b/>
                <w:bCs/>
                <w:sz w:val="16"/>
                <w:szCs w:val="16"/>
              </w:rPr>
              <w:t xml:space="preserve">bližší informace dává </w:t>
            </w:r>
            <w:proofErr w:type="spellStart"/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vyhl</w:t>
            </w:r>
            <w:proofErr w:type="spellEnd"/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. </w:t>
            </w:r>
            <w:r w:rsidRPr="00A17DD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cs-CZ"/>
              </w:rPr>
              <w:t xml:space="preserve">č. 264/2020 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Sb. o energetické náročnosti budov</w:t>
            </w:r>
          </w:p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</w:pPr>
            <w:r w:rsidRPr="00A17DDD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cs-CZ"/>
              </w:rPr>
              <w:t xml:space="preserve">povinnost zpracovat PENB se nevztahuje na případy, jež zmiňuje § </w:t>
            </w:r>
            <w:proofErr w:type="gramStart"/>
            <w:r w:rsidRPr="00A17DDD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cs-CZ"/>
              </w:rPr>
              <w:t>7a</w:t>
            </w:r>
            <w:proofErr w:type="gramEnd"/>
            <w:r w:rsidRPr="00A17DDD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cs-CZ"/>
              </w:rPr>
              <w:t xml:space="preserve"> </w:t>
            </w:r>
            <w:hyperlink r:id="rId9" w:history="1">
              <w:r w:rsidRPr="00A17DDD">
                <w:rPr>
                  <w:rFonts w:asciiTheme="minorHAnsi" w:eastAsia="MS Mincho" w:hAnsiTheme="minorHAnsi" w:cstheme="minorHAnsi"/>
                  <w:b/>
                  <w:bCs/>
                  <w:sz w:val="16"/>
                  <w:szCs w:val="16"/>
                </w:rPr>
                <w:t>zákona č. 406/2000 Sb.</w:t>
              </w:r>
              <w:r w:rsidRPr="00A17DDD">
                <w:rPr>
                  <w:rFonts w:asciiTheme="minorHAnsi" w:eastAsia="MS Mincho" w:hAnsiTheme="minorHAnsi" w:cstheme="minorHAnsi"/>
                  <w:b/>
                  <w:bCs/>
                  <w:sz w:val="16"/>
                  <w:szCs w:val="16"/>
                </w:rPr>
                <w:br/>
                <w:t>o hospodaření energií</w:t>
              </w:r>
            </w:hyperlink>
            <w:r w:rsidRPr="00A17DDD">
              <w:rPr>
                <w:rFonts w:asciiTheme="minorHAnsi" w:eastAsia="MS Mincho" w:hAnsiTheme="minorHAnsi" w:cstheme="minorHAnsi"/>
                <w:b/>
                <w:bCs/>
                <w:sz w:val="16"/>
                <w:szCs w:val="16"/>
              </w:rPr>
              <w:t xml:space="preserve">, odst. 5 </w:t>
            </w:r>
          </w:p>
        </w:tc>
      </w:tr>
      <w:tr w:rsidR="00C43FB9" w:rsidRPr="00A17DDD" w:rsidTr="00032F33">
        <w:trPr>
          <w:trHeight w:val="619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cs-CZ"/>
              </w:rPr>
              <w:t>Větší změny dokončených budov</w:t>
            </w: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cs-CZ"/>
              </w:rPr>
              <w:t>při realizaci změny</w:t>
            </w:r>
          </w:p>
        </w:tc>
        <w:tc>
          <w:tcPr>
            <w:tcW w:w="960" w:type="pct"/>
            <w:vMerge/>
            <w:tcBorders>
              <w:left w:val="nil"/>
              <w:right w:val="single" w:sz="4" w:space="0" w:color="auto"/>
            </w:tcBorders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C43FB9" w:rsidRPr="00A17DDD" w:rsidTr="00032F33">
        <w:trPr>
          <w:trHeight w:val="557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cs-CZ"/>
              </w:rPr>
              <w:t>Budovy užívané orgánem veřejné moci</w:t>
            </w: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cs-CZ"/>
              </w:rPr>
              <w:t xml:space="preserve">od </w:t>
            </w:r>
            <w:r w:rsidRPr="00A17DDD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cs-CZ"/>
              </w:rPr>
              <w:t xml:space="preserve">1.7.2013 </w:t>
            </w:r>
            <w:r w:rsidRPr="00A17DDD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cs-CZ"/>
              </w:rPr>
              <w:t xml:space="preserve">pro všechny budovy s celkovou energeticky vztažnou plochou </w:t>
            </w:r>
            <w:r w:rsidRPr="00A17DDD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cs-CZ"/>
              </w:rPr>
              <w:t>větší než 500 m²</w:t>
            </w:r>
          </w:p>
        </w:tc>
        <w:tc>
          <w:tcPr>
            <w:tcW w:w="960" w:type="pct"/>
            <w:vMerge/>
            <w:tcBorders>
              <w:left w:val="nil"/>
              <w:right w:val="single" w:sz="4" w:space="0" w:color="auto"/>
            </w:tcBorders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C43FB9" w:rsidRPr="00A17DDD" w:rsidTr="00032F33">
        <w:trPr>
          <w:trHeight w:val="889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cs-CZ"/>
              </w:rPr>
              <w:t xml:space="preserve">od </w:t>
            </w:r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1.7.2015</w:t>
            </w:r>
            <w:r w:rsidRPr="00A17DDD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cs-CZ"/>
              </w:rPr>
              <w:t xml:space="preserve"> i pro všechny budovy s celkovou energeticky vztažnou plochou </w:t>
            </w:r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větší než 250 m²</w:t>
            </w:r>
          </w:p>
        </w:tc>
        <w:tc>
          <w:tcPr>
            <w:tcW w:w="9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C43FB9" w:rsidRDefault="00C43FB9" w:rsidP="00C43FB9"/>
    <w:p w:rsidR="00C43FB9" w:rsidRDefault="00C43FB9" w:rsidP="00C43FB9"/>
    <w:tbl>
      <w:tblPr>
        <w:tblW w:w="4975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1"/>
        <w:gridCol w:w="2406"/>
        <w:gridCol w:w="4151"/>
        <w:gridCol w:w="2702"/>
        <w:gridCol w:w="3141"/>
      </w:tblGrid>
      <w:tr w:rsidR="00C43FB9" w:rsidRPr="00A17DDD" w:rsidTr="00032F33">
        <w:trPr>
          <w:trHeight w:val="735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Energetický audit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cs-CZ"/>
              </w:rPr>
              <w:t>Česká republika, kraj, obec, jejich příspěvkové organizace, státní organizace založená zákonem, státní a veřejná vysoká škola a ČNB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cs-CZ"/>
              </w:rPr>
              <w:t xml:space="preserve"> </w:t>
            </w:r>
            <w:r w:rsidRPr="00DD7F96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cs-CZ"/>
              </w:rPr>
              <w:t xml:space="preserve">pro jimi </w:t>
            </w:r>
            <w:r w:rsidRPr="00DD7F9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cs-CZ"/>
              </w:rPr>
              <w:t>vlastněné</w:t>
            </w:r>
            <w:r w:rsidRPr="00DD7F96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cs-CZ"/>
              </w:rPr>
              <w:t xml:space="preserve"> energetické hospodářství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47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Za poslední 2 po sobě jdoucí kalendářní roky je hodnota průměrné roční spotřeby energie vlastněného energetického hospodářství vyšší než </w:t>
            </w:r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500 </w:t>
            </w:r>
            <w:proofErr w:type="spellStart"/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MWh</w:t>
            </w:r>
            <w:proofErr w:type="spellEnd"/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. Musí být proveden </w:t>
            </w:r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do 1 roku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 od vzniku povinnosti. </w:t>
            </w:r>
          </w:p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Za poslední 2 po sobě jdoucí kalendářní roky je hodnota průměrné roční spotřeby energie vlastněného energetického hospodářství vyšší než </w:t>
            </w:r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35000 </w:t>
            </w:r>
            <w:proofErr w:type="spellStart"/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MWh</w:t>
            </w:r>
            <w:proofErr w:type="spellEnd"/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. 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Musí být proveden</w:t>
            </w:r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 do 3 let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 od vzniku povinnosti.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10 let nebo do provedení změny energetického hospodářství, po které došlo za 2 po sobě jdoucí roky ke změně o více než 25 % při nakládání s energií energetického hospodářství ročně oproti stavu z platného energetického auditu.</w:t>
            </w:r>
          </w:p>
        </w:tc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16"/>
                <w:szCs w:val="16"/>
              </w:rPr>
            </w:pPr>
            <w:r w:rsidRPr="00A17DDD">
              <w:rPr>
                <w:rFonts w:asciiTheme="minorHAnsi" w:eastAsia="MS Mincho" w:hAnsiTheme="minorHAnsi" w:cstheme="minorHAnsi"/>
                <w:sz w:val="16"/>
                <w:szCs w:val="16"/>
              </w:rPr>
              <w:t xml:space="preserve">§ 9 </w:t>
            </w:r>
            <w:hyperlink r:id="rId10" w:history="1">
              <w:r w:rsidRPr="00A17DDD">
                <w:rPr>
                  <w:rFonts w:asciiTheme="minorHAnsi" w:eastAsia="MS Mincho" w:hAnsiTheme="minorHAnsi" w:cstheme="minorHAnsi"/>
                  <w:b/>
                  <w:bCs/>
                  <w:sz w:val="16"/>
                  <w:szCs w:val="16"/>
                </w:rPr>
                <w:t>zákona č. 406/2000 Sb.</w:t>
              </w:r>
              <w:r w:rsidRPr="00A17DDD">
                <w:rPr>
                  <w:rFonts w:asciiTheme="minorHAnsi" w:eastAsia="MS Mincho" w:hAnsiTheme="minorHAnsi" w:cstheme="minorHAnsi"/>
                  <w:b/>
                  <w:bCs/>
                  <w:sz w:val="16"/>
                  <w:szCs w:val="16"/>
                </w:rPr>
                <w:br/>
                <w:t>o hospodaření energií</w:t>
              </w:r>
            </w:hyperlink>
          </w:p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</w:pPr>
          </w:p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t>bližší informace dává</w:t>
            </w:r>
            <w:r w:rsidRPr="00A17DDD">
              <w:rPr>
                <w:rFonts w:asciiTheme="minorHAnsi" w:eastAsia="MS Mincho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17DDD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cs-CZ"/>
              </w:rPr>
              <w:t>vyhl</w:t>
            </w:r>
            <w:proofErr w:type="spellEnd"/>
            <w:r w:rsidRPr="00A17DDD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cs-CZ"/>
              </w:rPr>
              <w:t xml:space="preserve">. č. 140/2021 Sb. o </w:t>
            </w:r>
            <w:proofErr w:type="spellStart"/>
            <w:r w:rsidRPr="00A17DDD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cs-CZ"/>
              </w:rPr>
              <w:t>energ</w:t>
            </w:r>
            <w:proofErr w:type="spellEnd"/>
            <w:r w:rsidRPr="00A17DDD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cs-CZ"/>
              </w:rPr>
              <w:t xml:space="preserve">. auditu </w:t>
            </w:r>
          </w:p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cs-CZ"/>
              </w:rPr>
            </w:pPr>
          </w:p>
          <w:p w:rsidR="00C43FB9" w:rsidRDefault="00C43FB9" w:rsidP="00032F33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bCs/>
                <w:sz w:val="16"/>
                <w:szCs w:val="16"/>
              </w:rPr>
            </w:pPr>
            <w:r w:rsidRPr="00A17DDD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cs-CZ"/>
              </w:rPr>
              <w:t xml:space="preserve">zpracovat EA není třeba v případech uvedených v § 9 </w:t>
            </w:r>
            <w:hyperlink r:id="rId11" w:history="1">
              <w:r w:rsidRPr="00A17DDD">
                <w:rPr>
                  <w:rFonts w:asciiTheme="minorHAnsi" w:eastAsia="MS Mincho" w:hAnsiTheme="minorHAnsi" w:cstheme="minorHAnsi"/>
                  <w:b/>
                  <w:bCs/>
                  <w:sz w:val="16"/>
                  <w:szCs w:val="16"/>
                </w:rPr>
                <w:t>zákona č. 406/2000 Sb.</w:t>
              </w:r>
              <w:r w:rsidRPr="00A17DDD">
                <w:rPr>
                  <w:rFonts w:asciiTheme="minorHAnsi" w:eastAsia="MS Mincho" w:hAnsiTheme="minorHAnsi" w:cstheme="minorHAnsi"/>
                  <w:b/>
                  <w:bCs/>
                  <w:sz w:val="16"/>
                  <w:szCs w:val="16"/>
                </w:rPr>
                <w:br/>
                <w:t>o hospodaření energií</w:t>
              </w:r>
            </w:hyperlink>
            <w:r w:rsidRPr="00A17DDD">
              <w:rPr>
                <w:rFonts w:asciiTheme="minorHAnsi" w:eastAsia="MS Mincho" w:hAnsiTheme="minorHAnsi" w:cstheme="minorHAnsi"/>
                <w:b/>
                <w:bCs/>
                <w:sz w:val="16"/>
                <w:szCs w:val="16"/>
              </w:rPr>
              <w:t>, odst. 5</w:t>
            </w:r>
          </w:p>
          <w:p w:rsidR="00C43FB9" w:rsidRPr="008D58EF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cs-CZ"/>
              </w:rPr>
            </w:pPr>
            <w:r w:rsidRPr="008D58EF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cs-CZ"/>
              </w:rPr>
              <w:t>(zavedený a akreditovanou osobou certifikovaný systém hospodaření s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Pr="008D58EF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cs-CZ"/>
              </w:rPr>
              <w:t>energií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cs-CZ"/>
              </w:rPr>
              <w:t xml:space="preserve"> ISO 50001</w:t>
            </w:r>
            <w:r w:rsidRPr="008D58EF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cs-CZ"/>
              </w:rPr>
              <w:t>)</w:t>
            </w:r>
          </w:p>
        </w:tc>
      </w:tr>
      <w:tr w:rsidR="00C43FB9" w:rsidRPr="00A17DDD" w:rsidTr="00032F33">
        <w:trPr>
          <w:trHeight w:val="1740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FB9" w:rsidRPr="00A17DDD" w:rsidRDefault="00C43FB9" w:rsidP="00032F3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Fyzické osoby, právnické osoby </w:t>
            </w: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FB9" w:rsidRPr="00FE0DD5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Podnikatel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 (</w:t>
            </w:r>
            <w:r w:rsidRPr="00321A4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za poslední 2 po sobě jdoucí kalendářní roky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 zaměstnávající 250 a více osob nebo vykazuje roční obrat vyšší než 1,3 mld. Kč nebo roční bilanční sumu rozvahy vyšší než 1,1 mld. Kč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na </w:t>
            </w:r>
            <w:r w:rsidRPr="00321A4F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užívané nebo vlastněné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FE0DD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energetické hospodářství.</w:t>
            </w:r>
          </w:p>
          <w:p w:rsidR="00C43FB9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Nevztahuje se na podnikatele, jehož energetické hospodářství má spotřebu nižší než 200 </w:t>
            </w:r>
            <w:proofErr w:type="spellStart"/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MWh</w:t>
            </w:r>
            <w:proofErr w:type="spellEnd"/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 ročně.</w:t>
            </w:r>
          </w:p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Musí být proveden </w:t>
            </w:r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do 1 roku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 od vzniku povinnosti.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4 roky</w:t>
            </w: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16"/>
                <w:szCs w:val="16"/>
              </w:rPr>
            </w:pPr>
          </w:p>
        </w:tc>
      </w:tr>
      <w:tr w:rsidR="00C43FB9" w:rsidRPr="00A17DDD" w:rsidTr="00032F33">
        <w:trPr>
          <w:trHeight w:val="691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FB9" w:rsidRPr="00A17DDD" w:rsidRDefault="00C43FB9" w:rsidP="00032F3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FB9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Podnikatele, jehož hodnota průměrného ročního nakládání s energií za poslední 2 po sobě jdoucí kalendářní roky je vyšší než 5000 </w:t>
            </w:r>
            <w:proofErr w:type="spellStart"/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MWh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 na </w:t>
            </w:r>
            <w:r w:rsidRPr="00FE0DD5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užívané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 energetické hospodářství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.</w:t>
            </w:r>
          </w:p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Musí být proveden </w:t>
            </w:r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do 1 roku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 od vzniku povinnosti.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10 let</w:t>
            </w:r>
          </w:p>
        </w:tc>
        <w:tc>
          <w:tcPr>
            <w:tcW w:w="1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16"/>
                <w:szCs w:val="16"/>
              </w:rPr>
            </w:pPr>
          </w:p>
        </w:tc>
      </w:tr>
      <w:tr w:rsidR="00C43FB9" w:rsidRPr="00A17DDD" w:rsidTr="00032F33">
        <w:trPr>
          <w:trHeight w:val="390"/>
        </w:trPr>
        <w:tc>
          <w:tcPr>
            <w:tcW w:w="59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FB9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</w:t>
            </w:r>
            <w:r w:rsidRPr="00A96A79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ontrol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a</w:t>
            </w:r>
            <w:r w:rsidRPr="00A96A79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 provozovaného systému vytápění a kombinovaného systému vytápění a větrání</w:t>
            </w:r>
          </w:p>
        </w:tc>
        <w:tc>
          <w:tcPr>
            <w:tcW w:w="85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43FB9" w:rsidRPr="006D520A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D52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kontrola se nemusí provádět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FB9" w:rsidRPr="006D520A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D52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Řízení automatizačním a řídicím systém budovy</w:t>
            </w:r>
          </w:p>
          <w:p w:rsidR="00C43FB9" w:rsidRPr="006D520A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D52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- viz § 9 vyhlášky.</w:t>
            </w:r>
          </w:p>
          <w:p w:rsidR="00C43FB9" w:rsidRPr="006D520A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D52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Provozu na základě smlouvy o energetických službách</w:t>
            </w:r>
          </w:p>
          <w:p w:rsidR="00C43FB9" w:rsidRPr="006D520A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D52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- viz § 10e zákona.</w:t>
            </w:r>
          </w:p>
          <w:p w:rsidR="00C43FB9" w:rsidRPr="006D520A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D52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 budovách uvedených v § 7 odst. 5 písm. g) až j) zákona.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FB9" w:rsidRPr="006D520A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3FB9" w:rsidRPr="000C268F" w:rsidRDefault="00C43FB9" w:rsidP="00032F33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16"/>
                <w:szCs w:val="16"/>
              </w:rPr>
            </w:pPr>
            <w:r w:rsidRPr="000C268F">
              <w:rPr>
                <w:rFonts w:asciiTheme="minorHAnsi" w:eastAsia="MS Mincho" w:hAnsiTheme="minorHAnsi" w:cstheme="minorHAnsi"/>
                <w:sz w:val="16"/>
                <w:szCs w:val="16"/>
              </w:rPr>
              <w:t xml:space="preserve">§ </w:t>
            </w:r>
            <w:proofErr w:type="gramStart"/>
            <w:r w:rsidRPr="000C268F">
              <w:rPr>
                <w:rFonts w:asciiTheme="minorHAnsi" w:eastAsia="MS Mincho" w:hAnsiTheme="minorHAnsi" w:cstheme="minorHAnsi"/>
                <w:sz w:val="16"/>
                <w:szCs w:val="16"/>
              </w:rPr>
              <w:t>6a</w:t>
            </w:r>
            <w:proofErr w:type="gramEnd"/>
            <w:r w:rsidRPr="000C268F">
              <w:rPr>
                <w:rFonts w:asciiTheme="minorHAnsi" w:eastAsia="MS Mincho" w:hAnsiTheme="minorHAnsi" w:cstheme="minorHAnsi"/>
                <w:sz w:val="16"/>
                <w:szCs w:val="16"/>
              </w:rPr>
              <w:t xml:space="preserve"> </w:t>
            </w:r>
            <w:hyperlink r:id="rId12" w:history="1">
              <w:r w:rsidRPr="000C268F">
                <w:rPr>
                  <w:rFonts w:asciiTheme="minorHAnsi" w:eastAsia="MS Mincho" w:hAnsiTheme="minorHAnsi" w:cstheme="minorHAnsi"/>
                  <w:b/>
                  <w:bCs/>
                  <w:sz w:val="16"/>
                  <w:szCs w:val="16"/>
                </w:rPr>
                <w:t>zákona č. 406/2000 Sb.</w:t>
              </w:r>
              <w:r w:rsidRPr="000C268F">
                <w:rPr>
                  <w:rFonts w:asciiTheme="minorHAnsi" w:eastAsia="MS Mincho" w:hAnsiTheme="minorHAnsi" w:cstheme="minorHAnsi"/>
                  <w:b/>
                  <w:bCs/>
                  <w:sz w:val="16"/>
                  <w:szCs w:val="16"/>
                </w:rPr>
                <w:br/>
                <w:t>o hospodaření energií</w:t>
              </w:r>
            </w:hyperlink>
            <w:r w:rsidRPr="000C268F">
              <w:rPr>
                <w:rFonts w:asciiTheme="minorHAnsi" w:eastAsia="MS Mincho" w:hAnsiTheme="minorHAnsi" w:cstheme="minorHAnsi"/>
                <w:b/>
                <w:bCs/>
                <w:sz w:val="16"/>
                <w:szCs w:val="16"/>
              </w:rPr>
              <w:t xml:space="preserve">, odst. </w:t>
            </w:r>
            <w:r>
              <w:rPr>
                <w:rFonts w:asciiTheme="minorHAnsi" w:eastAsia="MS Mincho" w:hAnsiTheme="minorHAnsi" w:cstheme="minorHAnsi"/>
                <w:b/>
                <w:bCs/>
                <w:sz w:val="16"/>
                <w:szCs w:val="16"/>
              </w:rPr>
              <w:t>6</w:t>
            </w:r>
          </w:p>
          <w:p w:rsidR="00C43FB9" w:rsidRPr="004C095B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red"/>
                <w:lang w:eastAsia="cs-CZ"/>
              </w:rPr>
            </w:pPr>
          </w:p>
          <w:p w:rsidR="00C43FB9" w:rsidRPr="000C268F" w:rsidRDefault="00C43FB9" w:rsidP="00032F33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16"/>
                <w:szCs w:val="16"/>
              </w:rPr>
            </w:pPr>
            <w:proofErr w:type="spellStart"/>
            <w:r w:rsidRPr="00E53D0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vyhl</w:t>
            </w:r>
            <w:proofErr w:type="spellEnd"/>
            <w:r w:rsidRPr="00E53D0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. č. 38/2022 Sb.</w:t>
            </w:r>
          </w:p>
        </w:tc>
      </w:tr>
      <w:tr w:rsidR="00C43FB9" w:rsidRPr="00A17DDD" w:rsidTr="00032F33">
        <w:trPr>
          <w:trHeight w:val="390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FB9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5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43FB9" w:rsidRPr="006D520A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FB9" w:rsidRPr="00D23AA0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23AA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 případě kombinovaného systému vytápění a větrání se kontrola vztahuje také na systém nuceného větrání, pokud je jeho součástí ohřev vzduchu. Kontrola systému nuceného větrání se neprovádí, pokud tato kontrola byla v budově provedena již v rámci kontroly systému klimatizace a kombinovaných systémů klimatizace a větrání.</w:t>
            </w:r>
          </w:p>
          <w:p w:rsidR="00C43FB9" w:rsidRPr="006D520A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23AA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§ 4 odst. 1 vyhlášky</w:t>
            </w:r>
          </w:p>
        </w:tc>
        <w:tc>
          <w:tcPr>
            <w:tcW w:w="96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FB9" w:rsidRPr="006D520A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3FB9" w:rsidRPr="004C095B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red"/>
                <w:lang w:eastAsia="cs-CZ"/>
              </w:rPr>
            </w:pPr>
          </w:p>
        </w:tc>
      </w:tr>
      <w:tr w:rsidR="00C43FB9" w:rsidRPr="00A17DDD" w:rsidTr="00032F33">
        <w:trPr>
          <w:trHeight w:val="390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FB9" w:rsidRPr="006D520A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FB9" w:rsidRPr="006D520A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D52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jmenovitý výkon menší jak 70 kW</w:t>
            </w:r>
          </w:p>
        </w:tc>
        <w:tc>
          <w:tcPr>
            <w:tcW w:w="9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FB9" w:rsidRPr="006D520A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FB9" w:rsidRPr="004C095B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red"/>
                <w:lang w:eastAsia="cs-CZ"/>
              </w:rPr>
            </w:pPr>
          </w:p>
        </w:tc>
      </w:tr>
      <w:tr w:rsidR="00C43FB9" w:rsidRPr="00A17DDD" w:rsidTr="00032F33">
        <w:trPr>
          <w:trHeight w:val="390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FB9" w:rsidRPr="006D520A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D52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jmenovitý výkon nad 70 kW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FB9" w:rsidRPr="006D520A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D52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U systému nově uvedeného do provozu – do 3 let</w:t>
            </w:r>
          </w:p>
          <w:p w:rsidR="00C43FB9" w:rsidRPr="006D520A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D52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U již provozovaného systému – 1 x za 5 let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FB9" w:rsidRPr="006D520A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 let</w:t>
            </w:r>
          </w:p>
        </w:tc>
        <w:tc>
          <w:tcPr>
            <w:tcW w:w="1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B9" w:rsidRPr="004C095B" w:rsidRDefault="00C43FB9" w:rsidP="00032F3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red"/>
                <w:lang w:eastAsia="cs-CZ"/>
              </w:rPr>
            </w:pPr>
          </w:p>
        </w:tc>
      </w:tr>
      <w:tr w:rsidR="00C43FB9" w:rsidRPr="00A17DDD" w:rsidTr="00032F33">
        <w:trPr>
          <w:trHeight w:val="600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FB9" w:rsidRPr="006D520A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D52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spalovací stacionární zdroj na pevná paliva o jmenovitém tepelném příkonu od 10 do 300 kW včetně,</w:t>
            </w:r>
            <w:r w:rsidRPr="006D520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D52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který slouží jako zdroj tepla pro teplovodní soustavu ústředního vytápění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FB9" w:rsidRPr="006D520A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D52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provedení první kontroly technického stavu a provozu zdroje podle § 17 odst. 1 písm. h) nejpozději do 31. prosince 2016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B9" w:rsidRPr="006D520A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K</w:t>
            </w:r>
            <w:r w:rsidRPr="006D52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ontrolu technického stavu a provozu takového zdroje provádět jednou za tři kalendářní roky prostřednictvím osoby, která byla proškolena výrobcem a má od </w:t>
            </w:r>
            <w:proofErr w:type="gramStart"/>
            <w:r w:rsidRPr="006D52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něj  (</w:t>
            </w:r>
            <w:proofErr w:type="gramEnd"/>
            <w:r w:rsidRPr="006D52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udělené oprávnění k jeho instalaci, provozu a údržbě (§ 17 odst. </w:t>
            </w:r>
            <w:r w:rsidRPr="006D52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lastRenderedPageBreak/>
              <w:t>1 písm. h)</w:t>
            </w:r>
          </w:p>
        </w:tc>
        <w:tc>
          <w:tcPr>
            <w:tcW w:w="1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lastRenderedPageBreak/>
              <w:t>zákon č. 201/2012 Sb., § 41 odst. 15</w:t>
            </w:r>
          </w:p>
        </w:tc>
      </w:tr>
      <w:tr w:rsidR="00C43FB9" w:rsidRPr="00A17DDD" w:rsidTr="00032F33">
        <w:trPr>
          <w:trHeight w:val="390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FB9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bookmarkStart w:id="4" w:name="_Hlk113876338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Kontrola </w:t>
            </w:r>
            <w:r w:rsidRPr="006A31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systému klimatizace nebo kombinovaného systému klimatizace a větrání</w:t>
            </w:r>
            <w:bookmarkEnd w:id="4"/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B3B6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kontrola se nemusí provádět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FB9" w:rsidRPr="0020514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0514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Řízení automatizačním a řídicím systém budovy</w:t>
            </w:r>
          </w:p>
          <w:p w:rsidR="00C43FB9" w:rsidRPr="0020514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0514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- viz § 9 vyhlášky.</w:t>
            </w:r>
          </w:p>
          <w:p w:rsidR="00C43FB9" w:rsidRPr="0020514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0514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Provozu na základě smlouvy o energetických službách</w:t>
            </w:r>
          </w:p>
          <w:p w:rsidR="00C43FB9" w:rsidRPr="0020514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0514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- viz § 10e </w:t>
            </w:r>
            <w:r w:rsidRPr="006D52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zákona</w:t>
            </w:r>
            <w:r w:rsidRPr="0020514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.</w:t>
            </w:r>
          </w:p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0514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V budovách uvedených v § 7 odst. 5 písm. g) až j) </w:t>
            </w:r>
            <w:r w:rsidRPr="006D52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zákona</w:t>
            </w:r>
            <w:r w:rsidRPr="0020514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16"/>
                <w:szCs w:val="16"/>
              </w:rPr>
            </w:pPr>
            <w:r w:rsidRPr="00A17DDD">
              <w:rPr>
                <w:rFonts w:asciiTheme="minorHAnsi" w:eastAsia="MS Mincho" w:hAnsiTheme="minorHAnsi" w:cstheme="minorHAnsi"/>
                <w:sz w:val="16"/>
                <w:szCs w:val="16"/>
              </w:rPr>
              <w:t xml:space="preserve">§ </w:t>
            </w:r>
            <w:proofErr w:type="gramStart"/>
            <w:r w:rsidRPr="00A17DDD">
              <w:rPr>
                <w:rFonts w:asciiTheme="minorHAnsi" w:eastAsia="MS Mincho" w:hAnsiTheme="minorHAnsi" w:cstheme="minorHAnsi"/>
                <w:sz w:val="16"/>
                <w:szCs w:val="16"/>
              </w:rPr>
              <w:t>6a</w:t>
            </w:r>
            <w:proofErr w:type="gramEnd"/>
            <w:r w:rsidRPr="00A17DDD">
              <w:rPr>
                <w:rFonts w:asciiTheme="minorHAnsi" w:eastAsia="MS Mincho" w:hAnsiTheme="minorHAnsi" w:cstheme="minorHAnsi"/>
                <w:sz w:val="16"/>
                <w:szCs w:val="16"/>
              </w:rPr>
              <w:t xml:space="preserve"> </w:t>
            </w:r>
            <w:hyperlink r:id="rId13" w:history="1">
              <w:r w:rsidRPr="00A17DDD">
                <w:rPr>
                  <w:rFonts w:asciiTheme="minorHAnsi" w:eastAsia="MS Mincho" w:hAnsiTheme="minorHAnsi" w:cstheme="minorHAnsi"/>
                  <w:b/>
                  <w:bCs/>
                  <w:sz w:val="16"/>
                  <w:szCs w:val="16"/>
                </w:rPr>
                <w:t>zákona č. 406/2000 Sb.</w:t>
              </w:r>
              <w:r w:rsidRPr="00A17DDD">
                <w:rPr>
                  <w:rFonts w:asciiTheme="minorHAnsi" w:eastAsia="MS Mincho" w:hAnsiTheme="minorHAnsi" w:cstheme="minorHAnsi"/>
                  <w:b/>
                  <w:bCs/>
                  <w:sz w:val="16"/>
                  <w:szCs w:val="16"/>
                </w:rPr>
                <w:br/>
                <w:t>o hospodaření energií</w:t>
              </w:r>
            </w:hyperlink>
            <w:r w:rsidRPr="00A17DDD">
              <w:rPr>
                <w:rFonts w:asciiTheme="minorHAnsi" w:eastAsia="MS Mincho" w:hAnsiTheme="minorHAnsi" w:cstheme="minorHAnsi"/>
                <w:b/>
                <w:bCs/>
                <w:sz w:val="16"/>
                <w:szCs w:val="16"/>
              </w:rPr>
              <w:t xml:space="preserve">, odst. </w:t>
            </w:r>
            <w:r>
              <w:rPr>
                <w:rFonts w:asciiTheme="minorHAnsi" w:eastAsia="MS Mincho" w:hAnsiTheme="minorHAnsi" w:cstheme="minorHAnsi"/>
                <w:b/>
                <w:bCs/>
                <w:sz w:val="16"/>
                <w:szCs w:val="16"/>
              </w:rPr>
              <w:t>6</w:t>
            </w:r>
          </w:p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</w:p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16"/>
                <w:szCs w:val="16"/>
              </w:rPr>
            </w:pPr>
            <w:proofErr w:type="spellStart"/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vyhl</w:t>
            </w:r>
            <w:proofErr w:type="spellEnd"/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. č.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284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/20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22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 Sb.</w:t>
            </w:r>
          </w:p>
        </w:tc>
      </w:tr>
      <w:tr w:rsidR="00C43FB9" w:rsidRPr="00A17DDD" w:rsidTr="00032F33">
        <w:trPr>
          <w:trHeight w:val="390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FB9" w:rsidRPr="00D23AA0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FB9" w:rsidRPr="00D23AA0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23AA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jmenovitý výkon menší než 70 kW</w:t>
            </w:r>
          </w:p>
        </w:tc>
        <w:tc>
          <w:tcPr>
            <w:tcW w:w="9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C43FB9" w:rsidRPr="00A17DDD" w:rsidTr="00032F33">
        <w:trPr>
          <w:trHeight w:val="360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FB9" w:rsidRPr="00D23AA0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23AA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jmenovitý výkon nad 70 kW</w:t>
            </w: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FB9" w:rsidRPr="00D23AA0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23AA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U systému nově uvedeného do provozu – do 3 let</w:t>
            </w:r>
          </w:p>
          <w:p w:rsidR="00C43FB9" w:rsidRPr="00D23AA0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23AA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U již provozovaného systému – 1 x za 5 let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 let</w:t>
            </w:r>
          </w:p>
        </w:tc>
        <w:tc>
          <w:tcPr>
            <w:tcW w:w="1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B9" w:rsidRPr="00A17DDD" w:rsidRDefault="00C43FB9" w:rsidP="00032F3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C43FB9" w:rsidRPr="00A17DDD" w:rsidRDefault="00C43FB9" w:rsidP="00C43FB9">
      <w:pPr>
        <w:shd w:val="clear" w:color="auto" w:fill="FFFFFF"/>
        <w:spacing w:after="0" w:line="240" w:lineRule="auto"/>
        <w:rPr>
          <w:rFonts w:asciiTheme="minorHAnsi" w:eastAsia="MS Mincho" w:hAnsiTheme="minorHAnsi" w:cstheme="minorHAnsi"/>
          <w:sz w:val="16"/>
          <w:szCs w:val="16"/>
        </w:rPr>
      </w:pPr>
    </w:p>
    <w:p w:rsidR="00C43FB9" w:rsidRPr="00A17DDD" w:rsidRDefault="00C43FB9" w:rsidP="00C43FB9">
      <w:pPr>
        <w:shd w:val="clear" w:color="auto" w:fill="FFFFFF"/>
        <w:spacing w:after="0" w:line="240" w:lineRule="auto"/>
        <w:rPr>
          <w:rFonts w:asciiTheme="minorHAnsi" w:eastAsia="MS Mincho" w:hAnsiTheme="minorHAnsi" w:cstheme="minorHAnsi"/>
          <w:sz w:val="16"/>
          <w:szCs w:val="16"/>
        </w:rPr>
      </w:pPr>
    </w:p>
    <w:p w:rsidR="00C43FB9" w:rsidRPr="005E30C6" w:rsidRDefault="00C43FB9" w:rsidP="00C43FB9">
      <w:pPr>
        <w:shd w:val="clear" w:color="auto" w:fill="FFFFFF" w:themeFill="background1"/>
        <w:spacing w:after="0" w:line="240" w:lineRule="auto"/>
        <w:rPr>
          <w:rFonts w:asciiTheme="minorHAnsi" w:eastAsia="MS Mincho" w:hAnsiTheme="minorHAnsi" w:cstheme="minorBidi"/>
        </w:rPr>
      </w:pPr>
      <w:r w:rsidRPr="7F6B0D31">
        <w:rPr>
          <w:rFonts w:asciiTheme="minorHAnsi" w:eastAsia="MS Mincho" w:hAnsiTheme="minorHAnsi" w:cstheme="minorBidi"/>
        </w:rPr>
        <w:t>Přehled dalších legislativních povinností, které by měl mít každý energetický manažer na paměti.</w:t>
      </w:r>
    </w:p>
    <w:p w:rsidR="00C43FB9" w:rsidRPr="00A17DDD" w:rsidRDefault="00C43FB9" w:rsidP="00C43FB9">
      <w:pPr>
        <w:shd w:val="clear" w:color="auto" w:fill="FFFFFF"/>
        <w:spacing w:after="0" w:line="240" w:lineRule="auto"/>
        <w:rPr>
          <w:rFonts w:asciiTheme="minorHAnsi" w:eastAsia="MS Mincho" w:hAnsiTheme="minorHAnsi" w:cstheme="minorHAnsi"/>
          <w:sz w:val="16"/>
          <w:szCs w:val="16"/>
        </w:rPr>
      </w:pPr>
    </w:p>
    <w:tbl>
      <w:tblPr>
        <w:tblW w:w="140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2188"/>
        <w:gridCol w:w="3827"/>
        <w:gridCol w:w="5812"/>
      </w:tblGrid>
      <w:tr w:rsidR="00C43FB9" w:rsidRPr="00A17DDD" w:rsidTr="00032F33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Zákon, vyhláška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Název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Oblast / působnost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FB9" w:rsidRPr="00A17DDD" w:rsidRDefault="00C43FB9" w:rsidP="00032F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Popis</w:t>
            </w:r>
          </w:p>
        </w:tc>
      </w:tr>
      <w:tr w:rsidR="00C43FB9" w:rsidRPr="00A17DDD" w:rsidTr="00032F33">
        <w:trPr>
          <w:trHeight w:val="5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FB9" w:rsidRPr="00A17DDD" w:rsidRDefault="00C43FB9" w:rsidP="00032F3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Vyhláška č. 193/2007 Sb.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FB9" w:rsidRPr="00A17DDD" w:rsidRDefault="00C43FB9" w:rsidP="00032F3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Kvalita rozvodů tepla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FB9" w:rsidRPr="00A17DDD" w:rsidRDefault="00C43FB9" w:rsidP="00032F3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nově zřizovaná zařízení pro rozvod tepla a chladu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FB9" w:rsidRPr="00A17DDD" w:rsidRDefault="00C43FB9" w:rsidP="00032F3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vyhláška stanovuje požadavky na účinnost užití energie v nově zřizovaných zařízeních pro rozvod tepelné energie a pro vnitřní rozvod tepelné energie a chladu, a na vybavení těchto zařízení tepelnou izolací, regulací a řízením</w:t>
            </w:r>
          </w:p>
        </w:tc>
      </w:tr>
      <w:tr w:rsidR="00C43FB9" w:rsidRPr="00A17DDD" w:rsidTr="00032F33">
        <w:trPr>
          <w:trHeight w:val="15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FB9" w:rsidRPr="00A17DDD" w:rsidRDefault="00C43FB9" w:rsidP="00032F3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Vyhláška č. 194/2007 Sb.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FB9" w:rsidRPr="00A17DDD" w:rsidRDefault="00C43FB9" w:rsidP="00032F3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Vytápění, příprava teplé vody a regulace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FB9" w:rsidRPr="00A17DDD" w:rsidRDefault="00C43FB9" w:rsidP="00032F3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Pravidla pro: 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br/>
              <w:t xml:space="preserve">- vytápění 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br/>
              <w:t xml:space="preserve">- dodávku teplé vody 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br/>
              <w:t>- regulaci ústředního vytápění a přípravu teplé vody v budově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br/>
              <w:t>- měření množství tepelné energie a teplé vody v zúčtovací jednotce.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FB9" w:rsidRPr="00A17DDD" w:rsidRDefault="00C43FB9" w:rsidP="00032F3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vyhláška stanovuje pravidla pro vytápění a dodávku teplé vody, měrné ukazatele spotřeby tepelné energie pro vytápění a pro přípravu teplé vody a požadavky na vybavení vnitřních tepelných zařízení budov přístroji regulujícími dodávku tepelné energie konečným spotřebitelům</w:t>
            </w:r>
          </w:p>
        </w:tc>
      </w:tr>
      <w:tr w:rsidR="00C43FB9" w:rsidRPr="00A17DDD" w:rsidTr="00032F33">
        <w:trPr>
          <w:trHeight w:val="7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FB9" w:rsidRPr="00A17DDD" w:rsidRDefault="00C43FB9" w:rsidP="00032F3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Vyhláška č. 441/2012 Sb.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FB9" w:rsidRPr="00A17DDD" w:rsidRDefault="00C43FB9" w:rsidP="00032F3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Výroba tepla a elektřiny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FB9" w:rsidRPr="00A17DDD" w:rsidRDefault="00C43FB9" w:rsidP="00032F3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výroba </w:t>
            </w:r>
            <w:proofErr w:type="gramStart"/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tepla - kotle</w:t>
            </w:r>
            <w:proofErr w:type="gramEnd"/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 a solární kolektory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br/>
              <w:t>výroba tepla elektřiny - turbíny, motory atd.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br/>
              <w:t>kombinovaná výroba elektřiny a tepla - kogenerační jednotky nad 90kW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FB9" w:rsidRPr="00A17DDD" w:rsidRDefault="00C43FB9" w:rsidP="00032F3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vyhláška stanovuje minimální účinnost užití energie pro výstavbu nové výrobny elektřiny či tepla, nebo pro výrobnu, u které se provádí změna dokončené stavby</w:t>
            </w:r>
          </w:p>
        </w:tc>
      </w:tr>
      <w:tr w:rsidR="00C43FB9" w:rsidRPr="00A17DDD" w:rsidTr="00032F33">
        <w:trPr>
          <w:trHeight w:val="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FB9" w:rsidRPr="00A17DDD" w:rsidRDefault="00C43FB9" w:rsidP="00032F3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Z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ákon č. 505</w:t>
            </w:r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/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1990</w:t>
            </w:r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 Sb.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FB9" w:rsidRPr="00A17DDD" w:rsidRDefault="00C43FB9" w:rsidP="00032F3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Měřidla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FB9" w:rsidRPr="00A17DDD" w:rsidRDefault="00C43FB9" w:rsidP="00032F3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měřící jednotky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br/>
              <w:t>typy měřidel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br/>
              <w:t>ověření a kalibrace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FB9" w:rsidRPr="00A17DDD" w:rsidRDefault="00C43FB9" w:rsidP="00032F3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úprava práva a povinností podnikajících fyzických osob a právnických osob a orgánů státní správy, a to v rozsahu potřebném k zajištění jednotnosti a správnosti měřidel a měření.</w:t>
            </w:r>
          </w:p>
        </w:tc>
      </w:tr>
      <w:tr w:rsidR="00C43FB9" w:rsidRPr="00A17DDD" w:rsidTr="00032F33">
        <w:trPr>
          <w:trHeight w:val="2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FB9" w:rsidRPr="00A17DDD" w:rsidRDefault="00C43FB9" w:rsidP="00032F3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Zákon č. 406/2000 Sb.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FB9" w:rsidRPr="00A17DDD" w:rsidRDefault="00C43FB9" w:rsidP="00032F3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Hospodaření energií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FB9" w:rsidRPr="00A17DDD" w:rsidRDefault="00C43FB9" w:rsidP="00032F3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Energetická koncepce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br/>
              <w:t>Podpora úspor energie a OZE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br/>
              <w:t>Kontrola klimatizací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br/>
              <w:t>Kontrola kotlů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br/>
              <w:t>Energetické průkazy budov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br/>
              <w:t>Energetické štítkování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br/>
              <w:t>Energetický audit a posudek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br/>
              <w:t>Energetický specialista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FB9" w:rsidRPr="00A17DDD" w:rsidRDefault="00C43FB9" w:rsidP="00032F3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zákon stanoví: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br/>
              <w:t>- některá opatření pro zvyšování hospodárnosti užití energie a povinnosti fyzických a právnických osob při nakládání s energií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br/>
              <w:t>- pravidla pro tvorbu Státní energetické koncepce, Územní energetické koncepce a Státního programu na podporu úspor energie a využití obnovitelných a druhotných zdrojů energie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br/>
              <w:t xml:space="preserve">- požadavky na </w:t>
            </w:r>
            <w:proofErr w:type="spellStart"/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ekodesign</w:t>
            </w:r>
            <w:proofErr w:type="spellEnd"/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 výrobků spojených se spotřebou energie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br/>
              <w:t>- požadavky na uvádění spotřeby energie a jiných hlavních zdrojů na energetických štítcích výrobků spojených se spotřebou energie</w:t>
            </w:r>
            <w:r w:rsidRPr="00A17D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br/>
              <w:t>- požadavky na informování a vzdělávání v oblasti úspor energie a využití obnovitelných a druhotných zdrojů</w:t>
            </w:r>
          </w:p>
        </w:tc>
      </w:tr>
    </w:tbl>
    <w:p w:rsidR="00C43FB9" w:rsidRPr="00A17DDD" w:rsidRDefault="00C43FB9" w:rsidP="00C43FB9">
      <w:pPr>
        <w:rPr>
          <w:rFonts w:asciiTheme="minorHAnsi" w:hAnsiTheme="minorHAnsi" w:cstheme="minorHAnsi"/>
          <w:sz w:val="16"/>
          <w:szCs w:val="16"/>
        </w:rPr>
      </w:pPr>
    </w:p>
    <w:p w:rsidR="00D54D7D" w:rsidRPr="00D54D7D" w:rsidRDefault="00D54D7D" w:rsidP="00D54D7D">
      <w:pPr>
        <w:rPr>
          <w:rFonts w:ascii="Arial" w:hAnsi="Arial" w:cs="Arial"/>
          <w:sz w:val="10"/>
          <w:szCs w:val="10"/>
        </w:rPr>
      </w:pPr>
    </w:p>
    <w:p w:rsidR="00D54D7D" w:rsidRPr="00D54D7D" w:rsidRDefault="00D54D7D" w:rsidP="00D54D7D">
      <w:pPr>
        <w:rPr>
          <w:rFonts w:ascii="Arial" w:hAnsi="Arial" w:cs="Arial"/>
          <w:sz w:val="20"/>
          <w:szCs w:val="20"/>
        </w:rPr>
      </w:pPr>
      <w:r w:rsidRPr="00D54D7D">
        <w:rPr>
          <w:rFonts w:ascii="Arial" w:hAnsi="Arial" w:cs="Arial"/>
          <w:sz w:val="20"/>
          <w:szCs w:val="20"/>
        </w:rPr>
        <w:t>Datum:</w:t>
      </w:r>
      <w:r w:rsidRPr="00D54D7D">
        <w:rPr>
          <w:rFonts w:ascii="Arial" w:hAnsi="Arial" w:cs="Arial"/>
          <w:sz w:val="20"/>
          <w:szCs w:val="20"/>
        </w:rPr>
        <w:tab/>
      </w:r>
      <w:r w:rsidR="00C43FB9">
        <w:rPr>
          <w:rFonts w:ascii="Arial" w:hAnsi="Arial" w:cs="Arial"/>
          <w:sz w:val="20"/>
          <w:szCs w:val="20"/>
        </w:rPr>
        <w:t>6</w:t>
      </w:r>
      <w:r w:rsidR="00EF2EA6">
        <w:rPr>
          <w:rFonts w:ascii="Arial" w:hAnsi="Arial" w:cs="Arial"/>
          <w:sz w:val="20"/>
          <w:szCs w:val="20"/>
        </w:rPr>
        <w:t>.</w:t>
      </w:r>
      <w:r w:rsidR="00C43FB9">
        <w:rPr>
          <w:rFonts w:ascii="Arial" w:hAnsi="Arial" w:cs="Arial"/>
          <w:sz w:val="20"/>
          <w:szCs w:val="20"/>
        </w:rPr>
        <w:t>2</w:t>
      </w:r>
      <w:r w:rsidR="00EF2EA6">
        <w:rPr>
          <w:rFonts w:ascii="Arial" w:hAnsi="Arial" w:cs="Arial"/>
          <w:sz w:val="20"/>
          <w:szCs w:val="20"/>
        </w:rPr>
        <w:t>.20</w:t>
      </w:r>
      <w:r w:rsidR="00C43FB9">
        <w:rPr>
          <w:rFonts w:ascii="Arial" w:hAnsi="Arial" w:cs="Arial"/>
          <w:sz w:val="20"/>
          <w:szCs w:val="20"/>
        </w:rPr>
        <w:t>23</w:t>
      </w:r>
      <w:bookmarkStart w:id="5" w:name="_GoBack"/>
      <w:bookmarkEnd w:id="5"/>
      <w:r w:rsidRPr="00D54D7D">
        <w:rPr>
          <w:rFonts w:ascii="Arial" w:hAnsi="Arial" w:cs="Arial"/>
          <w:sz w:val="20"/>
          <w:szCs w:val="20"/>
        </w:rPr>
        <w:tab/>
      </w:r>
      <w:r w:rsidRPr="00D54D7D">
        <w:rPr>
          <w:rFonts w:ascii="Arial" w:hAnsi="Arial" w:cs="Arial"/>
          <w:sz w:val="20"/>
          <w:szCs w:val="20"/>
        </w:rPr>
        <w:tab/>
      </w:r>
      <w:r w:rsidRPr="00D54D7D">
        <w:rPr>
          <w:rFonts w:ascii="Arial" w:hAnsi="Arial" w:cs="Arial"/>
          <w:sz w:val="20"/>
          <w:szCs w:val="20"/>
        </w:rPr>
        <w:tab/>
      </w:r>
      <w:r w:rsidRPr="00D54D7D">
        <w:rPr>
          <w:rFonts w:ascii="Arial" w:hAnsi="Arial" w:cs="Arial"/>
          <w:sz w:val="20"/>
          <w:szCs w:val="20"/>
        </w:rPr>
        <w:tab/>
        <w:t xml:space="preserve">  Vypracoval:</w:t>
      </w:r>
      <w:r w:rsidR="00EF2EA6">
        <w:rPr>
          <w:rFonts w:ascii="Arial" w:hAnsi="Arial" w:cs="Arial"/>
          <w:sz w:val="20"/>
          <w:szCs w:val="20"/>
        </w:rPr>
        <w:t xml:space="preserve"> Ing. Jan Eyer                     </w:t>
      </w:r>
      <w:r w:rsidRPr="00D54D7D">
        <w:rPr>
          <w:rFonts w:ascii="Arial" w:hAnsi="Arial" w:cs="Arial"/>
          <w:sz w:val="20"/>
          <w:szCs w:val="20"/>
        </w:rPr>
        <w:t>Schválil:</w:t>
      </w:r>
      <w:r w:rsidR="00EF2EA6">
        <w:rPr>
          <w:rFonts w:ascii="Arial" w:hAnsi="Arial" w:cs="Arial"/>
          <w:sz w:val="20"/>
          <w:szCs w:val="20"/>
        </w:rPr>
        <w:t xml:space="preserve"> Ing. Vladimír Olejníček</w:t>
      </w:r>
    </w:p>
    <w:sectPr w:rsidR="00D54D7D" w:rsidRPr="00D54D7D" w:rsidSect="009044C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 w:code="9"/>
      <w:pgMar w:top="1134" w:right="1418" w:bottom="1134" w:left="1418" w:header="14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A2F" w:rsidRDefault="00957A2F">
      <w:pPr>
        <w:spacing w:after="0" w:line="240" w:lineRule="auto"/>
      </w:pPr>
      <w:r>
        <w:separator/>
      </w:r>
    </w:p>
  </w:endnote>
  <w:endnote w:type="continuationSeparator" w:id="0">
    <w:p w:rsidR="00957A2F" w:rsidRDefault="0095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BAC" w:rsidRDefault="00F11B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89F" w:rsidRPr="00E80C74" w:rsidRDefault="0070689F">
    <w:pPr>
      <w:pStyle w:val="Zpat"/>
      <w:rPr>
        <w:rFonts w:ascii="Arial" w:hAnsi="Arial" w:cs="Arial"/>
      </w:rPr>
    </w:pPr>
    <w:r w:rsidRPr="00E80C74">
      <w:rPr>
        <w:rFonts w:ascii="Arial" w:hAnsi="Arial" w:cs="Arial"/>
        <w:sz w:val="18"/>
        <w:szCs w:val="18"/>
      </w:rPr>
      <w:t>FNOL</w:t>
    </w:r>
    <w:r w:rsidRPr="00444E56">
      <w:rPr>
        <w:rFonts w:ascii="Arial" w:hAnsi="Arial" w:cs="Arial"/>
        <w:sz w:val="18"/>
        <w:szCs w:val="18"/>
      </w:rPr>
      <w:t>_</w:t>
    </w:r>
    <w:r w:rsidR="00846259" w:rsidRPr="00444E56">
      <w:rPr>
        <w:rFonts w:ascii="Arial" w:hAnsi="Arial" w:cs="Arial"/>
        <w:sz w:val="18"/>
        <w:szCs w:val="18"/>
      </w:rPr>
      <w:t>O</w:t>
    </w:r>
    <w:r w:rsidR="00444E56" w:rsidRPr="00444E56">
      <w:rPr>
        <w:rFonts w:ascii="Arial" w:hAnsi="Arial" w:cs="Arial"/>
        <w:sz w:val="18"/>
        <w:szCs w:val="18"/>
      </w:rPr>
      <w:t>E</w:t>
    </w:r>
    <w:r w:rsidR="00EF2EA6">
      <w:rPr>
        <w:rFonts w:ascii="Arial" w:hAnsi="Arial" w:cs="Arial"/>
        <w:sz w:val="18"/>
        <w:szCs w:val="18"/>
      </w:rPr>
      <w:t>_Fm</w:t>
    </w:r>
    <w:r w:rsidRPr="00E80C74">
      <w:rPr>
        <w:rFonts w:ascii="Arial" w:hAnsi="Arial" w:cs="Arial"/>
        <w:sz w:val="18"/>
        <w:szCs w:val="18"/>
      </w:rPr>
      <w:t>_</w:t>
    </w:r>
    <w:r w:rsidR="00444E56">
      <w:rPr>
        <w:rFonts w:ascii="Arial" w:hAnsi="Arial" w:cs="Arial"/>
        <w:sz w:val="18"/>
        <w:szCs w:val="18"/>
      </w:rPr>
      <w:t>02</w:t>
    </w:r>
    <w:r w:rsidRPr="00E80C74">
      <w:rPr>
        <w:rFonts w:ascii="Arial" w:hAnsi="Arial" w:cs="Arial"/>
        <w:sz w:val="18"/>
        <w:szCs w:val="18"/>
      </w:rPr>
      <w:t>_</w:t>
    </w:r>
    <w:r w:rsidR="00846259" w:rsidRPr="002B2F86">
      <w:rPr>
        <w:rFonts w:ascii="Arial" w:hAnsi="Arial" w:cs="Arial"/>
        <w:sz w:val="18"/>
        <w:szCs w:val="18"/>
      </w:rPr>
      <w:t>Registr_právních_požadavků</w:t>
    </w:r>
    <w:r w:rsidRPr="002B2F86">
      <w:rPr>
        <w:rFonts w:ascii="Arial" w:hAnsi="Arial" w:cs="Arial"/>
        <w:sz w:val="18"/>
        <w:szCs w:val="18"/>
      </w:rPr>
      <w:t>_platnost</w:t>
    </w:r>
    <w:r w:rsidRPr="00EF2EA6">
      <w:rPr>
        <w:rFonts w:ascii="Arial" w:hAnsi="Arial" w:cs="Arial"/>
        <w:sz w:val="18"/>
        <w:szCs w:val="18"/>
      </w:rPr>
      <w:t>_od_</w:t>
    </w:r>
    <w:r w:rsidR="00EF2EA6" w:rsidRPr="00EF2EA6">
      <w:rPr>
        <w:noProof/>
        <w:szCs w:val="18"/>
      </w:rPr>
      <w:t>03</w:t>
    </w:r>
    <w:r w:rsidR="009F695D" w:rsidRPr="00EF2EA6">
      <w:rPr>
        <w:noProof/>
        <w:szCs w:val="18"/>
      </w:rPr>
      <w:t>_</w:t>
    </w:r>
    <w:r w:rsidR="00EF2EA6" w:rsidRPr="00EF2EA6">
      <w:rPr>
        <w:noProof/>
        <w:szCs w:val="18"/>
      </w:rPr>
      <w:t>09_2018</w:t>
    </w:r>
    <w:r w:rsidRPr="00E80C74">
      <w:rPr>
        <w:rFonts w:ascii="Arial" w:hAnsi="Arial" w:cs="Arial"/>
        <w:sz w:val="18"/>
        <w:szCs w:val="18"/>
      </w:rPr>
      <w:tab/>
    </w:r>
    <w:r w:rsidRPr="00E80C74">
      <w:rPr>
        <w:rFonts w:ascii="Arial" w:hAnsi="Arial" w:cs="Arial"/>
        <w:sz w:val="18"/>
        <w:szCs w:val="18"/>
      </w:rPr>
      <w:tab/>
    </w:r>
    <w:r w:rsidRPr="00E80C74">
      <w:rPr>
        <w:rFonts w:ascii="Arial" w:hAnsi="Arial" w:cs="Arial"/>
        <w:sz w:val="18"/>
        <w:szCs w:val="18"/>
      </w:rPr>
      <w:tab/>
    </w:r>
    <w:r w:rsidRPr="00E80C74">
      <w:rPr>
        <w:rFonts w:ascii="Arial" w:hAnsi="Arial" w:cs="Arial"/>
        <w:sz w:val="18"/>
        <w:szCs w:val="18"/>
      </w:rPr>
      <w:tab/>
    </w:r>
    <w:r w:rsidRPr="00E80C74">
      <w:rPr>
        <w:rFonts w:ascii="Arial" w:hAnsi="Arial" w:cs="Arial"/>
        <w:sz w:val="18"/>
        <w:szCs w:val="18"/>
      </w:rPr>
      <w:tab/>
    </w:r>
    <w:r w:rsidRPr="00E80C74">
      <w:rPr>
        <w:rFonts w:ascii="Arial" w:hAnsi="Arial" w:cs="Arial"/>
        <w:sz w:val="18"/>
        <w:szCs w:val="18"/>
      </w:rPr>
      <w:tab/>
      <w:t>Str</w:t>
    </w:r>
    <w:r w:rsidR="009F695D" w:rsidRPr="00E80C74">
      <w:rPr>
        <w:rFonts w:ascii="Arial" w:hAnsi="Arial" w:cs="Arial"/>
        <w:sz w:val="18"/>
        <w:szCs w:val="18"/>
      </w:rPr>
      <w:t>ana</w:t>
    </w:r>
    <w:r w:rsidRPr="00E80C74">
      <w:rPr>
        <w:rFonts w:ascii="Arial" w:hAnsi="Arial" w:cs="Arial"/>
        <w:sz w:val="18"/>
        <w:szCs w:val="18"/>
      </w:rPr>
      <w:t xml:space="preserve"> </w:t>
    </w:r>
    <w:r w:rsidR="00255DEB" w:rsidRPr="00E80C74">
      <w:rPr>
        <w:rStyle w:val="slostrnky"/>
        <w:rFonts w:ascii="Arial" w:hAnsi="Arial" w:cs="Arial"/>
        <w:sz w:val="18"/>
        <w:szCs w:val="18"/>
      </w:rPr>
      <w:fldChar w:fldCharType="begin"/>
    </w:r>
    <w:r w:rsidRPr="00E80C74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255DEB" w:rsidRPr="00E80C74">
      <w:rPr>
        <w:rStyle w:val="slostrnky"/>
        <w:rFonts w:ascii="Arial" w:hAnsi="Arial" w:cs="Arial"/>
        <w:sz w:val="18"/>
        <w:szCs w:val="18"/>
      </w:rPr>
      <w:fldChar w:fldCharType="separate"/>
    </w:r>
    <w:r w:rsidR="00B63CF2">
      <w:rPr>
        <w:rStyle w:val="slostrnky"/>
        <w:rFonts w:ascii="Arial" w:hAnsi="Arial" w:cs="Arial"/>
        <w:noProof/>
        <w:sz w:val="18"/>
        <w:szCs w:val="18"/>
      </w:rPr>
      <w:t>3</w:t>
    </w:r>
    <w:r w:rsidR="00255DEB" w:rsidRPr="00E80C74">
      <w:rPr>
        <w:rStyle w:val="slostrnky"/>
        <w:rFonts w:ascii="Arial" w:hAnsi="Arial" w:cs="Arial"/>
        <w:sz w:val="18"/>
        <w:szCs w:val="18"/>
      </w:rPr>
      <w:fldChar w:fldCharType="end"/>
    </w:r>
    <w:r w:rsidR="009F695D" w:rsidRPr="00E80C74">
      <w:rPr>
        <w:rStyle w:val="slostrnky"/>
        <w:rFonts w:ascii="Arial" w:hAnsi="Arial" w:cs="Arial"/>
        <w:sz w:val="18"/>
        <w:szCs w:val="18"/>
      </w:rPr>
      <w:t xml:space="preserve"> (celkem </w:t>
    </w:r>
    <w:r w:rsidR="00255DEB" w:rsidRPr="00E80C74">
      <w:rPr>
        <w:rStyle w:val="slostrnky"/>
        <w:rFonts w:ascii="Arial" w:hAnsi="Arial" w:cs="Arial"/>
        <w:sz w:val="18"/>
        <w:szCs w:val="18"/>
      </w:rPr>
      <w:fldChar w:fldCharType="begin"/>
    </w:r>
    <w:r w:rsidRPr="00E80C74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255DEB" w:rsidRPr="00E80C74">
      <w:rPr>
        <w:rStyle w:val="slostrnky"/>
        <w:rFonts w:ascii="Arial" w:hAnsi="Arial" w:cs="Arial"/>
        <w:sz w:val="18"/>
        <w:szCs w:val="18"/>
      </w:rPr>
      <w:fldChar w:fldCharType="separate"/>
    </w:r>
    <w:r w:rsidR="00B63CF2">
      <w:rPr>
        <w:rStyle w:val="slostrnky"/>
        <w:rFonts w:ascii="Arial" w:hAnsi="Arial" w:cs="Arial"/>
        <w:noProof/>
        <w:sz w:val="18"/>
        <w:szCs w:val="18"/>
      </w:rPr>
      <w:t>3</w:t>
    </w:r>
    <w:r w:rsidR="00255DEB" w:rsidRPr="00E80C74">
      <w:rPr>
        <w:rStyle w:val="slostrnky"/>
        <w:rFonts w:ascii="Arial" w:hAnsi="Arial" w:cs="Arial"/>
        <w:sz w:val="18"/>
        <w:szCs w:val="18"/>
      </w:rPr>
      <w:fldChar w:fldCharType="end"/>
    </w:r>
    <w:r w:rsidR="009F695D" w:rsidRPr="00E80C74">
      <w:rPr>
        <w:rStyle w:val="slostrnky"/>
        <w:rFonts w:ascii="Arial" w:hAnsi="Arial" w:cs="Arial"/>
        <w:sz w:val="18"/>
        <w:szCs w:val="18"/>
      </w:rPr>
      <w:t>)</w:t>
    </w:r>
    <w:r w:rsidRPr="00E80C74">
      <w:rPr>
        <w:rFonts w:ascii="Arial" w:hAnsi="Arial" w:cs="Arial"/>
      </w:rPr>
      <w:tab/>
    </w:r>
    <w:r w:rsidRPr="00E80C74">
      <w:rPr>
        <w:rFonts w:ascii="Arial" w:hAnsi="Arial" w:cs="Arial"/>
      </w:rPr>
      <w:tab/>
    </w:r>
    <w:r w:rsidRPr="00E80C74">
      <w:rPr>
        <w:rFonts w:ascii="Arial" w:hAnsi="Arial" w:cs="Aria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BAC" w:rsidRDefault="00F11B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A2F" w:rsidRDefault="00957A2F">
      <w:pPr>
        <w:spacing w:after="0" w:line="240" w:lineRule="auto"/>
      </w:pPr>
      <w:r>
        <w:separator/>
      </w:r>
    </w:p>
  </w:footnote>
  <w:footnote w:type="continuationSeparator" w:id="0">
    <w:p w:rsidR="00957A2F" w:rsidRDefault="00957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BAC" w:rsidRDefault="00F11BA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2"/>
      <w:gridCol w:w="4780"/>
      <w:gridCol w:w="6610"/>
      <w:gridCol w:w="1700"/>
    </w:tblGrid>
    <w:tr w:rsidR="0070689F" w:rsidRPr="00E80C74" w:rsidTr="009E2AFF">
      <w:trPr>
        <w:trHeight w:val="715"/>
      </w:trPr>
      <w:tc>
        <w:tcPr>
          <w:tcW w:w="372" w:type="pct"/>
          <w:noWrap/>
          <w:vAlign w:val="center"/>
        </w:tcPr>
        <w:p w:rsidR="0070689F" w:rsidRPr="009044CB" w:rsidRDefault="0070689F" w:rsidP="00614895">
          <w:pPr>
            <w:pStyle w:val="Zpat"/>
            <w:tabs>
              <w:tab w:val="clear" w:pos="4536"/>
              <w:tab w:val="clear" w:pos="9072"/>
            </w:tabs>
            <w:suppressAutoHyphens/>
            <w:spacing w:before="60" w:after="60"/>
            <w:rPr>
              <w:b/>
              <w:bCs/>
              <w:sz w:val="16"/>
              <w:szCs w:val="16"/>
            </w:rPr>
          </w:pPr>
          <w:r w:rsidRPr="009044CB">
            <w:rPr>
              <w:b/>
            </w:rPr>
            <w:t xml:space="preserve">    </w:t>
          </w:r>
          <w:r w:rsidRPr="009044CB">
            <w:rPr>
              <w:b/>
              <w:bCs/>
              <w:sz w:val="16"/>
              <w:szCs w:val="16"/>
            </w:rPr>
            <w:t xml:space="preserve">          </w:t>
          </w:r>
          <w:r w:rsidR="00346C00">
            <w:rPr>
              <w:b/>
              <w:bCs/>
              <w:noProof/>
              <w:sz w:val="16"/>
              <w:szCs w:val="16"/>
              <w:lang w:eastAsia="cs-CZ"/>
            </w:rPr>
            <w:drawing>
              <wp:inline distT="0" distB="0" distL="0" distR="0">
                <wp:extent cx="571500" cy="525780"/>
                <wp:effectExtent l="0" t="0" r="0" b="7620"/>
                <wp:docPr id="1" name="obrázek 1" descr="logo FNOL pro S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NOL pro S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044CB">
            <w:rPr>
              <w:b/>
              <w:bCs/>
              <w:sz w:val="16"/>
              <w:szCs w:val="16"/>
            </w:rPr>
            <w:t xml:space="preserve">             </w:t>
          </w:r>
        </w:p>
      </w:tc>
      <w:tc>
        <w:tcPr>
          <w:tcW w:w="1690" w:type="pct"/>
          <w:vAlign w:val="center"/>
        </w:tcPr>
        <w:p w:rsidR="0070689F" w:rsidRPr="00E80C74" w:rsidRDefault="0070689F" w:rsidP="00614895">
          <w:pPr>
            <w:pStyle w:val="Zhlav"/>
            <w:tabs>
              <w:tab w:val="clear" w:pos="4536"/>
              <w:tab w:val="clear" w:pos="9072"/>
            </w:tabs>
            <w:suppressAutoHyphens/>
            <w:ind w:left="-68"/>
            <w:rPr>
              <w:rFonts w:ascii="Arial" w:hAnsi="Arial" w:cs="Arial"/>
              <w:bCs/>
              <w:sz w:val="24"/>
              <w:szCs w:val="24"/>
            </w:rPr>
          </w:pPr>
          <w:r w:rsidRPr="00E80C74">
            <w:rPr>
              <w:rFonts w:ascii="Arial" w:hAnsi="Arial" w:cs="Arial"/>
              <w:b/>
              <w:sz w:val="24"/>
              <w:szCs w:val="24"/>
            </w:rPr>
            <w:t>Fakultní nemocnice Olomouc</w:t>
          </w:r>
          <w:r w:rsidRPr="00E80C74">
            <w:rPr>
              <w:rFonts w:ascii="Arial" w:hAnsi="Arial" w:cs="Arial"/>
              <w:bCs/>
              <w:sz w:val="24"/>
              <w:szCs w:val="24"/>
            </w:rPr>
            <w:t xml:space="preserve"> </w:t>
          </w:r>
        </w:p>
        <w:p w:rsidR="0070689F" w:rsidRPr="00E80C74" w:rsidRDefault="00B51BE8" w:rsidP="009044CB">
          <w:pPr>
            <w:pStyle w:val="Zhlav"/>
            <w:tabs>
              <w:tab w:val="clear" w:pos="4536"/>
              <w:tab w:val="clear" w:pos="9072"/>
            </w:tabs>
            <w:suppressAutoHyphens/>
            <w:ind w:left="-7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Oddělení energetiky</w:t>
          </w:r>
          <w:r w:rsidR="0070689F" w:rsidRPr="00E80C74">
            <w:rPr>
              <w:rFonts w:ascii="Arial" w:hAnsi="Arial" w:cs="Arial"/>
              <w:b/>
              <w:bCs/>
            </w:rPr>
            <w:t xml:space="preserve">                                               </w:t>
          </w:r>
        </w:p>
      </w:tc>
      <w:tc>
        <w:tcPr>
          <w:tcW w:w="2337" w:type="pct"/>
          <w:vAlign w:val="center"/>
        </w:tcPr>
        <w:p w:rsidR="00D54D7D" w:rsidRPr="00D54D7D" w:rsidRDefault="00D54D7D" w:rsidP="00D54D7D">
          <w:pPr>
            <w:spacing w:after="0" w:line="240" w:lineRule="auto"/>
            <w:jc w:val="center"/>
            <w:rPr>
              <w:rFonts w:ascii="Arial" w:eastAsia="MS Mincho" w:hAnsi="Arial" w:cs="Arial"/>
            </w:rPr>
          </w:pPr>
          <w:r w:rsidRPr="00D54D7D">
            <w:rPr>
              <w:rFonts w:ascii="Arial" w:eastAsia="MS Mincho" w:hAnsi="Arial" w:cs="Arial"/>
            </w:rPr>
            <w:t xml:space="preserve">Registr právních požadavků </w:t>
          </w:r>
        </w:p>
        <w:p w:rsidR="0070689F" w:rsidRPr="00E80C74" w:rsidRDefault="0070689F" w:rsidP="009E2AFF">
          <w:pPr>
            <w:pStyle w:val="Textbubliny"/>
            <w:suppressAutoHyphens/>
            <w:ind w:left="-69"/>
            <w:jc w:val="center"/>
            <w:rPr>
              <w:rFonts w:ascii="Arial" w:hAnsi="Arial"/>
              <w:sz w:val="22"/>
              <w:szCs w:val="22"/>
            </w:rPr>
          </w:pPr>
        </w:p>
      </w:tc>
      <w:tc>
        <w:tcPr>
          <w:tcW w:w="601" w:type="pct"/>
        </w:tcPr>
        <w:p w:rsidR="0070689F" w:rsidRPr="00E80C74" w:rsidRDefault="0070689F" w:rsidP="00614895">
          <w:pPr>
            <w:pStyle w:val="Textbubliny"/>
            <w:suppressAutoHyphens/>
            <w:rPr>
              <w:rFonts w:ascii="Arial" w:hAnsi="Arial"/>
              <w:b/>
              <w:bCs/>
              <w:sz w:val="18"/>
              <w:szCs w:val="18"/>
            </w:rPr>
          </w:pPr>
        </w:p>
        <w:p w:rsidR="0070689F" w:rsidRPr="00E80C74" w:rsidRDefault="0070689F" w:rsidP="00E230A3">
          <w:pPr>
            <w:pStyle w:val="Textbubliny"/>
            <w:suppressAutoHyphens/>
            <w:jc w:val="right"/>
            <w:rPr>
              <w:rFonts w:ascii="Arial" w:hAnsi="Arial"/>
              <w:bCs/>
              <w:sz w:val="22"/>
              <w:szCs w:val="22"/>
            </w:rPr>
          </w:pPr>
          <w:r w:rsidRPr="00E80C74">
            <w:rPr>
              <w:rFonts w:ascii="Arial" w:hAnsi="Arial"/>
              <w:bCs/>
              <w:sz w:val="18"/>
              <w:szCs w:val="18"/>
            </w:rPr>
            <w:t>Dokument č.:</w:t>
          </w:r>
          <w:r w:rsidRPr="00E80C74">
            <w:rPr>
              <w:rFonts w:ascii="Arial" w:hAnsi="Arial"/>
              <w:bCs/>
              <w:sz w:val="22"/>
              <w:szCs w:val="22"/>
            </w:rPr>
            <w:t xml:space="preserve"> </w:t>
          </w:r>
        </w:p>
        <w:p w:rsidR="0070689F" w:rsidRPr="00E80C74" w:rsidRDefault="0070689F" w:rsidP="00E230A3">
          <w:pPr>
            <w:pStyle w:val="Textbubliny"/>
            <w:suppressAutoHyphens/>
            <w:jc w:val="right"/>
            <w:rPr>
              <w:rFonts w:ascii="Arial" w:hAnsi="Arial"/>
              <w:b/>
              <w:bCs/>
              <w:sz w:val="24"/>
            </w:rPr>
          </w:pPr>
          <w:r w:rsidRPr="00E80C74">
            <w:rPr>
              <w:rFonts w:ascii="Arial" w:hAnsi="Arial"/>
              <w:b/>
              <w:bCs/>
              <w:sz w:val="24"/>
            </w:rPr>
            <w:t>Fm-</w:t>
          </w:r>
          <w:r w:rsidR="00444E56">
            <w:rPr>
              <w:rFonts w:ascii="Arial" w:hAnsi="Arial"/>
              <w:b/>
              <w:bCs/>
              <w:sz w:val="24"/>
            </w:rPr>
            <w:t>02</w:t>
          </w:r>
        </w:p>
        <w:p w:rsidR="0070689F" w:rsidRPr="00E80C74" w:rsidRDefault="0070689F" w:rsidP="00B51BE8">
          <w:pPr>
            <w:pStyle w:val="Textbubliny"/>
            <w:suppressAutoHyphens/>
            <w:jc w:val="right"/>
            <w:rPr>
              <w:rFonts w:ascii="Arial" w:hAnsi="Arial"/>
              <w:bCs/>
              <w:sz w:val="22"/>
              <w:szCs w:val="22"/>
            </w:rPr>
          </w:pPr>
          <w:r w:rsidRPr="00E80C74">
            <w:rPr>
              <w:rFonts w:ascii="Arial" w:hAnsi="Arial"/>
              <w:bCs/>
              <w:sz w:val="18"/>
              <w:szCs w:val="18"/>
            </w:rPr>
            <w:t xml:space="preserve">Verze č.: </w:t>
          </w:r>
          <w:r w:rsidRPr="00E80C74">
            <w:rPr>
              <w:rFonts w:ascii="Arial" w:hAnsi="Arial"/>
              <w:bCs/>
              <w:sz w:val="24"/>
            </w:rPr>
            <w:t xml:space="preserve"> </w:t>
          </w:r>
          <w:r w:rsidR="00B51BE8">
            <w:rPr>
              <w:rFonts w:ascii="Arial" w:hAnsi="Arial"/>
              <w:bCs/>
              <w:sz w:val="24"/>
            </w:rPr>
            <w:t>1</w:t>
          </w:r>
        </w:p>
      </w:tc>
    </w:tr>
  </w:tbl>
  <w:p w:rsidR="0070689F" w:rsidRPr="009044CB" w:rsidRDefault="0070689F" w:rsidP="009044C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BAC" w:rsidRDefault="00F11B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67B27"/>
    <w:multiLevelType w:val="hybridMultilevel"/>
    <w:tmpl w:val="D3A4C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A0858"/>
    <w:multiLevelType w:val="multilevel"/>
    <w:tmpl w:val="9EA816D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22C750A"/>
    <w:multiLevelType w:val="hybridMultilevel"/>
    <w:tmpl w:val="BC00D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E08E5"/>
    <w:multiLevelType w:val="hybridMultilevel"/>
    <w:tmpl w:val="C9AA2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573"/>
    <w:rsid w:val="000C4A70"/>
    <w:rsid w:val="000D428D"/>
    <w:rsid w:val="000E1304"/>
    <w:rsid w:val="000F0573"/>
    <w:rsid w:val="00143970"/>
    <w:rsid w:val="00170374"/>
    <w:rsid w:val="001D45FC"/>
    <w:rsid w:val="00220029"/>
    <w:rsid w:val="00255DEB"/>
    <w:rsid w:val="002B2F86"/>
    <w:rsid w:val="00320651"/>
    <w:rsid w:val="00340825"/>
    <w:rsid w:val="00346C00"/>
    <w:rsid w:val="003F1D91"/>
    <w:rsid w:val="00440AF2"/>
    <w:rsid w:val="00444E56"/>
    <w:rsid w:val="004E4D0F"/>
    <w:rsid w:val="0059709E"/>
    <w:rsid w:val="005E61AF"/>
    <w:rsid w:val="00614895"/>
    <w:rsid w:val="006619DB"/>
    <w:rsid w:val="006B33E2"/>
    <w:rsid w:val="006D135E"/>
    <w:rsid w:val="00700216"/>
    <w:rsid w:val="0070689F"/>
    <w:rsid w:val="007312E1"/>
    <w:rsid w:val="00746A80"/>
    <w:rsid w:val="007E3970"/>
    <w:rsid w:val="007E69BC"/>
    <w:rsid w:val="007E7216"/>
    <w:rsid w:val="00846259"/>
    <w:rsid w:val="009044CB"/>
    <w:rsid w:val="00934769"/>
    <w:rsid w:val="00957A2F"/>
    <w:rsid w:val="009769ED"/>
    <w:rsid w:val="00981DD3"/>
    <w:rsid w:val="009E2AFF"/>
    <w:rsid w:val="009F695D"/>
    <w:rsid w:val="00AA06F8"/>
    <w:rsid w:val="00B51BE8"/>
    <w:rsid w:val="00B63CF2"/>
    <w:rsid w:val="00BB0A70"/>
    <w:rsid w:val="00BB1C65"/>
    <w:rsid w:val="00C43FB9"/>
    <w:rsid w:val="00C43FC5"/>
    <w:rsid w:val="00C9136C"/>
    <w:rsid w:val="00D54D7D"/>
    <w:rsid w:val="00D70D8C"/>
    <w:rsid w:val="00DE044C"/>
    <w:rsid w:val="00E0737A"/>
    <w:rsid w:val="00E230A3"/>
    <w:rsid w:val="00E80C74"/>
    <w:rsid w:val="00E93BA0"/>
    <w:rsid w:val="00EF2EA6"/>
    <w:rsid w:val="00F11BAC"/>
    <w:rsid w:val="00F45478"/>
    <w:rsid w:val="00F5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D5DFAE"/>
  <w15:docId w15:val="{E8B03D9F-7D8F-48A8-85C2-DED5F132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9136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54D7D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basedOn w:val="Standardnpsmoodstavce"/>
    <w:link w:val="Zpat"/>
    <w:rsid w:val="009044CB"/>
    <w:rPr>
      <w:sz w:val="22"/>
      <w:szCs w:val="22"/>
      <w:lang w:eastAsia="en-US"/>
    </w:rPr>
  </w:style>
  <w:style w:type="paragraph" w:styleId="Zhlav">
    <w:name w:val="header"/>
    <w:basedOn w:val="Normln"/>
    <w:unhideWhenUsed/>
    <w:rsid w:val="00C91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Char1">
    <w:name w:val="Char Char1"/>
    <w:basedOn w:val="Standardnpsmoodstavce"/>
    <w:rsid w:val="00C9136C"/>
  </w:style>
  <w:style w:type="paragraph" w:styleId="Zpat">
    <w:name w:val="footer"/>
    <w:basedOn w:val="Normln"/>
    <w:link w:val="ZpatChar"/>
    <w:unhideWhenUsed/>
    <w:rsid w:val="00C91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Char">
    <w:name w:val="Char Char"/>
    <w:basedOn w:val="Standardnpsmoodstavce"/>
    <w:semiHidden/>
    <w:rsid w:val="00C9136C"/>
  </w:style>
  <w:style w:type="character" w:styleId="Hypertextovodkaz">
    <w:name w:val="Hyperlink"/>
    <w:basedOn w:val="Standardnpsmoodstavce"/>
    <w:unhideWhenUsed/>
    <w:rsid w:val="00C9136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044CB"/>
    <w:pPr>
      <w:spacing w:after="0" w:line="240" w:lineRule="auto"/>
    </w:pPr>
    <w:rPr>
      <w:rFonts w:ascii="Tahoma" w:eastAsia="Times New Roman" w:hAnsi="Tahoma" w:cs="Arial"/>
      <w:sz w:val="16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rsid w:val="009044CB"/>
    <w:rPr>
      <w:rFonts w:ascii="Tahoma" w:eastAsia="Times New Roman" w:hAnsi="Tahoma" w:cs="Arial"/>
      <w:sz w:val="16"/>
      <w:szCs w:val="24"/>
    </w:rPr>
  </w:style>
  <w:style w:type="character" w:styleId="slostrnky">
    <w:name w:val="page number"/>
    <w:basedOn w:val="Standardnpsmoodstavce"/>
    <w:rsid w:val="009044CB"/>
  </w:style>
  <w:style w:type="paragraph" w:styleId="Textvbloku">
    <w:name w:val="Block Text"/>
    <w:basedOn w:val="Normln"/>
    <w:rsid w:val="00F45478"/>
    <w:pPr>
      <w:numPr>
        <w:ilvl w:val="12"/>
      </w:numPr>
      <w:tabs>
        <w:tab w:val="left" w:pos="1276"/>
      </w:tabs>
      <w:spacing w:after="0" w:line="240" w:lineRule="auto"/>
      <w:ind w:left="1276" w:right="851" w:hanging="1276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54D7D"/>
    <w:rPr>
      <w:rFonts w:ascii="Cambria" w:eastAsia="Times New Roman" w:hAnsi="Cambria" w:cs="Times New Roman"/>
      <w:b/>
      <w:bCs/>
      <w:color w:val="345A8A"/>
      <w:sz w:val="32"/>
      <w:szCs w:val="32"/>
      <w:lang w:eastAsia="en-US"/>
    </w:rPr>
  </w:style>
  <w:style w:type="paragraph" w:styleId="Odstavecseseznamem">
    <w:name w:val="List Paragraph"/>
    <w:basedOn w:val="Normln"/>
    <w:uiPriority w:val="34"/>
    <w:qFormat/>
    <w:rsid w:val="002B2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o-efekt.cz/cz/legislativa/zakony-a-vyhlasky/zakon-406-2000" TargetMode="External"/><Relationship Id="rId13" Type="http://schemas.openxmlformats.org/officeDocument/2006/relationships/hyperlink" Target="http://www.mpo-efekt.cz/cz/legislativa/zakony-a-vyhlasky/zakon-406-200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po-efekt.cz/cz/legislativa/zakony-a-vyhlasky/zakon-406-200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po-efekt.cz/cz/legislativa/zakony-a-vyhlasky/zakon-406-20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mpo-efekt.cz/cz/legislativa/zakony-a-vyhlasky/zakon-406-200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mpo-efekt.cz/cz/legislativa/zakony-a-vyhlasky/zakon-406-2000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4DFE4-401F-41FE-8455-199390E5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1771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Typ dokumentu</vt:lpstr>
    </vt:vector>
  </TitlesOfParts>
  <Company>FNOL</Company>
  <LinksUpToDate>false</LinksUpToDate>
  <CharactersWithSpaces>12201</CharactersWithSpaces>
  <SharedDoc>false</SharedDoc>
  <HLinks>
    <vt:vector size="42" baseType="variant">
      <vt:variant>
        <vt:i4>6619254</vt:i4>
      </vt:variant>
      <vt:variant>
        <vt:i4>18</vt:i4>
      </vt:variant>
      <vt:variant>
        <vt:i4>0</vt:i4>
      </vt:variant>
      <vt:variant>
        <vt:i4>5</vt:i4>
      </vt:variant>
      <vt:variant>
        <vt:lpwstr>http://www.mpo-efekt.cz/cz/legislativa/zakony-a-vyhlasky/zakon-406-2000</vt:lpwstr>
      </vt:variant>
      <vt:variant>
        <vt:lpwstr/>
      </vt:variant>
      <vt:variant>
        <vt:i4>6619254</vt:i4>
      </vt:variant>
      <vt:variant>
        <vt:i4>15</vt:i4>
      </vt:variant>
      <vt:variant>
        <vt:i4>0</vt:i4>
      </vt:variant>
      <vt:variant>
        <vt:i4>5</vt:i4>
      </vt:variant>
      <vt:variant>
        <vt:lpwstr>http://www.mpo-efekt.cz/cz/legislativa/zakony-a-vyhlasky/zakon-406-2000</vt:lpwstr>
      </vt:variant>
      <vt:variant>
        <vt:lpwstr/>
      </vt:variant>
      <vt:variant>
        <vt:i4>6619254</vt:i4>
      </vt:variant>
      <vt:variant>
        <vt:i4>12</vt:i4>
      </vt:variant>
      <vt:variant>
        <vt:i4>0</vt:i4>
      </vt:variant>
      <vt:variant>
        <vt:i4>5</vt:i4>
      </vt:variant>
      <vt:variant>
        <vt:lpwstr>http://www.mpo-efekt.cz/cz/legislativa/zakony-a-vyhlasky/zakon-406-2000</vt:lpwstr>
      </vt:variant>
      <vt:variant>
        <vt:lpwstr/>
      </vt:variant>
      <vt:variant>
        <vt:i4>6619254</vt:i4>
      </vt:variant>
      <vt:variant>
        <vt:i4>9</vt:i4>
      </vt:variant>
      <vt:variant>
        <vt:i4>0</vt:i4>
      </vt:variant>
      <vt:variant>
        <vt:i4>5</vt:i4>
      </vt:variant>
      <vt:variant>
        <vt:lpwstr>http://www.mpo-efekt.cz/cz/legislativa/zakony-a-vyhlasky/zakon-406-2000</vt:lpwstr>
      </vt:variant>
      <vt:variant>
        <vt:lpwstr/>
      </vt:variant>
      <vt:variant>
        <vt:i4>1835095</vt:i4>
      </vt:variant>
      <vt:variant>
        <vt:i4>6</vt:i4>
      </vt:variant>
      <vt:variant>
        <vt:i4>0</vt:i4>
      </vt:variant>
      <vt:variant>
        <vt:i4>5</vt:i4>
      </vt:variant>
      <vt:variant>
        <vt:lpwstr>http://www.mpo-efekt.cz/cz/energeticke-expertizy/prukaz-energeticke-narocnosti-budov</vt:lpwstr>
      </vt:variant>
      <vt:variant>
        <vt:lpwstr/>
      </vt:variant>
      <vt:variant>
        <vt:i4>7405624</vt:i4>
      </vt:variant>
      <vt:variant>
        <vt:i4>3</vt:i4>
      </vt:variant>
      <vt:variant>
        <vt:i4>0</vt:i4>
      </vt:variant>
      <vt:variant>
        <vt:i4>5</vt:i4>
      </vt:variant>
      <vt:variant>
        <vt:lpwstr>http://www.mpo-efekt.cz/cz/energeticke-expertizy/energeticky-audit</vt:lpwstr>
      </vt:variant>
      <vt:variant>
        <vt:lpwstr/>
      </vt:variant>
      <vt:variant>
        <vt:i4>6619254</vt:i4>
      </vt:variant>
      <vt:variant>
        <vt:i4>0</vt:i4>
      </vt:variant>
      <vt:variant>
        <vt:i4>0</vt:i4>
      </vt:variant>
      <vt:variant>
        <vt:i4>5</vt:i4>
      </vt:variant>
      <vt:variant>
        <vt:lpwstr>http://www.mpo-efekt.cz/cz/legislativa/zakony-a-vyhlasky/zakon-406-2000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 dokumentu</dc:title>
  <dc:creator>Jana Duchoslavová</dc:creator>
  <cp:lastModifiedBy>Eyer Jan, Ing.</cp:lastModifiedBy>
  <cp:revision>10</cp:revision>
  <cp:lastPrinted>2019-01-04T15:21:00Z</cp:lastPrinted>
  <dcterms:created xsi:type="dcterms:W3CDTF">2017-11-06T09:51:00Z</dcterms:created>
  <dcterms:modified xsi:type="dcterms:W3CDTF">2025-04-14T09:48:00Z</dcterms:modified>
</cp:coreProperties>
</file>