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3CFBBC2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8F2DA6">
        <w:rPr>
          <w:rFonts w:cs="Arial"/>
          <w:color w:val="000000"/>
        </w:rPr>
        <w:t>Mgr. Tereza Hyblová</w:t>
      </w:r>
      <w:r w:rsidRPr="00666A70">
        <w:rPr>
          <w:rFonts w:cs="Arial"/>
          <w:color w:val="000000"/>
        </w:rPr>
        <w:t xml:space="preserve">……………………  Rodné číslo: </w:t>
      </w:r>
      <w:r w:rsidR="003F7A67" w:rsidRPr="003F7A67">
        <w:rPr>
          <w:rFonts w:cs="Arial"/>
          <w:color w:val="000000"/>
        </w:rPr>
        <w:t>915815/6139</w:t>
      </w:r>
    </w:p>
    <w:p w14:paraId="15A6CE95" w14:textId="4C93A24E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8F2DA6">
        <w:rPr>
          <w:rFonts w:cs="Arial"/>
          <w:color w:val="000000"/>
        </w:rPr>
        <w:t>Na Řádkách 15</w:t>
      </w:r>
      <w:r w:rsidR="00A45955">
        <w:rPr>
          <w:rFonts w:cs="Arial"/>
          <w:color w:val="000000"/>
        </w:rPr>
        <w:t xml:space="preserve">, </w:t>
      </w:r>
      <w:r w:rsidR="008F2DA6">
        <w:rPr>
          <w:rFonts w:cs="Arial"/>
          <w:color w:val="000000"/>
        </w:rPr>
        <w:t>Zábřeh na Moravě 798 01</w:t>
      </w:r>
      <w:r w:rsidR="00A45955">
        <w:rPr>
          <w:rFonts w:cs="Arial"/>
          <w:color w:val="000000"/>
        </w:rPr>
        <w:t xml:space="preserve">, tel.: </w:t>
      </w:r>
      <w:r w:rsidR="008F2DA6">
        <w:rPr>
          <w:rFonts w:cs="Arial"/>
          <w:color w:val="000000"/>
        </w:rPr>
        <w:t>737 975 776</w:t>
      </w:r>
    </w:p>
    <w:p w14:paraId="3B4FD597" w14:textId="7BEE03B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A45955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bookmarkStart w:id="1" w:name="_GoBack"/>
      <w:r w:rsidR="008F2DA6">
        <w:rPr>
          <w:rFonts w:cs="Arial"/>
          <w:color w:val="000000"/>
        </w:rPr>
        <w:t>hyblova.tereza.31@gmail.com</w:t>
      </w:r>
      <w:bookmarkEnd w:id="1"/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B837DA5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A45955" w:rsidRPr="00A45955">
        <w:rPr>
          <w:rFonts w:cs="Arial"/>
          <w:b/>
          <w:bCs/>
        </w:rPr>
        <w:t>30.1.2025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43D594A4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A45955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8F2DA6">
        <w:rPr>
          <w:rFonts w:cs="Arial"/>
          <w:bCs/>
          <w:color w:val="000000"/>
        </w:rPr>
        <w:t>17</w:t>
      </w:r>
      <w:r w:rsidR="00A45955">
        <w:rPr>
          <w:rFonts w:cs="Arial"/>
          <w:bCs/>
          <w:color w:val="000000"/>
        </w:rPr>
        <w:t>.1.2024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0EE04AC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8F2DA6">
        <w:t>Mgr. Tereza Hyblová</w:t>
      </w:r>
      <w:r w:rsidR="008F2DA6">
        <w:tab/>
      </w:r>
      <w:r w:rsidR="008F2DA6">
        <w:tab/>
      </w:r>
      <w:r w:rsidR="008F2DA6">
        <w:tab/>
      </w:r>
      <w:r w:rsidR="008F2DA6">
        <w:tab/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A45955">
        <w:t xml:space="preserve"> 1</w:t>
      </w:r>
      <w:r w:rsidR="008F2DA6">
        <w:t>5.8.1991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4F77205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8F2DA6">
        <w:t>17</w:t>
      </w:r>
      <w:r w:rsidR="00A45955">
        <w:t>.1.2024</w:t>
      </w:r>
      <w:r>
        <w:tab/>
        <w:t xml:space="preserve">           </w:t>
      </w:r>
      <w:r w:rsidR="00A45955">
        <w:tab/>
      </w:r>
      <w:r w:rsidR="00A45955">
        <w:tab/>
      </w:r>
      <w:r w:rsidR="00A45955">
        <w:tab/>
      </w:r>
      <w:r>
        <w:t xml:space="preserve">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00A54EB9" w14:textId="042A0B2F" w:rsidR="00A45955" w:rsidRPr="00CA5566" w:rsidRDefault="00A45955" w:rsidP="00A45955">
      <w:pPr>
        <w:pStyle w:val="Nadpis2"/>
        <w:spacing w:line="240" w:lineRule="auto"/>
        <w:jc w:val="left"/>
      </w:pPr>
      <w:r w:rsidRPr="00CA5566">
        <w:t xml:space="preserve">Dobrovolník </w:t>
      </w:r>
      <w:r w:rsidR="008F2DA6">
        <w:t>Mgr. Tereza Hyblová</w:t>
      </w:r>
      <w:r w:rsidRPr="00CA5566">
        <w:tab/>
      </w:r>
      <w:r>
        <w:tab/>
      </w:r>
      <w:r>
        <w:tab/>
      </w:r>
      <w:r>
        <w:tab/>
      </w:r>
      <w:r>
        <w:tab/>
      </w:r>
      <w:r w:rsidRPr="00CA5566">
        <w:tab/>
      </w:r>
      <w:r w:rsidRPr="00AC576D">
        <w:rPr>
          <w:color w:val="000000"/>
        </w:rPr>
        <w:t>datum narození</w:t>
      </w:r>
      <w:r>
        <w:t xml:space="preserve"> 1</w:t>
      </w:r>
      <w:r w:rsidR="008F2DA6">
        <w:t>5.8.1991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73776511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8F2DA6">
        <w:t>17</w:t>
      </w:r>
      <w:r w:rsidR="00A45955">
        <w:t>.1.2024</w:t>
      </w:r>
      <w:r w:rsidR="00A45955">
        <w:tab/>
      </w:r>
      <w:r w:rsidR="00A45955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3F7A67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8F2DA6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45955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81CE-B21A-4C84-8A39-1C9830E7BBB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78162D4-AA1C-4020-AA22-487A978D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1543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10631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2023-08-25T09:12:00Z</cp:lastPrinted>
  <dcterms:created xsi:type="dcterms:W3CDTF">2024-01-17T06:47:00Z</dcterms:created>
  <dcterms:modified xsi:type="dcterms:W3CDTF">2024-03-18T09:35:00Z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