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02A518E7" w14:textId="1433DFAC" w:rsidR="007D24F6" w:rsidRPr="007D24F6" w:rsidRDefault="00F750E2" w:rsidP="00F750E2">
      <w:pPr>
        <w:rPr>
          <w:rFonts w:cs="Arial"/>
          <w:color w:val="000000"/>
          <w:highlight w:val="yellow"/>
        </w:rPr>
      </w:pPr>
      <w:r w:rsidRPr="00666A70">
        <w:rPr>
          <w:rFonts w:cs="Arial"/>
          <w:color w:val="000000"/>
        </w:rPr>
        <w:t xml:space="preserve">Jméno a příjmení: </w:t>
      </w:r>
      <w:r w:rsidR="00D40F00">
        <w:rPr>
          <w:rFonts w:eastAsia="Times New Roman"/>
          <w:b/>
        </w:rPr>
        <w:t>Michala Kašparová</w:t>
      </w:r>
      <w:r w:rsidR="00D40F00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D24F6" w:rsidRPr="007D24F6">
        <w:rPr>
          <w:rFonts w:eastAsia="Times New Roman"/>
        </w:rPr>
        <w:t xml:space="preserve"> </w:t>
      </w:r>
      <w:r w:rsidR="007D24F6">
        <w:rPr>
          <w:rFonts w:eastAsia="Times New Roman"/>
        </w:rPr>
        <w:t>025714/3293</w:t>
      </w:r>
    </w:p>
    <w:p w14:paraId="15A6CE95" w14:textId="3B7A3D8B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</w:t>
      </w:r>
      <w:r w:rsidR="00DB1C2E">
        <w:rPr>
          <w:rFonts w:cs="Arial"/>
          <w:color w:val="000000"/>
        </w:rPr>
        <w:t xml:space="preserve">trvalého </w:t>
      </w:r>
      <w:r w:rsidRPr="00666A70">
        <w:rPr>
          <w:rFonts w:cs="Arial"/>
          <w:color w:val="000000"/>
        </w:rPr>
        <w:t xml:space="preserve">bydliště: </w:t>
      </w:r>
      <w:r w:rsidR="001438D5">
        <w:t>Vaňhalova 234</w:t>
      </w:r>
      <w:r w:rsidR="00FA1226">
        <w:t xml:space="preserve">, </w:t>
      </w:r>
      <w:r w:rsidR="001438D5">
        <w:t>Nechanice</w:t>
      </w:r>
      <w:r w:rsidR="00085EF5">
        <w:t xml:space="preserve"> </w:t>
      </w:r>
      <w:r w:rsidR="00085EF5">
        <w:t>503 15</w:t>
      </w:r>
    </w:p>
    <w:p w14:paraId="3B4FD597" w14:textId="5C4DCE1A" w:rsidR="00F750E2" w:rsidRPr="00100CFC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D40F00">
        <w:rPr>
          <w:rFonts w:cs="Arial"/>
          <w:color w:val="000000" w:themeColor="text1"/>
        </w:rPr>
        <w:t>michalakaspar</w:t>
      </w:r>
      <w:r w:rsidR="00FA1226">
        <w:rPr>
          <w:rFonts w:cs="Arial"/>
          <w:color w:val="000000" w:themeColor="text1"/>
        </w:rPr>
        <w:t>ova</w:t>
      </w:r>
      <w:r w:rsidR="00D40F00">
        <w:rPr>
          <w:rFonts w:cs="Arial"/>
          <w:color w:val="000000" w:themeColor="text1"/>
        </w:rPr>
        <w:t>14</w:t>
      </w:r>
      <w:r w:rsidR="00FA1226">
        <w:rPr>
          <w:rFonts w:cs="Arial"/>
          <w:color w:val="000000" w:themeColor="text1"/>
        </w:rPr>
        <w:t xml:space="preserve">@seznam.cz, tel.: </w:t>
      </w:r>
      <w:r w:rsidR="00D40F00">
        <w:rPr>
          <w:rFonts w:cs="Arial"/>
          <w:color w:val="000000" w:themeColor="text1"/>
        </w:rPr>
        <w:t>734 303 574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D3EF4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DB1C2E">
        <w:rPr>
          <w:rFonts w:cs="Arial"/>
          <w:b/>
          <w:bCs/>
        </w:rPr>
        <w:t>30.3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D56A786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085EF5">
        <w:rPr>
          <w:rFonts w:cs="Arial"/>
          <w:bCs/>
          <w:color w:val="000000"/>
        </w:rPr>
        <w:t>20</w:t>
      </w:r>
      <w:r w:rsidR="00DB1C2E">
        <w:rPr>
          <w:rFonts w:cs="Arial"/>
          <w:bCs/>
          <w:color w:val="000000"/>
        </w:rPr>
        <w:t>.3</w:t>
      </w:r>
      <w:r w:rsidR="003D0B64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0F7C77D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E1469" w:rsidRPr="001E1469">
        <w:t>Michala Kašparová</w:t>
      </w:r>
      <w:r w:rsidR="0063595F" w:rsidRPr="0063595F">
        <w:tab/>
      </w:r>
      <w:r w:rsidRPr="00CA5566">
        <w:tab/>
      </w:r>
      <w:r w:rsidRPr="00CA5566">
        <w:tab/>
      </w:r>
      <w:r w:rsidR="003D0B64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1E1469">
        <w:t>14.7.2002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A8C7BCA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085EF5">
        <w:t>20</w:t>
      </w:r>
      <w:r w:rsidR="00DB1C2E">
        <w:t>.3</w:t>
      </w:r>
      <w:r w:rsidR="00A263F7">
        <w:t>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2EDAE87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1E1469" w:rsidRPr="001E1469">
        <w:t>Michala Kašparová</w:t>
      </w:r>
      <w:r w:rsidR="003D0B64">
        <w:rPr>
          <w:color w:val="000000"/>
        </w:rPr>
        <w:tab/>
      </w:r>
      <w:r w:rsidR="00B74571">
        <w:rPr>
          <w:color w:val="000000"/>
        </w:rPr>
        <w:tab/>
      </w:r>
      <w:r w:rsidR="00B74571">
        <w:rPr>
          <w:color w:val="000000"/>
        </w:rPr>
        <w:tab/>
      </w:r>
      <w:r w:rsidR="00BA0CE8">
        <w:rPr>
          <w:color w:val="000000"/>
        </w:rPr>
        <w:tab/>
      </w:r>
      <w:r w:rsidR="00100CFC">
        <w:rPr>
          <w:color w:val="000000"/>
        </w:rPr>
        <w:tab/>
      </w:r>
      <w:r w:rsidR="00FA1226">
        <w:rPr>
          <w:color w:val="000000"/>
        </w:rPr>
        <w:tab/>
      </w:r>
      <w:r w:rsidRPr="00563277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rPr>
          <w:color w:val="000000"/>
        </w:rPr>
        <w:t xml:space="preserve"> </w:t>
      </w:r>
      <w:r w:rsidR="001E1469">
        <w:t>14.7.2002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02E1EEA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085EF5">
        <w:t>20</w:t>
      </w:r>
      <w:r w:rsidR="00DB1C2E">
        <w:t>.3</w:t>
      </w:r>
      <w:r w:rsidR="00A263F7">
        <w:t>.</w:t>
      </w:r>
      <w:r w:rsidR="003D0B64">
        <w:t>2024</w:t>
      </w:r>
      <w:r w:rsidRPr="00CA5566">
        <w:tab/>
      </w:r>
      <w:r>
        <w:t xml:space="preserve">    </w:t>
      </w:r>
      <w:r w:rsidR="003D0B64">
        <w:tab/>
      </w:r>
      <w:r w:rsidR="00A263F7">
        <w:tab/>
      </w:r>
      <w:bookmarkStart w:id="3" w:name="_GoBack"/>
      <w:bookmarkEnd w:id="3"/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85EF5"/>
    <w:rsid w:val="00090271"/>
    <w:rsid w:val="00090896"/>
    <w:rsid w:val="000D0980"/>
    <w:rsid w:val="000F5110"/>
    <w:rsid w:val="00100CFC"/>
    <w:rsid w:val="00101E33"/>
    <w:rsid w:val="00104B9E"/>
    <w:rsid w:val="00131DE2"/>
    <w:rsid w:val="001438D5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1E1469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6FF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D24F6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4571"/>
    <w:rsid w:val="00B76509"/>
    <w:rsid w:val="00B76704"/>
    <w:rsid w:val="00B869C4"/>
    <w:rsid w:val="00B91FDB"/>
    <w:rsid w:val="00BA0CE8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40F00"/>
    <w:rsid w:val="00D56ADF"/>
    <w:rsid w:val="00D77624"/>
    <w:rsid w:val="00D77FE1"/>
    <w:rsid w:val="00D92E15"/>
    <w:rsid w:val="00DA0260"/>
    <w:rsid w:val="00DB1C2E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A1226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7A7B9F-C950-49D5-85D1-28B1FA25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1540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10609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2024-03-07T09:44:00Z</cp:lastPrinted>
  <dcterms:created xsi:type="dcterms:W3CDTF">2024-03-07T09:51:00Z</dcterms:created>
  <dcterms:modified xsi:type="dcterms:W3CDTF">2024-03-13T08:23:00Z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