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7B73D" w14:textId="72442659" w:rsidR="00380D25" w:rsidRPr="005974A9" w:rsidRDefault="00A06904" w:rsidP="00FC19DC">
      <w:pPr>
        <w:pStyle w:val="Odstavecseseznamem"/>
        <w:numPr>
          <w:ilvl w:val="0"/>
          <w:numId w:val="2"/>
        </w:numPr>
      </w:pPr>
      <w:r w:rsidRPr="00A06904">
        <w:rPr>
          <w:rFonts w:cstheme="min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31A0AE5B" wp14:editId="7044132F">
            <wp:simplePos x="0" y="0"/>
            <wp:positionH relativeFrom="margin">
              <wp:posOffset>0</wp:posOffset>
            </wp:positionH>
            <wp:positionV relativeFrom="topMargin">
              <wp:posOffset>142240</wp:posOffset>
            </wp:positionV>
            <wp:extent cx="1875234" cy="714375"/>
            <wp:effectExtent l="0" t="0" r="0" b="0"/>
            <wp:wrapNone/>
            <wp:docPr id="4" name="WordPictureWatermark3" descr="ilustrato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34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B63" w:rsidRPr="00FC19D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analýze k projektu v rámci programu R</w:t>
      </w:r>
      <w:r w:rsidR="00022B5D" w:rsidRPr="00FC19D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E</w:t>
      </w:r>
      <w:r w:rsidR="00996B63" w:rsidRPr="00FC19D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ACT-EU</w:t>
      </w:r>
    </w:p>
    <w:p w14:paraId="48526F69" w14:textId="3484FB41" w:rsidR="00671D50" w:rsidRDefault="00671D50" w:rsidP="00671D5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671D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Projekt:</w:t>
      </w:r>
      <w:r w:rsidRPr="00671D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  <w:t>D</w:t>
      </w:r>
      <w:r w:rsidRPr="005446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ostavba budovy a modernizace přístrojového vybavení pro pacienty </w:t>
      </w:r>
    </w:p>
    <w:p w14:paraId="6623FB95" w14:textId="72DAAD58" w:rsidR="00A06904" w:rsidRDefault="00671D50" w:rsidP="005974A9">
      <w:pPr>
        <w:spacing w:after="0" w:line="240" w:lineRule="auto"/>
        <w:ind w:firstLine="1416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5446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vyžadující doléčení</w:t>
      </w:r>
    </w:p>
    <w:p w14:paraId="4A38EC53" w14:textId="77777777" w:rsidR="005974A9" w:rsidRPr="005974A9" w:rsidRDefault="005974A9" w:rsidP="005974A9">
      <w:pPr>
        <w:spacing w:after="0" w:line="240" w:lineRule="auto"/>
        <w:ind w:firstLine="1416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54032883" w14:textId="4A6E98C7" w:rsidR="005446E3" w:rsidRPr="00A06904" w:rsidRDefault="00671D50" w:rsidP="00F8497B">
      <w:pPr>
        <w:rPr>
          <w:rFonts w:cstheme="minorHAnsi"/>
          <w:b/>
          <w:bCs/>
          <w:sz w:val="32"/>
          <w:szCs w:val="32"/>
          <w:u w:val="single"/>
        </w:rPr>
      </w:pPr>
      <w:r w:rsidRPr="00A06904">
        <w:rPr>
          <w:rFonts w:cstheme="minorHAnsi"/>
          <w:b/>
          <w:bCs/>
          <w:sz w:val="32"/>
          <w:szCs w:val="32"/>
          <w:u w:val="single"/>
        </w:rPr>
        <w:t>FINANČNÍ ANALÝZA</w:t>
      </w:r>
    </w:p>
    <w:p w14:paraId="279B0F21" w14:textId="77777777" w:rsidR="005974A9" w:rsidRDefault="00F8497B" w:rsidP="00085A68">
      <w:pPr>
        <w:jc w:val="both"/>
        <w:rPr>
          <w:rFonts w:eastAsia="Calibri" w:cstheme="minorHAnsi"/>
          <w:b/>
          <w:bCs/>
          <w:sz w:val="24"/>
          <w:szCs w:val="24"/>
        </w:rPr>
      </w:pPr>
      <w:r w:rsidRPr="00F8497B">
        <w:rPr>
          <w:rFonts w:eastAsia="Calibri" w:cstheme="minorHAnsi"/>
          <w:b/>
          <w:bCs/>
          <w:sz w:val="24"/>
          <w:szCs w:val="24"/>
        </w:rPr>
        <w:t>Položkový rozpočet způsobilých výdajů</w:t>
      </w:r>
    </w:p>
    <w:p w14:paraId="63BBF294" w14:textId="05D2A6F0" w:rsidR="00A06904" w:rsidRPr="005974A9" w:rsidRDefault="00A06904" w:rsidP="00085A68">
      <w:pPr>
        <w:jc w:val="both"/>
        <w:rPr>
          <w:rFonts w:eastAsia="Calibri" w:cstheme="minorHAnsi"/>
          <w:b/>
          <w:bCs/>
          <w:sz w:val="24"/>
          <w:szCs w:val="24"/>
        </w:rPr>
      </w:pPr>
      <w:r w:rsidRPr="00A06904">
        <w:rPr>
          <w:rFonts w:eastAsia="Calibri" w:cstheme="minorHAnsi"/>
          <w:sz w:val="24"/>
          <w:szCs w:val="24"/>
        </w:rPr>
        <w:t xml:space="preserve">Celkové způsobilé </w:t>
      </w:r>
      <w:r>
        <w:rPr>
          <w:rFonts w:eastAsia="Calibri" w:cstheme="minorHAnsi"/>
          <w:sz w:val="24"/>
          <w:szCs w:val="24"/>
        </w:rPr>
        <w:t>výdaje</w:t>
      </w:r>
      <w:r w:rsidRPr="00A06904">
        <w:rPr>
          <w:rFonts w:eastAsia="Calibri" w:cstheme="minorHAnsi"/>
          <w:sz w:val="24"/>
          <w:szCs w:val="24"/>
        </w:rPr>
        <w:t xml:space="preserve"> projektu jsou vyčísleny na </w:t>
      </w:r>
      <w:r>
        <w:rPr>
          <w:rFonts w:eastAsia="Calibri" w:cstheme="minorHAnsi"/>
          <w:sz w:val="24"/>
          <w:szCs w:val="24"/>
        </w:rPr>
        <w:t>99 </w:t>
      </w:r>
      <w:r w:rsidR="00245A51">
        <w:rPr>
          <w:rFonts w:eastAsia="Calibri" w:cstheme="minorHAnsi"/>
          <w:sz w:val="24"/>
          <w:szCs w:val="24"/>
        </w:rPr>
        <w:t>903</w:t>
      </w:r>
      <w:bookmarkStart w:id="0" w:name="_GoBack"/>
      <w:bookmarkEnd w:id="0"/>
      <w:r w:rsidR="00F26927">
        <w:rPr>
          <w:rFonts w:eastAsia="Calibri" w:cstheme="minorHAnsi"/>
          <w:sz w:val="24"/>
          <w:szCs w:val="24"/>
        </w:rPr>
        <w:t> </w:t>
      </w:r>
      <w:r>
        <w:rPr>
          <w:rFonts w:eastAsia="Calibri" w:cstheme="minorHAnsi"/>
          <w:sz w:val="24"/>
          <w:szCs w:val="24"/>
        </w:rPr>
        <w:t>294</w:t>
      </w:r>
      <w:r w:rsidR="00F26927">
        <w:rPr>
          <w:rFonts w:eastAsia="Calibri" w:cstheme="minorHAnsi"/>
          <w:sz w:val="24"/>
          <w:szCs w:val="24"/>
        </w:rPr>
        <w:t>,</w:t>
      </w:r>
      <w:r w:rsidR="00E42FCB">
        <w:rPr>
          <w:rFonts w:eastAsia="Calibri" w:cstheme="minorHAnsi"/>
          <w:sz w:val="24"/>
          <w:szCs w:val="24"/>
        </w:rPr>
        <w:t>-</w:t>
      </w:r>
      <w:r w:rsidRPr="00A06904">
        <w:rPr>
          <w:rFonts w:eastAsia="Calibri" w:cstheme="minorHAnsi"/>
          <w:sz w:val="24"/>
          <w:szCs w:val="24"/>
        </w:rPr>
        <w:t xml:space="preserve"> Kč včetně DPH (DPH je způsobilým nákladem)</w:t>
      </w:r>
      <w:r w:rsidR="00EB56E2">
        <w:rPr>
          <w:rFonts w:eastAsia="Calibri" w:cstheme="minorHAnsi"/>
          <w:sz w:val="24"/>
          <w:szCs w:val="24"/>
        </w:rPr>
        <w:t xml:space="preserve">, </w:t>
      </w:r>
      <w:r w:rsidR="00EB56E2" w:rsidRPr="00EB56E2">
        <w:rPr>
          <w:rFonts w:eastAsia="Calibri" w:cstheme="minorHAnsi"/>
          <w:sz w:val="24"/>
          <w:szCs w:val="24"/>
        </w:rPr>
        <w:t>z toho je 1</w:t>
      </w:r>
      <w:r w:rsidR="00B7110F">
        <w:rPr>
          <w:rFonts w:eastAsia="Calibri" w:cstheme="minorHAnsi"/>
          <w:sz w:val="24"/>
          <w:szCs w:val="24"/>
        </w:rPr>
        <w:t>5</w:t>
      </w:r>
      <w:r w:rsidR="00F26927">
        <w:rPr>
          <w:rFonts w:eastAsia="Calibri" w:cstheme="minorHAnsi"/>
          <w:sz w:val="24"/>
          <w:szCs w:val="24"/>
        </w:rPr>
        <w:t> </w:t>
      </w:r>
      <w:r w:rsidR="00EB56E2" w:rsidRPr="00EB56E2">
        <w:rPr>
          <w:rFonts w:eastAsia="Calibri" w:cstheme="minorHAnsi"/>
          <w:sz w:val="24"/>
          <w:szCs w:val="24"/>
        </w:rPr>
        <w:t>000</w:t>
      </w:r>
      <w:r w:rsidR="00F26927">
        <w:rPr>
          <w:rFonts w:eastAsia="Calibri" w:cstheme="minorHAnsi"/>
          <w:sz w:val="24"/>
          <w:szCs w:val="24"/>
        </w:rPr>
        <w:t>,</w:t>
      </w:r>
      <w:r w:rsidR="00EB56E2" w:rsidRPr="00EB56E2">
        <w:rPr>
          <w:rFonts w:eastAsia="Calibri" w:cstheme="minorHAnsi"/>
          <w:sz w:val="24"/>
          <w:szCs w:val="24"/>
        </w:rPr>
        <w:t xml:space="preserve"> Kč povinná publicita projektu.</w:t>
      </w:r>
      <w:r w:rsidR="00EB56E2">
        <w:rPr>
          <w:rFonts w:eastAsia="Calibri" w:cstheme="minorHAnsi"/>
          <w:sz w:val="24"/>
          <w:szCs w:val="24"/>
        </w:rPr>
        <w:t xml:space="preserve"> </w:t>
      </w:r>
      <w:r w:rsidRPr="00A06904">
        <w:rPr>
          <w:rFonts w:eastAsia="Calibri" w:cstheme="minorHAnsi"/>
          <w:sz w:val="24"/>
          <w:szCs w:val="24"/>
        </w:rPr>
        <w:t>Veškeré výdaje směřují do hlavních aktivit</w:t>
      </w:r>
      <w:r w:rsidR="00EB56E2">
        <w:rPr>
          <w:rFonts w:eastAsia="Calibri" w:cstheme="minorHAnsi"/>
          <w:sz w:val="24"/>
          <w:szCs w:val="24"/>
        </w:rPr>
        <w:t xml:space="preserve"> vyjma publicity</w:t>
      </w:r>
      <w:r>
        <w:rPr>
          <w:rFonts w:eastAsia="Calibri" w:cstheme="minorHAnsi"/>
          <w:sz w:val="24"/>
          <w:szCs w:val="24"/>
        </w:rPr>
        <w:t xml:space="preserve"> a </w:t>
      </w:r>
      <w:r w:rsidRPr="00A06904">
        <w:rPr>
          <w:rFonts w:eastAsia="Calibri" w:cstheme="minorHAnsi"/>
          <w:sz w:val="24"/>
          <w:szCs w:val="24"/>
        </w:rPr>
        <w:t>jsou podloženy průzkumem trhu odpovídají</w:t>
      </w:r>
      <w:r>
        <w:rPr>
          <w:rFonts w:eastAsia="Calibri" w:cstheme="minorHAnsi"/>
          <w:sz w:val="24"/>
          <w:szCs w:val="24"/>
        </w:rPr>
        <w:t>cí</w:t>
      </w:r>
      <w:r w:rsidRPr="00A06904">
        <w:rPr>
          <w:rFonts w:eastAsia="Calibri" w:cstheme="minorHAnsi"/>
          <w:sz w:val="24"/>
          <w:szCs w:val="24"/>
        </w:rPr>
        <w:t xml:space="preserve"> cenám v místě a čase obvyklým. </w:t>
      </w:r>
    </w:p>
    <w:tbl>
      <w:tblPr>
        <w:tblW w:w="11343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"/>
        <w:gridCol w:w="1007"/>
        <w:gridCol w:w="4939"/>
        <w:gridCol w:w="954"/>
        <w:gridCol w:w="1739"/>
        <w:gridCol w:w="1701"/>
        <w:gridCol w:w="853"/>
      </w:tblGrid>
      <w:tr w:rsidR="00E22F32" w:rsidRPr="008D3032" w14:paraId="131E1D3F" w14:textId="77777777" w:rsidTr="00382C7F">
        <w:trPr>
          <w:trHeight w:val="3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9BF1" w14:textId="77777777" w:rsidR="008D3032" w:rsidRPr="008D3032" w:rsidRDefault="008D3032" w:rsidP="008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5D65" w14:textId="77777777" w:rsidR="008D3032" w:rsidRPr="008D3032" w:rsidRDefault="008D3032" w:rsidP="008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BB473" w14:textId="77777777" w:rsidR="008D3032" w:rsidRPr="008D3032" w:rsidRDefault="008D3032" w:rsidP="008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6191" w14:textId="77777777" w:rsidR="008D3032" w:rsidRPr="008D3032" w:rsidRDefault="008D3032" w:rsidP="008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BD96" w14:textId="77777777" w:rsidR="008D3032" w:rsidRPr="008D3032" w:rsidRDefault="008D3032" w:rsidP="008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E907" w14:textId="77777777" w:rsidR="008D3032" w:rsidRPr="008D3032" w:rsidRDefault="008D3032" w:rsidP="008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7A98" w14:textId="77777777" w:rsidR="008D3032" w:rsidRPr="008D3032" w:rsidRDefault="008D3032" w:rsidP="008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2F32" w:rsidRPr="008D3032" w14:paraId="349902E2" w14:textId="77777777" w:rsidTr="00382C7F">
        <w:trPr>
          <w:trHeight w:val="2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AF77" w14:textId="77777777" w:rsidR="008D3032" w:rsidRPr="008D3032" w:rsidRDefault="008D3032" w:rsidP="008D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16D7" w14:textId="5E1782DC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1" w:name="RANGE!B8:L27"/>
            <w:proofErr w:type="gramStart"/>
            <w:r w:rsidRPr="008D3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  MZČR</w:t>
            </w:r>
            <w:bookmarkEnd w:id="1"/>
            <w:proofErr w:type="gramEnd"/>
          </w:p>
        </w:tc>
        <w:tc>
          <w:tcPr>
            <w:tcW w:w="493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8D5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dle MZČR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0C18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jednotek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D0F4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2CC"/>
            <w:vAlign w:val="center"/>
            <w:hideMark/>
          </w:tcPr>
          <w:p w14:paraId="5976117B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</w:t>
            </w:r>
            <w:proofErr w:type="gramStart"/>
            <w:r w:rsidRPr="008D3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(</w:t>
            </w:r>
            <w:proofErr w:type="gramEnd"/>
            <w:r w:rsidRPr="008D3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způsobilé výdaje)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98AA8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Aktivita</w:t>
            </w:r>
          </w:p>
        </w:tc>
      </w:tr>
      <w:tr w:rsidR="00E22F32" w:rsidRPr="008D3032" w14:paraId="44320B0F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6640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9066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D29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694E" w14:textId="13E437F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Dynamické chodníky s integrovanými senzory pro analýzu a nácvik chůze s integrovanými tlakovými sensory</w:t>
            </w:r>
            <w:r w:rsidR="00E22F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E22F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rovnováhy ve virtuální realitě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9D6C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E1AB" w14:textId="6189CBE7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5 086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356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458481E" w14:textId="27FA480C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5 086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356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38F6C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2FB1D2B3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1CC9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18CB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D35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126A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Robotizované systémy pro posturální rehabilitaci s virtuální zpětnou vazbou s objektivizačními prvky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5135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6340" w14:textId="5C8DB337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4 376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967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,88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BFF77F8" w14:textId="2304B279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4 376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6,88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A70B0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7628EC7F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F0CC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9ECC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D27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C609" w14:textId="3543CC48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Pohybové </w:t>
            </w:r>
            <w:proofErr w:type="gramStart"/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trenažery -</w:t>
            </w:r>
            <w:r w:rsidR="00E22F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aktivní</w:t>
            </w:r>
            <w:proofErr w:type="gramEnd"/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pasivní pohybové prvky pro rehabilitaci v sedě nebo na lůžku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1D82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070C" w14:textId="3F30AA27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2 813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5905D41" w14:textId="0077A771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2 813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6773C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27A3DDFF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AAB7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FB95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D50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5973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Telerehabilitace</w:t>
            </w:r>
            <w:proofErr w:type="spellEnd"/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monitoring</w:t>
            </w:r>
            <w:proofErr w:type="gramEnd"/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distanční monitoring v rehabilitaci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4DD8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32BC" w14:textId="1D7065FA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3 774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7,60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60812E9" w14:textId="2B8895B7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3 774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7,60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A72D3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708AFA12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5534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965E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D26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4BE4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Pohybové </w:t>
            </w:r>
            <w:proofErr w:type="gramStart"/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trenažery - aktivní</w:t>
            </w:r>
            <w:proofErr w:type="gramEnd"/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pasivní pohybové prvky pro rehabilitaci v sedě nebo na lůžku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6F6D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7D57" w14:textId="41FB6315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1 179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314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,40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D765D27" w14:textId="47C2D083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1 179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314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,40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0863E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75F1071D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86FE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7AE4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D24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54A4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RHB lehátka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1349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D2B" w14:textId="4E5C43CF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03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1,91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A9DEF55" w14:textId="6D54A996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1 410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957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,41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3903C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4B53A5D4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E204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7E4E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D24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61C9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RHB lehátka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21A1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ED83" w14:textId="790F57AD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505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,48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3159420" w14:textId="4D4E04C9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244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516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,44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09227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66EA4DBA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90AD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34CF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D43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BB9E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Magnetoterapeutické</w:t>
            </w:r>
            <w:proofErr w:type="spellEnd"/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přístroje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951B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1EA0" w14:textId="2FCDD8A4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182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861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,25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4D0B699" w14:textId="04816FA9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182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861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,25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9B039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0E666C56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BC4D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A6BF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D40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BFE1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Terapeutický vysokovýkonný laser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1A6B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4222" w14:textId="048A7B70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888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987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9C2BBDC" w14:textId="712CC2B7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888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987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DD8E4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4309A3E9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D9FD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81F9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D38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F6BD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Elektroléčebné přístroje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7CDC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F9B5" w14:textId="4BD6DB6E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192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820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,16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24B8347" w14:textId="6556AD21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385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640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,31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7EB45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4DC5E2B7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0692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0293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D39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C50D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Kombinovaný přístroj pro elektroterapii a UZ terapii s vakuovou jednotkou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631B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E56A" w14:textId="137D789C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229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3,80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DEDEED8" w14:textId="669DF8DF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1 379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2,81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0BE6B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281CBEEE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6A23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8A85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D45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E6EF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Přístroj na lymfatické masáže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37C4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24FB" w14:textId="366CF31D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828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,13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94C95AB" w14:textId="451FC2EF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828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,13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66490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1DB2B376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8966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FF33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D38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05CA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Elektroléčebné přístroje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1469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EDEA" w14:textId="18B1F9A5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900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0C107D1" w14:textId="3899C692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900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5C6A6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27EE472B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7195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586A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D38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BAF1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Elektroléčebné přístroje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80A0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4221" w14:textId="3620A81C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1 744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215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B59DB2F" w14:textId="5225DA7A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1 744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215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A62D5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0147C18C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0287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E0F2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D47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469B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Přístrojové vybavení na podporu hojení defektů, ran, otoků - např. vakuum kompresní terapie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85F9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56E2" w14:textId="50DB757E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959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318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,25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28AE323" w14:textId="68A209D5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959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318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,25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870AF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59EDB05F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C56B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5E21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D26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0F7F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Pohybové </w:t>
            </w:r>
            <w:proofErr w:type="gramStart"/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trenažery -aktivní</w:t>
            </w:r>
            <w:proofErr w:type="gramEnd"/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pasivní pohybové prvky pro rehabilitaci v sedě nebo na lůžku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708C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9CE6" w14:textId="6CA033B6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113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376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,45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D2B0F14" w14:textId="139CB5A3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226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752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,45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E3ED9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1F6675EB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066E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5C3C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D26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656D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Pohybové </w:t>
            </w:r>
            <w:proofErr w:type="gramStart"/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trenažery -aktivní</w:t>
            </w:r>
            <w:proofErr w:type="gramEnd"/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pasivní pohybové prvky pro rehabilitaci v sedě nebo na lůžku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FB90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8B9F" w14:textId="6F9D60FD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371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9,45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4A5111B" w14:textId="4CDDBFAC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1 115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608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,36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DF114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6C8C2AD2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7032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EE01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D44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6CEA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Přístroj pro rázovou vlnu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0A99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7543" w14:textId="0BF1C14B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1 095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799,70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1EA5178" w14:textId="2D66A0EE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1 095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799,70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46965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51E76A32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A00A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F9340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BC25" w14:textId="6E7B7CA6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Dostavba evakuačních výtahů a rozšíření nouzového schodiště pro oddělení následné intenzivní péče</w:t>
            </w:r>
            <w:r w:rsidR="00E42FC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8C44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E8B7" w14:textId="7E2A498B" w:rsidR="008D3032" w:rsidRPr="008D3032" w:rsidRDefault="00382C7F" w:rsidP="00235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8D3032"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71 947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D3032"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212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  <w:r w:rsidR="00235F6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8D3032"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7B7906C" w14:textId="49DAE010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71 947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212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C2DD6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hlavní</w:t>
            </w:r>
          </w:p>
        </w:tc>
      </w:tr>
      <w:tr w:rsidR="00E22F32" w:rsidRPr="008D3032" w14:paraId="0661E991" w14:textId="77777777" w:rsidTr="00382C7F">
        <w:trPr>
          <w:trHeight w:val="2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D8F4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EBD9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AA32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Publicita projektu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E2C7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E958" w14:textId="4595DC9F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45A5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  <w:r w:rsidR="00382C7F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3A1DB3E" w14:textId="007E9EAB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45A5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  <w:r w:rsidR="00C46CAA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4A02E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vedlejší</w:t>
            </w:r>
          </w:p>
        </w:tc>
      </w:tr>
      <w:tr w:rsidR="00E22F32" w:rsidRPr="008D3032" w14:paraId="74BBA774" w14:textId="77777777" w:rsidTr="00382C7F">
        <w:trPr>
          <w:trHeight w:val="24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25E1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3082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DCA29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660D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F4C9" w14:textId="77777777" w:rsidR="008D3032" w:rsidRPr="008D3032" w:rsidRDefault="008D3032" w:rsidP="008D3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85FAAB8" w14:textId="578B91E4" w:rsidR="008D3032" w:rsidRPr="008D3032" w:rsidRDefault="008D3032" w:rsidP="008D3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99 </w:t>
            </w:r>
            <w:r w:rsidR="00245A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903</w:t>
            </w:r>
            <w:r w:rsidR="00753A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8D3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</w:t>
            </w:r>
            <w:r w:rsidR="00753A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3,97</w:t>
            </w:r>
            <w:r w:rsidRPr="008D3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53DAC" w14:textId="77777777" w:rsidR="008D3032" w:rsidRPr="008D3032" w:rsidRDefault="008D3032" w:rsidP="008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0E0CD8CF" w14:textId="77777777" w:rsidR="00CC2BF0" w:rsidRPr="00235F6C" w:rsidRDefault="00CC2BF0" w:rsidP="00CC2BF0">
      <w:pPr>
        <w:jc w:val="both"/>
        <w:rPr>
          <w:rFonts w:eastAsia="Calibri" w:cstheme="minorHAnsi"/>
          <w:b/>
          <w:bCs/>
          <w:sz w:val="24"/>
          <w:szCs w:val="24"/>
        </w:rPr>
      </w:pPr>
      <w:r w:rsidRPr="00235F6C">
        <w:rPr>
          <w:rFonts w:eastAsia="Calibri" w:cstheme="minorHAnsi"/>
          <w:b/>
          <w:bCs/>
          <w:sz w:val="24"/>
          <w:szCs w:val="24"/>
        </w:rPr>
        <w:t>Položkový rozpočet nezpůsobilých výdajů</w:t>
      </w:r>
    </w:p>
    <w:p w14:paraId="1DE64834" w14:textId="274C23B9" w:rsidR="00CC2BF0" w:rsidRPr="00235F6C" w:rsidRDefault="00CC2BF0" w:rsidP="00CC2BF0">
      <w:pPr>
        <w:jc w:val="both"/>
        <w:rPr>
          <w:rFonts w:eastAsia="Calibri" w:cstheme="minorHAnsi"/>
          <w:sz w:val="24"/>
          <w:szCs w:val="24"/>
        </w:rPr>
      </w:pPr>
      <w:r w:rsidRPr="00235F6C">
        <w:rPr>
          <w:rFonts w:eastAsia="Calibri" w:cstheme="minorHAnsi"/>
          <w:sz w:val="24"/>
          <w:szCs w:val="24"/>
        </w:rPr>
        <w:lastRenderedPageBreak/>
        <w:t xml:space="preserve">Celkové nezpůsobilé výdaje projektu jsou vyčísleny na 2 </w:t>
      </w:r>
      <w:r w:rsidR="00235F6C" w:rsidRPr="00235F6C">
        <w:rPr>
          <w:rFonts w:eastAsia="Calibri" w:cstheme="minorHAnsi"/>
          <w:sz w:val="24"/>
          <w:szCs w:val="24"/>
        </w:rPr>
        <w:t>595</w:t>
      </w:r>
      <w:r w:rsidRPr="00235F6C">
        <w:rPr>
          <w:rFonts w:eastAsia="Calibri" w:cstheme="minorHAnsi"/>
          <w:sz w:val="24"/>
          <w:szCs w:val="24"/>
        </w:rPr>
        <w:t xml:space="preserve"> </w:t>
      </w:r>
      <w:r w:rsidR="00245A51">
        <w:rPr>
          <w:rFonts w:eastAsia="Calibri" w:cstheme="minorHAnsi"/>
          <w:sz w:val="24"/>
          <w:szCs w:val="24"/>
        </w:rPr>
        <w:t>450</w:t>
      </w:r>
      <w:r w:rsidRPr="00235F6C">
        <w:rPr>
          <w:rFonts w:eastAsia="Calibri" w:cstheme="minorHAnsi"/>
          <w:sz w:val="24"/>
          <w:szCs w:val="24"/>
        </w:rPr>
        <w:t>,</w:t>
      </w:r>
      <w:r w:rsidR="00E42FCB">
        <w:rPr>
          <w:rFonts w:eastAsia="Calibri" w:cstheme="minorHAnsi"/>
          <w:sz w:val="24"/>
          <w:szCs w:val="24"/>
        </w:rPr>
        <w:t>-</w:t>
      </w:r>
      <w:r w:rsidRPr="00235F6C">
        <w:rPr>
          <w:rFonts w:eastAsia="Calibri" w:cstheme="minorHAnsi"/>
          <w:sz w:val="24"/>
          <w:szCs w:val="24"/>
        </w:rPr>
        <w:t xml:space="preserve"> Kč včetně DPH (DPH také v této věci není způsobilým nákladem). Svou podstatou se jedná o vedlejší rozpočtový náklad</w:t>
      </w:r>
      <w:r w:rsidR="00235F6C" w:rsidRPr="00235F6C">
        <w:rPr>
          <w:rFonts w:eastAsia="Calibri" w:cstheme="minorHAnsi"/>
          <w:sz w:val="24"/>
          <w:szCs w:val="24"/>
        </w:rPr>
        <w:t xml:space="preserve">. </w:t>
      </w:r>
      <w:r w:rsidRPr="00235F6C">
        <w:rPr>
          <w:rFonts w:eastAsia="Calibri" w:cstheme="minorHAnsi"/>
          <w:sz w:val="24"/>
          <w:szCs w:val="24"/>
        </w:rPr>
        <w:t>Věcně se jedná o zpracování projektové dokumentace, aut</w:t>
      </w:r>
      <w:r w:rsidR="00EC517F">
        <w:rPr>
          <w:rFonts w:eastAsia="Calibri" w:cstheme="minorHAnsi"/>
          <w:sz w:val="24"/>
          <w:szCs w:val="24"/>
        </w:rPr>
        <w:t>o</w:t>
      </w:r>
      <w:r w:rsidRPr="00235F6C">
        <w:rPr>
          <w:rFonts w:eastAsia="Calibri" w:cstheme="minorHAnsi"/>
          <w:sz w:val="24"/>
          <w:szCs w:val="24"/>
        </w:rPr>
        <w:t>rský dozor a koordinaci BOZP.</w:t>
      </w:r>
    </w:p>
    <w:tbl>
      <w:tblPr>
        <w:tblW w:w="588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4059"/>
        <w:gridCol w:w="1168"/>
        <w:gridCol w:w="1748"/>
        <w:gridCol w:w="1842"/>
        <w:gridCol w:w="735"/>
      </w:tblGrid>
      <w:tr w:rsidR="009D3E91" w:rsidRPr="00985498" w14:paraId="7391A873" w14:textId="77777777" w:rsidTr="00F26927">
        <w:trPr>
          <w:cantSplit/>
          <w:trHeight w:val="1078"/>
          <w:tblHeader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F9F0" w14:textId="77777777" w:rsidR="009D3E91" w:rsidRPr="009D3E91" w:rsidRDefault="00CC2BF0" w:rsidP="009D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3E9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Kategorie </w:t>
            </w:r>
          </w:p>
          <w:p w14:paraId="266CC5EA" w14:textId="3D2A2360" w:rsidR="00CC2BF0" w:rsidRPr="009D3E91" w:rsidRDefault="00CC2BF0" w:rsidP="009D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3E91">
              <w:rPr>
                <w:rFonts w:ascii="Calibri" w:eastAsia="Times New Roman" w:hAnsi="Calibri" w:cs="Calibri"/>
                <w:b/>
                <w:bCs/>
                <w:color w:val="000000"/>
              </w:rPr>
              <w:t>MZČR</w:t>
            </w:r>
          </w:p>
        </w:tc>
        <w:tc>
          <w:tcPr>
            <w:tcW w:w="1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F60" w14:textId="77777777" w:rsidR="00CC2BF0" w:rsidRPr="009D3E91" w:rsidRDefault="00CC2BF0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3E91">
              <w:rPr>
                <w:rFonts w:ascii="Calibri" w:eastAsia="Times New Roman" w:hAnsi="Calibri" w:cs="Calibri"/>
                <w:b/>
                <w:bCs/>
                <w:color w:val="000000"/>
              </w:rPr>
              <w:t>Nezpůsobilé výdaje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B6A7" w14:textId="77777777" w:rsidR="00CC2BF0" w:rsidRPr="009D3E91" w:rsidRDefault="00CC2BF0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3E91">
              <w:rPr>
                <w:rFonts w:ascii="Calibri" w:eastAsia="Times New Roman" w:hAnsi="Calibri" w:cs="Calibri"/>
                <w:b/>
                <w:bCs/>
                <w:color w:val="000000"/>
              </w:rPr>
              <w:t>Počet jednotek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0CC" w14:textId="77777777" w:rsidR="00CC2BF0" w:rsidRPr="009D3E91" w:rsidRDefault="00CC2BF0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3E91">
              <w:rPr>
                <w:rFonts w:ascii="Calibri" w:eastAsia="Times New Roman" w:hAnsi="Calibri" w:cs="Calibri"/>
                <w:b/>
                <w:bCs/>
                <w:color w:val="000000"/>
              </w:rPr>
              <w:t>Cena za jednotku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73A21C9" w14:textId="77777777" w:rsidR="00CC2BF0" w:rsidRPr="009D3E91" w:rsidRDefault="00CC2BF0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3E91">
              <w:rPr>
                <w:rFonts w:ascii="Calibri" w:eastAsia="Times New Roman" w:hAnsi="Calibri" w:cs="Calibri"/>
                <w:b/>
                <w:bCs/>
                <w:color w:val="000000"/>
              </w:rPr>
              <w:t>Celková cena (nezpůsobilé výdaje)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9A4" w14:textId="77777777" w:rsidR="00CC2BF0" w:rsidRPr="009D3E91" w:rsidRDefault="00CC2BF0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3E91">
              <w:rPr>
                <w:rFonts w:ascii="Calibri" w:eastAsia="Times New Roman" w:hAnsi="Calibri" w:cs="Calibri"/>
                <w:b/>
                <w:bCs/>
                <w:color w:val="000000"/>
              </w:rPr>
              <w:t>Aktivita</w:t>
            </w:r>
          </w:p>
        </w:tc>
      </w:tr>
      <w:tr w:rsidR="009D3E91" w:rsidRPr="00985498" w14:paraId="6CB44151" w14:textId="77777777" w:rsidTr="00F26927">
        <w:trPr>
          <w:cantSplit/>
          <w:trHeight w:val="419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35BF" w14:textId="77777777" w:rsidR="00CC2BF0" w:rsidRPr="00985498" w:rsidRDefault="00CC2BF0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9E81" w14:textId="5365162B" w:rsidR="00CC2BF0" w:rsidRPr="00EC1AA2" w:rsidRDefault="009D3E91" w:rsidP="00D83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3032">
              <w:rPr>
                <w:rFonts w:ascii="Calibri" w:eastAsia="Times New Roman" w:hAnsi="Calibri" w:cs="Calibri"/>
                <w:color w:val="000000"/>
                <w:lang w:eastAsia="cs-CZ"/>
              </w:rPr>
              <w:t>Dostavba evakuačních výtahů a rozšíření nouzového schodiště</w:t>
            </w:r>
            <w:r w:rsidR="00CC2BF0">
              <w:rPr>
                <w:sz w:val="18"/>
                <w:szCs w:val="18"/>
              </w:rPr>
              <w:t xml:space="preserve"> </w:t>
            </w:r>
            <w:r w:rsidR="00CC2BF0" w:rsidRPr="00EC1AA2">
              <w:rPr>
                <w:sz w:val="18"/>
                <w:szCs w:val="18"/>
              </w:rPr>
              <w:t xml:space="preserve">– </w:t>
            </w:r>
            <w:r w:rsidR="00CC2BF0" w:rsidRPr="009D3E91">
              <w:t>projektová dokumentace, autorský dozor a</w:t>
            </w:r>
            <w:r>
              <w:t xml:space="preserve"> </w:t>
            </w:r>
            <w:r w:rsidR="00CC2BF0" w:rsidRPr="009D3E91">
              <w:t>koordinace BOZP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9B85" w14:textId="77777777" w:rsidR="00235F6C" w:rsidRDefault="00235F6C" w:rsidP="00D8389C">
            <w:pPr>
              <w:spacing w:after="0" w:line="240" w:lineRule="auto"/>
              <w:jc w:val="center"/>
            </w:pPr>
            <w:r>
              <w:t xml:space="preserve">                                </w:t>
            </w:r>
          </w:p>
          <w:p w14:paraId="194A0F45" w14:textId="77777777" w:rsidR="00235F6C" w:rsidRDefault="00235F6C" w:rsidP="00D8389C">
            <w:pPr>
              <w:spacing w:after="0" w:line="240" w:lineRule="auto"/>
              <w:jc w:val="center"/>
            </w:pPr>
          </w:p>
          <w:p w14:paraId="1BB89B2E" w14:textId="77777777" w:rsidR="00235F6C" w:rsidRDefault="00235F6C" w:rsidP="00D8389C">
            <w:pPr>
              <w:spacing w:after="0" w:line="240" w:lineRule="auto"/>
              <w:jc w:val="center"/>
            </w:pPr>
          </w:p>
          <w:p w14:paraId="46F78498" w14:textId="49389BAA" w:rsidR="00CC2BF0" w:rsidRPr="00235F6C" w:rsidRDefault="00CC2BF0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F6C"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38D5" w14:textId="77777777" w:rsidR="00235F6C" w:rsidRDefault="00235F6C" w:rsidP="00D8389C">
            <w:pPr>
              <w:spacing w:after="0" w:line="240" w:lineRule="auto"/>
              <w:jc w:val="right"/>
            </w:pPr>
          </w:p>
          <w:p w14:paraId="72E95313" w14:textId="77777777" w:rsidR="00235F6C" w:rsidRDefault="00235F6C" w:rsidP="00D8389C">
            <w:pPr>
              <w:spacing w:after="0" w:line="240" w:lineRule="auto"/>
              <w:jc w:val="right"/>
            </w:pPr>
          </w:p>
          <w:p w14:paraId="316DE9F9" w14:textId="77777777" w:rsidR="00235F6C" w:rsidRDefault="00235F6C" w:rsidP="00D8389C">
            <w:pPr>
              <w:spacing w:after="0" w:line="240" w:lineRule="auto"/>
              <w:jc w:val="right"/>
            </w:pPr>
          </w:p>
          <w:p w14:paraId="20A68ADF" w14:textId="02172C96" w:rsidR="00CC2BF0" w:rsidRPr="00235F6C" w:rsidRDefault="00CC2BF0" w:rsidP="00D838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35F6C">
              <w:t xml:space="preserve">2 </w:t>
            </w:r>
            <w:r w:rsidR="009D3E91" w:rsidRPr="00235F6C">
              <w:t>595</w:t>
            </w:r>
            <w:r w:rsidR="00F26927">
              <w:t> </w:t>
            </w:r>
            <w:r w:rsidRPr="00235F6C">
              <w:t>000</w:t>
            </w:r>
            <w:r w:rsidR="00F26927">
              <w:t>,00</w:t>
            </w:r>
            <w:r w:rsidRPr="00235F6C">
              <w:t xml:space="preserve"> Kč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6E78A6D" w14:textId="77777777" w:rsidR="00235F6C" w:rsidRDefault="00235F6C" w:rsidP="00D8389C">
            <w:pPr>
              <w:spacing w:after="0" w:line="240" w:lineRule="auto"/>
              <w:jc w:val="right"/>
            </w:pPr>
          </w:p>
          <w:p w14:paraId="489EF28E" w14:textId="77777777" w:rsidR="00235F6C" w:rsidRDefault="00235F6C" w:rsidP="00D8389C">
            <w:pPr>
              <w:spacing w:after="0" w:line="240" w:lineRule="auto"/>
              <w:jc w:val="right"/>
            </w:pPr>
          </w:p>
          <w:p w14:paraId="721BAF10" w14:textId="77777777" w:rsidR="00235F6C" w:rsidRDefault="00235F6C" w:rsidP="00D8389C">
            <w:pPr>
              <w:spacing w:after="0" w:line="240" w:lineRule="auto"/>
              <w:jc w:val="right"/>
            </w:pPr>
          </w:p>
          <w:p w14:paraId="302A43B6" w14:textId="0E52C8C4" w:rsidR="00CC2BF0" w:rsidRPr="00235F6C" w:rsidRDefault="00CC2BF0" w:rsidP="00D838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35F6C">
              <w:t xml:space="preserve">2 </w:t>
            </w:r>
            <w:r w:rsidR="00235F6C" w:rsidRPr="00235F6C">
              <w:t>595</w:t>
            </w:r>
            <w:r w:rsidR="00F26927">
              <w:t> </w:t>
            </w:r>
            <w:r w:rsidR="00245A51">
              <w:t>450</w:t>
            </w:r>
            <w:r w:rsidR="00F26927">
              <w:t>,00</w:t>
            </w:r>
            <w:r w:rsidRPr="00235F6C">
              <w:t xml:space="preserve"> Kč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6785" w14:textId="77777777" w:rsidR="00CC2BF0" w:rsidRPr="00EC1AA2" w:rsidRDefault="00CC2BF0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D3E91" w:rsidRPr="00985498" w14:paraId="0F7AA510" w14:textId="77777777" w:rsidTr="00F26927">
        <w:trPr>
          <w:cantSplit/>
          <w:trHeight w:val="30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9EC2" w14:textId="77777777" w:rsidR="00CC2BF0" w:rsidRPr="00985498" w:rsidRDefault="00CC2BF0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6CB1" w14:textId="77777777" w:rsidR="00CC2BF0" w:rsidRPr="009D3E91" w:rsidRDefault="00CC2BF0" w:rsidP="00D838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3E91">
              <w:rPr>
                <w:b/>
                <w:bCs/>
              </w:rPr>
              <w:t>Celkem – nezpůsobilé výdaje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9193" w14:textId="77777777" w:rsidR="00CC2BF0" w:rsidRPr="00235F6C" w:rsidRDefault="00CC2BF0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94FC" w14:textId="77777777" w:rsidR="00CC2BF0" w:rsidRPr="00235F6C" w:rsidRDefault="00CC2BF0" w:rsidP="00D838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9BC668F" w14:textId="3574B8C1" w:rsidR="00CC2BF0" w:rsidRPr="00235F6C" w:rsidRDefault="00CC2BF0" w:rsidP="00D838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5F6C">
              <w:rPr>
                <w:b/>
                <w:bCs/>
              </w:rPr>
              <w:t xml:space="preserve">2 </w:t>
            </w:r>
            <w:r w:rsidR="00235F6C" w:rsidRPr="00235F6C">
              <w:rPr>
                <w:b/>
                <w:bCs/>
              </w:rPr>
              <w:t>595</w:t>
            </w:r>
            <w:r w:rsidR="00F26927">
              <w:rPr>
                <w:b/>
                <w:bCs/>
              </w:rPr>
              <w:t> </w:t>
            </w:r>
            <w:r w:rsidR="002D6714">
              <w:rPr>
                <w:b/>
                <w:bCs/>
              </w:rPr>
              <w:t>450</w:t>
            </w:r>
            <w:r w:rsidR="00F26927">
              <w:rPr>
                <w:b/>
                <w:bCs/>
              </w:rPr>
              <w:t>,00</w:t>
            </w:r>
            <w:r w:rsidR="002D6714">
              <w:rPr>
                <w:b/>
                <w:bCs/>
              </w:rPr>
              <w:t xml:space="preserve"> </w:t>
            </w:r>
            <w:r w:rsidRPr="00235F6C">
              <w:rPr>
                <w:b/>
                <w:bCs/>
              </w:rPr>
              <w:t>Kč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3BB7" w14:textId="77777777" w:rsidR="00CC2BF0" w:rsidRPr="00EC1AA2" w:rsidRDefault="00CC2BF0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75FC5A6" w14:textId="77777777" w:rsidR="00CC2BF0" w:rsidRDefault="00CC2BF0" w:rsidP="00834984">
      <w:pPr>
        <w:jc w:val="both"/>
        <w:rPr>
          <w:rFonts w:cstheme="minorHAnsi"/>
          <w:b/>
          <w:bCs/>
          <w:sz w:val="24"/>
          <w:szCs w:val="24"/>
        </w:rPr>
      </w:pPr>
    </w:p>
    <w:p w14:paraId="6AE3E501" w14:textId="77777777" w:rsidR="00235F6C" w:rsidRPr="00235F6C" w:rsidRDefault="00235F6C" w:rsidP="00235F6C">
      <w:pPr>
        <w:jc w:val="both"/>
        <w:rPr>
          <w:rFonts w:eastAsia="Calibri" w:cstheme="minorHAnsi"/>
          <w:b/>
          <w:bCs/>
          <w:sz w:val="24"/>
          <w:szCs w:val="24"/>
        </w:rPr>
      </w:pPr>
      <w:r w:rsidRPr="00235F6C">
        <w:rPr>
          <w:rFonts w:eastAsia="Calibri" w:cstheme="minorHAnsi"/>
          <w:b/>
          <w:bCs/>
          <w:sz w:val="24"/>
          <w:szCs w:val="24"/>
        </w:rPr>
        <w:t>Celkový rozpočet způsobilých a nezpůsobilých výdajů</w:t>
      </w:r>
    </w:p>
    <w:p w14:paraId="43D539F8" w14:textId="77777777" w:rsidR="00235F6C" w:rsidRPr="00235F6C" w:rsidRDefault="00235F6C" w:rsidP="00235F6C">
      <w:pPr>
        <w:jc w:val="both"/>
        <w:rPr>
          <w:rFonts w:eastAsia="Calibri" w:cstheme="minorHAnsi"/>
          <w:sz w:val="24"/>
          <w:szCs w:val="24"/>
        </w:rPr>
      </w:pPr>
      <w:r w:rsidRPr="00235F6C">
        <w:rPr>
          <w:rFonts w:eastAsia="Calibri" w:cstheme="minorHAnsi"/>
          <w:sz w:val="24"/>
          <w:szCs w:val="24"/>
        </w:rPr>
        <w:t>Celkový rozpočet projektu je dán součtem výše uvedených způsobilých a nezpůsobilých výdajů projektu.</w:t>
      </w:r>
    </w:p>
    <w:tbl>
      <w:tblPr>
        <w:tblW w:w="58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4058"/>
        <w:gridCol w:w="1169"/>
        <w:gridCol w:w="1500"/>
        <w:gridCol w:w="1919"/>
        <w:gridCol w:w="904"/>
      </w:tblGrid>
      <w:tr w:rsidR="00235F6C" w:rsidRPr="00985498" w14:paraId="70C92A9E" w14:textId="77777777" w:rsidTr="00F26927">
        <w:trPr>
          <w:cantSplit/>
          <w:trHeight w:val="1016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BA6E" w14:textId="26258384" w:rsidR="00235F6C" w:rsidRPr="00235F6C" w:rsidRDefault="00235F6C" w:rsidP="00235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5F6C">
              <w:rPr>
                <w:rFonts w:ascii="Calibri" w:eastAsia="Times New Roman" w:hAnsi="Calibri" w:cs="Calibri"/>
                <w:b/>
                <w:bCs/>
                <w:color w:val="000000"/>
              </w:rPr>
              <w:t>Kategorie MZČR</w:t>
            </w:r>
          </w:p>
        </w:tc>
        <w:tc>
          <w:tcPr>
            <w:tcW w:w="1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F7E9" w14:textId="77777777" w:rsidR="00235F6C" w:rsidRPr="00235F6C" w:rsidRDefault="00235F6C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5F6C">
              <w:rPr>
                <w:rFonts w:ascii="Calibri" w:eastAsia="Times New Roman" w:hAnsi="Calibri" w:cs="Calibri"/>
                <w:b/>
                <w:bCs/>
                <w:color w:val="000000"/>
              </w:rPr>
              <w:t>Způsobilé a nezpůsobilé výdaje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7957" w14:textId="77777777" w:rsidR="00235F6C" w:rsidRPr="00235F6C" w:rsidRDefault="00235F6C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5F6C">
              <w:rPr>
                <w:rFonts w:ascii="Calibri" w:eastAsia="Times New Roman" w:hAnsi="Calibri" w:cs="Calibri"/>
                <w:b/>
                <w:bCs/>
                <w:color w:val="000000"/>
              </w:rPr>
              <w:t>Počet jednotek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D452" w14:textId="77777777" w:rsidR="00235F6C" w:rsidRPr="00235F6C" w:rsidRDefault="00235F6C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5F6C">
              <w:rPr>
                <w:rFonts w:ascii="Calibri" w:eastAsia="Times New Roman" w:hAnsi="Calibri" w:cs="Calibri"/>
                <w:b/>
                <w:bCs/>
                <w:color w:val="000000"/>
              </w:rPr>
              <w:t>Cena za jednotku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5F14632" w14:textId="77777777" w:rsidR="00235F6C" w:rsidRPr="00235F6C" w:rsidRDefault="00235F6C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5F6C">
              <w:rPr>
                <w:rFonts w:ascii="Calibri" w:eastAsia="Times New Roman" w:hAnsi="Calibri" w:cs="Calibri"/>
                <w:b/>
                <w:bCs/>
                <w:color w:val="000000"/>
              </w:rPr>
              <w:t>Celková cena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878" w14:textId="77777777" w:rsidR="00235F6C" w:rsidRPr="00235F6C" w:rsidRDefault="00235F6C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5F6C">
              <w:rPr>
                <w:rFonts w:ascii="Calibri" w:eastAsia="Times New Roman" w:hAnsi="Calibri" w:cs="Calibri"/>
                <w:b/>
                <w:bCs/>
                <w:color w:val="000000"/>
              </w:rPr>
              <w:t>Aktivita</w:t>
            </w:r>
          </w:p>
        </w:tc>
      </w:tr>
      <w:tr w:rsidR="00235F6C" w:rsidRPr="00985498" w14:paraId="5B391828" w14:textId="77777777" w:rsidTr="00F26927">
        <w:trPr>
          <w:cantSplit/>
          <w:trHeight w:val="237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E63B" w14:textId="77777777" w:rsidR="00235F6C" w:rsidRPr="00235F6C" w:rsidRDefault="00235F6C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68EF" w14:textId="77777777" w:rsidR="00235F6C" w:rsidRPr="00235F6C" w:rsidRDefault="00235F6C" w:rsidP="00235F6C">
            <w:pPr>
              <w:spacing w:after="0" w:line="240" w:lineRule="auto"/>
              <w:ind w:left="-38" w:firstLine="38"/>
              <w:rPr>
                <w:rFonts w:ascii="Calibri" w:eastAsia="Times New Roman" w:hAnsi="Calibri" w:cs="Calibri"/>
                <w:color w:val="000000"/>
              </w:rPr>
            </w:pPr>
            <w:r w:rsidRPr="00235F6C">
              <w:t>Celkem – způsobilé výdaje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6A45" w14:textId="77777777" w:rsidR="00235F6C" w:rsidRPr="00235F6C" w:rsidRDefault="00235F6C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C3EA" w14:textId="77777777" w:rsidR="00235F6C" w:rsidRPr="00235F6C" w:rsidRDefault="00235F6C" w:rsidP="00D838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4C8C298" w14:textId="73670AAD" w:rsidR="00235F6C" w:rsidRPr="00235F6C" w:rsidRDefault="00235F6C" w:rsidP="00D838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99 </w:t>
            </w:r>
            <w:r w:rsidR="00B7110F">
              <w:t>903</w:t>
            </w:r>
            <w:r w:rsidR="00F26927">
              <w:t> </w:t>
            </w:r>
            <w:r>
              <w:t>29</w:t>
            </w:r>
            <w:r w:rsidR="00E42FCB">
              <w:t>3</w:t>
            </w:r>
            <w:r w:rsidR="00F26927">
              <w:t>,</w:t>
            </w:r>
            <w:r w:rsidR="00E42FCB">
              <w:t>97</w:t>
            </w:r>
            <w:r w:rsidRPr="00235F6C">
              <w:t xml:space="preserve"> Kč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3237" w14:textId="77777777" w:rsidR="00235F6C" w:rsidRPr="00235F6C" w:rsidRDefault="00235F6C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5F6C" w:rsidRPr="00985498" w14:paraId="05E6D064" w14:textId="77777777" w:rsidTr="00F26927">
        <w:trPr>
          <w:cantSplit/>
          <w:trHeight w:val="227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AEDE" w14:textId="77777777" w:rsidR="00235F6C" w:rsidRPr="00235F6C" w:rsidRDefault="00235F6C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498C" w14:textId="77777777" w:rsidR="00235F6C" w:rsidRPr="00235F6C" w:rsidRDefault="00235F6C" w:rsidP="00D83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5F6C">
              <w:t>Celkem – nezpůsobilé výdaje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63F7" w14:textId="77777777" w:rsidR="00235F6C" w:rsidRPr="00235F6C" w:rsidRDefault="00235F6C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C7FC" w14:textId="77777777" w:rsidR="00235F6C" w:rsidRPr="00235F6C" w:rsidRDefault="00235F6C" w:rsidP="00D838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E56CC70" w14:textId="1945F19B" w:rsidR="00235F6C" w:rsidRPr="00235F6C" w:rsidRDefault="00235F6C" w:rsidP="00D838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35F6C">
              <w:t xml:space="preserve">2 </w:t>
            </w:r>
            <w:r>
              <w:t>595</w:t>
            </w:r>
            <w:r w:rsidR="00F26927">
              <w:t> </w:t>
            </w:r>
            <w:r w:rsidR="00245A51">
              <w:t>450</w:t>
            </w:r>
            <w:r w:rsidR="00F26927">
              <w:t>,00</w:t>
            </w:r>
            <w:r w:rsidRPr="00235F6C">
              <w:t xml:space="preserve"> Kč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BFE0" w14:textId="77777777" w:rsidR="00235F6C" w:rsidRPr="00235F6C" w:rsidRDefault="00235F6C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5F6C" w:rsidRPr="00985498" w14:paraId="6F4CD5EF" w14:textId="77777777" w:rsidTr="00F26927">
        <w:trPr>
          <w:cantSplit/>
          <w:trHeight w:val="231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41E8" w14:textId="77777777" w:rsidR="00235F6C" w:rsidRPr="00235F6C" w:rsidRDefault="00235F6C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0FE3" w14:textId="77777777" w:rsidR="00235F6C" w:rsidRPr="00235F6C" w:rsidRDefault="00235F6C" w:rsidP="00D838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5F6C">
              <w:rPr>
                <w:b/>
                <w:bCs/>
              </w:rPr>
              <w:t>Celkem – způsobilé + nezpůsobilé výdaje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508F" w14:textId="77777777" w:rsidR="00235F6C" w:rsidRPr="00235F6C" w:rsidRDefault="00235F6C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474F" w14:textId="77777777" w:rsidR="00235F6C" w:rsidRPr="00235F6C" w:rsidRDefault="00235F6C" w:rsidP="00D838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AE34E82" w14:textId="39826763" w:rsidR="00235F6C" w:rsidRPr="00235F6C" w:rsidRDefault="0018461B" w:rsidP="00D838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b/>
                <w:bCs/>
              </w:rPr>
              <w:t>1</w:t>
            </w:r>
            <w:r w:rsidR="00235F6C" w:rsidRPr="00235F6C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="00235F6C" w:rsidRPr="00235F6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49</w:t>
            </w:r>
            <w:r w:rsidR="00B7110F">
              <w:rPr>
                <w:b/>
                <w:bCs/>
              </w:rPr>
              <w:t>8</w:t>
            </w:r>
            <w:r w:rsidR="00F26927">
              <w:rPr>
                <w:b/>
                <w:bCs/>
              </w:rPr>
              <w:t> </w:t>
            </w:r>
            <w:r w:rsidR="00604F27">
              <w:rPr>
                <w:b/>
                <w:bCs/>
              </w:rPr>
              <w:t>74</w:t>
            </w:r>
            <w:r w:rsidR="00E42FCB">
              <w:rPr>
                <w:b/>
                <w:bCs/>
              </w:rPr>
              <w:t>3</w:t>
            </w:r>
            <w:r w:rsidR="00F26927">
              <w:rPr>
                <w:b/>
                <w:bCs/>
              </w:rPr>
              <w:t>,</w:t>
            </w:r>
            <w:r w:rsidR="00E42FCB">
              <w:rPr>
                <w:b/>
                <w:bCs/>
              </w:rPr>
              <w:t xml:space="preserve">97 </w:t>
            </w:r>
            <w:r w:rsidR="00235F6C" w:rsidRPr="00235F6C">
              <w:rPr>
                <w:b/>
                <w:bCs/>
              </w:rPr>
              <w:t>Kč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9C87" w14:textId="77777777" w:rsidR="00235F6C" w:rsidRPr="00235F6C" w:rsidRDefault="00235F6C" w:rsidP="00D8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0972B8F2" w14:textId="77777777" w:rsidR="00235F6C" w:rsidRDefault="00235F6C" w:rsidP="00834984">
      <w:pPr>
        <w:jc w:val="both"/>
        <w:rPr>
          <w:rFonts w:cstheme="minorHAnsi"/>
          <w:b/>
          <w:bCs/>
          <w:sz w:val="24"/>
          <w:szCs w:val="24"/>
        </w:rPr>
      </w:pPr>
    </w:p>
    <w:p w14:paraId="31B67222" w14:textId="20EB99A9" w:rsidR="00F8497B" w:rsidRPr="00F8497B" w:rsidRDefault="00F8497B" w:rsidP="00834984">
      <w:pPr>
        <w:jc w:val="both"/>
        <w:rPr>
          <w:rFonts w:cstheme="minorHAnsi"/>
          <w:b/>
          <w:bCs/>
          <w:sz w:val="24"/>
          <w:szCs w:val="24"/>
        </w:rPr>
      </w:pPr>
      <w:r w:rsidRPr="00F8497B">
        <w:rPr>
          <w:rFonts w:cstheme="minorHAnsi"/>
          <w:b/>
          <w:bCs/>
          <w:sz w:val="24"/>
          <w:szCs w:val="24"/>
        </w:rPr>
        <w:t>Výdaje projektu</w:t>
      </w:r>
    </w:p>
    <w:p w14:paraId="7D2BBB80" w14:textId="389470C1" w:rsidR="00671D50" w:rsidRDefault="00683870" w:rsidP="00834984">
      <w:pPr>
        <w:jc w:val="both"/>
        <w:rPr>
          <w:rFonts w:cstheme="minorHAnsi"/>
          <w:sz w:val="24"/>
          <w:szCs w:val="24"/>
        </w:rPr>
      </w:pPr>
      <w:r w:rsidRPr="00683870">
        <w:rPr>
          <w:rFonts w:cstheme="minorHAnsi"/>
          <w:sz w:val="24"/>
          <w:szCs w:val="24"/>
        </w:rPr>
        <w:t xml:space="preserve">Finanční analýza je postavena na rozdílové metodě </w:t>
      </w:r>
      <w:r>
        <w:rPr>
          <w:rFonts w:cstheme="minorHAnsi"/>
          <w:sz w:val="24"/>
          <w:szCs w:val="24"/>
        </w:rPr>
        <w:t>cash-</w:t>
      </w:r>
      <w:proofErr w:type="spellStart"/>
      <w:r>
        <w:rPr>
          <w:rFonts w:cstheme="minorHAnsi"/>
          <w:sz w:val="24"/>
          <w:szCs w:val="24"/>
        </w:rPr>
        <w:t>flow</w:t>
      </w:r>
      <w:proofErr w:type="spellEnd"/>
      <w:r>
        <w:rPr>
          <w:rFonts w:cstheme="minorHAnsi"/>
          <w:sz w:val="24"/>
          <w:szCs w:val="24"/>
        </w:rPr>
        <w:t xml:space="preserve"> mezi nulovou a investiční variantou investic, jejich zdrojů financování, provozních nákladů a provozních výnosů.</w:t>
      </w:r>
    </w:p>
    <w:p w14:paraId="6C610C05" w14:textId="77777777" w:rsidR="0068692C" w:rsidRDefault="0068692C" w:rsidP="004D58F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442B510" w14:textId="42D1240E" w:rsidR="00021A32" w:rsidRDefault="00EB56E2" w:rsidP="004D58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0FC6">
        <w:rPr>
          <w:rFonts w:cstheme="minorHAnsi"/>
          <w:b/>
          <w:bCs/>
          <w:sz w:val="24"/>
          <w:szCs w:val="24"/>
        </w:rPr>
        <w:t>Nulová varianta</w:t>
      </w:r>
      <w:r w:rsidRPr="00770FC6">
        <w:rPr>
          <w:rFonts w:cstheme="minorHAnsi"/>
          <w:sz w:val="24"/>
          <w:szCs w:val="24"/>
        </w:rPr>
        <w:t xml:space="preserve">: předpokládá </w:t>
      </w:r>
      <w:r w:rsidR="00770FC6" w:rsidRPr="00770FC6">
        <w:rPr>
          <w:rFonts w:cstheme="minorHAnsi"/>
          <w:sz w:val="24"/>
          <w:szCs w:val="24"/>
        </w:rPr>
        <w:t>neodkladné</w:t>
      </w:r>
      <w:r w:rsidR="00DB01CE">
        <w:rPr>
          <w:rFonts w:cstheme="minorHAnsi"/>
          <w:sz w:val="24"/>
          <w:szCs w:val="24"/>
        </w:rPr>
        <w:t xml:space="preserve">, plánované </w:t>
      </w:r>
      <w:r w:rsidRPr="00770FC6">
        <w:rPr>
          <w:rFonts w:cstheme="minorHAnsi"/>
          <w:sz w:val="24"/>
          <w:szCs w:val="24"/>
        </w:rPr>
        <w:t>investice</w:t>
      </w:r>
      <w:r w:rsidR="00A868F5">
        <w:rPr>
          <w:rFonts w:cstheme="minorHAnsi"/>
          <w:sz w:val="24"/>
          <w:szCs w:val="24"/>
        </w:rPr>
        <w:t xml:space="preserve"> </w:t>
      </w:r>
      <w:r w:rsidR="00DB01CE">
        <w:rPr>
          <w:rFonts w:cstheme="minorHAnsi"/>
          <w:sz w:val="24"/>
          <w:szCs w:val="24"/>
        </w:rPr>
        <w:t>(zejména běžná obnova)</w:t>
      </w:r>
      <w:r w:rsidR="00A868F5">
        <w:rPr>
          <w:rFonts w:cstheme="minorHAnsi"/>
          <w:sz w:val="24"/>
          <w:szCs w:val="24"/>
        </w:rPr>
        <w:t xml:space="preserve"> dle reálných možností vlastních investičních zdrojů</w:t>
      </w:r>
      <w:r w:rsidR="00770FC6" w:rsidRPr="00770FC6">
        <w:rPr>
          <w:rFonts w:cstheme="minorHAnsi"/>
          <w:sz w:val="24"/>
          <w:szCs w:val="24"/>
        </w:rPr>
        <w:t xml:space="preserve"> </w:t>
      </w:r>
      <w:r w:rsidR="00A868F5">
        <w:rPr>
          <w:rFonts w:cstheme="minorHAnsi"/>
          <w:sz w:val="24"/>
          <w:szCs w:val="24"/>
        </w:rPr>
        <w:t>s přihlédnutím</w:t>
      </w:r>
      <w:r w:rsidRPr="00770FC6">
        <w:rPr>
          <w:rFonts w:cstheme="minorHAnsi"/>
          <w:sz w:val="24"/>
          <w:szCs w:val="24"/>
        </w:rPr>
        <w:t xml:space="preserve"> </w:t>
      </w:r>
      <w:r w:rsidR="00A868F5">
        <w:rPr>
          <w:rFonts w:cstheme="minorHAnsi"/>
          <w:sz w:val="24"/>
          <w:szCs w:val="24"/>
        </w:rPr>
        <w:t xml:space="preserve">ke </w:t>
      </w:r>
      <w:r w:rsidR="00770FC6" w:rsidRPr="00770FC6">
        <w:rPr>
          <w:rFonts w:cstheme="minorHAnsi"/>
          <w:sz w:val="24"/>
          <w:szCs w:val="24"/>
        </w:rPr>
        <w:t>zvýšený</w:t>
      </w:r>
      <w:r w:rsidR="00A868F5">
        <w:rPr>
          <w:rFonts w:cstheme="minorHAnsi"/>
          <w:sz w:val="24"/>
          <w:szCs w:val="24"/>
        </w:rPr>
        <w:t>m</w:t>
      </w:r>
      <w:r w:rsidR="00770FC6" w:rsidRPr="00770FC6">
        <w:rPr>
          <w:rFonts w:cstheme="minorHAnsi"/>
          <w:sz w:val="24"/>
          <w:szCs w:val="24"/>
        </w:rPr>
        <w:t xml:space="preserve"> </w:t>
      </w:r>
      <w:r w:rsidR="00A868F5">
        <w:rPr>
          <w:rFonts w:cstheme="minorHAnsi"/>
          <w:sz w:val="24"/>
          <w:szCs w:val="24"/>
        </w:rPr>
        <w:t xml:space="preserve">provozním </w:t>
      </w:r>
      <w:r w:rsidR="00770FC6" w:rsidRPr="00770FC6">
        <w:rPr>
          <w:rFonts w:cstheme="minorHAnsi"/>
          <w:sz w:val="24"/>
          <w:szCs w:val="24"/>
        </w:rPr>
        <w:t>nákladů</w:t>
      </w:r>
      <w:r w:rsidR="00A868F5">
        <w:rPr>
          <w:rFonts w:cstheme="minorHAnsi"/>
          <w:sz w:val="24"/>
          <w:szCs w:val="24"/>
        </w:rPr>
        <w:t>m</w:t>
      </w:r>
      <w:r w:rsidR="00770FC6" w:rsidRPr="00770FC6">
        <w:rPr>
          <w:rFonts w:cstheme="minorHAnsi"/>
          <w:sz w:val="24"/>
          <w:szCs w:val="24"/>
        </w:rPr>
        <w:t xml:space="preserve"> </w:t>
      </w:r>
      <w:r w:rsidR="00A868F5">
        <w:rPr>
          <w:rFonts w:cstheme="minorHAnsi"/>
          <w:sz w:val="24"/>
          <w:szCs w:val="24"/>
        </w:rPr>
        <w:t>souvisejících s realizací pozdější obnovy ve srovnání s investiční variantou</w:t>
      </w:r>
      <w:r w:rsidR="00EC6735">
        <w:rPr>
          <w:rFonts w:cstheme="minorHAnsi"/>
          <w:sz w:val="24"/>
          <w:szCs w:val="24"/>
        </w:rPr>
        <w:t>.</w:t>
      </w:r>
    </w:p>
    <w:p w14:paraId="74BBF21C" w14:textId="29B1DA69" w:rsidR="00021A32" w:rsidRPr="006D0182" w:rsidRDefault="004D58F5" w:rsidP="004D58F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6D0182">
        <w:rPr>
          <w:rFonts w:cstheme="minorHAnsi"/>
          <w:sz w:val="24"/>
          <w:szCs w:val="24"/>
        </w:rPr>
        <w:t>bnova majetku</w:t>
      </w:r>
      <w:r w:rsidR="00021A32" w:rsidRPr="006D0182">
        <w:rPr>
          <w:rFonts w:cstheme="minorHAnsi"/>
          <w:sz w:val="24"/>
          <w:szCs w:val="24"/>
        </w:rPr>
        <w:t>:</w:t>
      </w:r>
      <w:r w:rsidR="00021A32" w:rsidRPr="006D018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E42F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1</w:t>
      </w:r>
      <w:r w:rsidR="00A97A2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9</w:t>
      </w:r>
      <w:r w:rsidR="006E42F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A97A2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6</w:t>
      </w:r>
      <w:r w:rsidR="006E42F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80</w:t>
      </w:r>
      <w:r w:rsidR="006D018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6E42F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703</w:t>
      </w:r>
      <w:r w:rsidR="00021A32" w:rsidRPr="006D018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,- Kč</w:t>
      </w:r>
    </w:p>
    <w:p w14:paraId="6944054B" w14:textId="0A228503" w:rsidR="00021A32" w:rsidRDefault="004D58F5" w:rsidP="004D58F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stavební úpravy</w:t>
      </w:r>
      <w:r w:rsidR="00021A32" w:rsidRPr="006D0182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7</w:t>
      </w:r>
      <w:r w:rsidR="002B02C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4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 </w:t>
      </w:r>
      <w:r w:rsidR="002B02C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542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2B02C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662</w:t>
      </w:r>
      <w:r w:rsidR="00021A32" w:rsidRPr="006D018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,- Kč</w:t>
      </w:r>
    </w:p>
    <w:p w14:paraId="2A7D2573" w14:textId="7845F727" w:rsidR="004D58F5" w:rsidRPr="004D58F5" w:rsidRDefault="004D58F5" w:rsidP="004D58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4D58F5">
        <w:rPr>
          <w:rFonts w:ascii="Calibri" w:eastAsia="Times New Roman" w:hAnsi="Calibri" w:cs="Calibri"/>
          <w:sz w:val="24"/>
          <w:szCs w:val="24"/>
          <w:lang w:eastAsia="cs-CZ"/>
        </w:rPr>
        <w:t>provozní nákl</w:t>
      </w:r>
      <w:r>
        <w:rPr>
          <w:rFonts w:ascii="Calibri" w:eastAsia="Times New Roman" w:hAnsi="Calibri" w:cs="Calibri"/>
          <w:sz w:val="24"/>
          <w:szCs w:val="24"/>
          <w:lang w:eastAsia="cs-CZ"/>
        </w:rPr>
        <w:t>a</w:t>
      </w:r>
      <w:r w:rsidRPr="004D58F5">
        <w:rPr>
          <w:rFonts w:ascii="Calibri" w:eastAsia="Times New Roman" w:hAnsi="Calibri" w:cs="Calibri"/>
          <w:sz w:val="24"/>
          <w:szCs w:val="24"/>
          <w:lang w:eastAsia="cs-CZ"/>
        </w:rPr>
        <w:t>dy</w:t>
      </w:r>
      <w:r>
        <w:rPr>
          <w:rFonts w:ascii="Calibri" w:eastAsia="Times New Roman" w:hAnsi="Calibri" w:cs="Calibri"/>
          <w:sz w:val="24"/>
          <w:szCs w:val="24"/>
          <w:lang w:eastAsia="cs-CZ"/>
        </w:rPr>
        <w:t>:</w:t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proofErr w:type="gramStart"/>
      <w:r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</w:t>
      </w:r>
      <w:r w:rsidRPr="004D58F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3</w:t>
      </w:r>
      <w:proofErr w:type="gramEnd"/>
      <w:r w:rsidRPr="004D58F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 </w:t>
      </w:r>
      <w:r w:rsidR="005A45E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070</w:t>
      </w:r>
      <w:r w:rsidRPr="004D58F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 </w:t>
      </w:r>
      <w:r w:rsidR="005A45E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921</w:t>
      </w:r>
      <w:r w:rsidRPr="004D58F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,- Kč</w:t>
      </w:r>
    </w:p>
    <w:p w14:paraId="0F951CC2" w14:textId="4CAA76ED" w:rsidR="004D58F5" w:rsidRPr="002B02CB" w:rsidRDefault="00A868F5" w:rsidP="004D58F5">
      <w:p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Tato varianta předpokládá </w:t>
      </w:r>
      <w:r w:rsidR="004D58F5" w:rsidRPr="004D58F5">
        <w:rPr>
          <w:rFonts w:cstheme="minorHAnsi"/>
          <w:sz w:val="24"/>
          <w:szCs w:val="24"/>
        </w:rPr>
        <w:t>kryt</w:t>
      </w:r>
      <w:r>
        <w:rPr>
          <w:rFonts w:cstheme="minorHAnsi"/>
          <w:sz w:val="24"/>
          <w:szCs w:val="24"/>
        </w:rPr>
        <w:t>í výše uvedených výdajů</w:t>
      </w:r>
      <w:r w:rsidR="004D58F5" w:rsidRPr="004D58F5">
        <w:rPr>
          <w:rFonts w:cstheme="minorHAnsi"/>
          <w:sz w:val="24"/>
          <w:szCs w:val="24"/>
        </w:rPr>
        <w:t xml:space="preserve"> z vlastních zdrojů FNOL.</w:t>
      </w:r>
      <w:r w:rsidR="002B02CB">
        <w:rPr>
          <w:rFonts w:cstheme="minorHAnsi"/>
          <w:sz w:val="24"/>
          <w:szCs w:val="24"/>
        </w:rPr>
        <w:t xml:space="preserve"> </w:t>
      </w:r>
      <w:r w:rsidR="002B02CB" w:rsidRPr="00C06021">
        <w:rPr>
          <w:rFonts w:cstheme="minorHAnsi"/>
        </w:rPr>
        <w:t>Součástí jsou také nezbytné stavební náklady.</w:t>
      </w:r>
    </w:p>
    <w:p w14:paraId="624316DE" w14:textId="77777777" w:rsidR="0068692C" w:rsidRDefault="0068692C" w:rsidP="00DF669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DA4E65A" w14:textId="469F6C70" w:rsidR="0068692C" w:rsidRPr="0068692C" w:rsidRDefault="004D58F5" w:rsidP="00F605F5">
      <w:pPr>
        <w:spacing w:after="0"/>
        <w:jc w:val="both"/>
        <w:rPr>
          <w:rFonts w:cs="Arial"/>
          <w:sz w:val="24"/>
          <w:szCs w:val="24"/>
        </w:rPr>
      </w:pPr>
      <w:r w:rsidRPr="00DF669A">
        <w:rPr>
          <w:rFonts w:cstheme="minorHAnsi"/>
          <w:b/>
          <w:bCs/>
          <w:sz w:val="24"/>
          <w:szCs w:val="24"/>
        </w:rPr>
        <w:t>Investiční varianta</w:t>
      </w:r>
      <w:r w:rsidRPr="00DF669A">
        <w:rPr>
          <w:rFonts w:cstheme="minorHAnsi"/>
          <w:sz w:val="24"/>
          <w:szCs w:val="24"/>
        </w:rPr>
        <w:t xml:space="preserve">: </w:t>
      </w:r>
      <w:r w:rsidR="00BA03EC">
        <w:rPr>
          <w:rFonts w:cstheme="minorHAnsi"/>
          <w:sz w:val="24"/>
          <w:szCs w:val="24"/>
        </w:rPr>
        <w:t>vychází</w:t>
      </w:r>
      <w:r w:rsidRPr="00DF669A">
        <w:rPr>
          <w:rFonts w:cstheme="minorHAnsi"/>
          <w:sz w:val="24"/>
          <w:szCs w:val="24"/>
        </w:rPr>
        <w:t xml:space="preserve"> </w:t>
      </w:r>
      <w:r w:rsidR="00BA03EC">
        <w:rPr>
          <w:rFonts w:cstheme="minorHAnsi"/>
          <w:sz w:val="24"/>
          <w:szCs w:val="24"/>
        </w:rPr>
        <w:t>z</w:t>
      </w:r>
      <w:r w:rsidRPr="00DF669A">
        <w:rPr>
          <w:rFonts w:cstheme="minorHAnsi"/>
          <w:sz w:val="24"/>
          <w:szCs w:val="24"/>
        </w:rPr>
        <w:t xml:space="preserve"> časového harmonogramu projektu realizac</w:t>
      </w:r>
      <w:r w:rsidR="00BA03EC">
        <w:rPr>
          <w:rFonts w:cstheme="minorHAnsi"/>
          <w:sz w:val="24"/>
          <w:szCs w:val="24"/>
        </w:rPr>
        <w:t>e</w:t>
      </w:r>
      <w:r w:rsidRPr="00DF669A">
        <w:rPr>
          <w:rFonts w:cstheme="minorHAnsi"/>
          <w:sz w:val="24"/>
          <w:szCs w:val="24"/>
        </w:rPr>
        <w:t xml:space="preserve"> investic</w:t>
      </w:r>
      <w:r w:rsidR="00BA03EC">
        <w:rPr>
          <w:rFonts w:cstheme="minorHAnsi"/>
          <w:sz w:val="24"/>
          <w:szCs w:val="24"/>
        </w:rPr>
        <w:t>, přičemž</w:t>
      </w:r>
      <w:r w:rsidRPr="00DF669A">
        <w:rPr>
          <w:rFonts w:cstheme="minorHAnsi"/>
          <w:sz w:val="24"/>
          <w:szCs w:val="24"/>
        </w:rPr>
        <w:t xml:space="preserve"> </w:t>
      </w:r>
      <w:r w:rsidR="00BA03EC">
        <w:rPr>
          <w:rFonts w:cstheme="minorHAnsi"/>
          <w:sz w:val="24"/>
          <w:szCs w:val="24"/>
        </w:rPr>
        <w:t>z</w:t>
      </w:r>
      <w:r w:rsidRPr="00DF669A">
        <w:rPr>
          <w:rFonts w:cstheme="minorHAnsi"/>
          <w:sz w:val="24"/>
          <w:szCs w:val="24"/>
        </w:rPr>
        <w:t xml:space="preserve">ohledňuje provozní náklady plynoucí z titulu </w:t>
      </w:r>
      <w:r w:rsidR="00DF669A" w:rsidRPr="00DF669A">
        <w:rPr>
          <w:rFonts w:cstheme="minorHAnsi"/>
          <w:sz w:val="24"/>
          <w:szCs w:val="24"/>
        </w:rPr>
        <w:t>pořízení nového majetku</w:t>
      </w:r>
      <w:r w:rsidR="00BA03EC">
        <w:rPr>
          <w:rFonts w:cstheme="minorHAnsi"/>
          <w:sz w:val="24"/>
          <w:szCs w:val="24"/>
        </w:rPr>
        <w:t xml:space="preserve"> včetně standardních režijních nákladů s tím souvisejících.</w:t>
      </w:r>
      <w:r w:rsidRPr="00DF669A">
        <w:rPr>
          <w:rFonts w:cstheme="minorHAnsi"/>
          <w:sz w:val="24"/>
          <w:szCs w:val="24"/>
        </w:rPr>
        <w:t xml:space="preserve"> </w:t>
      </w:r>
      <w:r w:rsidRPr="00DF669A">
        <w:rPr>
          <w:rFonts w:cs="Arial"/>
          <w:sz w:val="24"/>
          <w:szCs w:val="24"/>
        </w:rPr>
        <w:t>V nákladech ne</w:t>
      </w:r>
      <w:r w:rsidR="00BA03EC">
        <w:rPr>
          <w:rFonts w:cs="Arial"/>
          <w:sz w:val="24"/>
          <w:szCs w:val="24"/>
        </w:rPr>
        <w:t>ní</w:t>
      </w:r>
      <w:r w:rsidRPr="00DF669A">
        <w:rPr>
          <w:rFonts w:cs="Arial"/>
          <w:sz w:val="24"/>
          <w:szCs w:val="24"/>
        </w:rPr>
        <w:t xml:space="preserve"> kalkulován</w:t>
      </w:r>
      <w:r w:rsidR="00BA03EC">
        <w:rPr>
          <w:rFonts w:cs="Arial"/>
          <w:sz w:val="24"/>
          <w:szCs w:val="24"/>
        </w:rPr>
        <w:t>o</w:t>
      </w:r>
      <w:r w:rsidRPr="00DF669A">
        <w:rPr>
          <w:rFonts w:cs="Arial"/>
          <w:sz w:val="24"/>
          <w:szCs w:val="24"/>
        </w:rPr>
        <w:t xml:space="preserve"> </w:t>
      </w:r>
      <w:r w:rsidR="00BA03EC">
        <w:rPr>
          <w:rFonts w:cs="Arial"/>
          <w:sz w:val="24"/>
          <w:szCs w:val="24"/>
        </w:rPr>
        <w:t xml:space="preserve">s </w:t>
      </w:r>
      <w:r w:rsidRPr="00DF669A">
        <w:rPr>
          <w:rFonts w:cs="Arial"/>
          <w:sz w:val="24"/>
          <w:szCs w:val="24"/>
        </w:rPr>
        <w:t>osobní</w:t>
      </w:r>
      <w:r w:rsidR="00BA03EC">
        <w:rPr>
          <w:rFonts w:cs="Arial"/>
          <w:sz w:val="24"/>
          <w:szCs w:val="24"/>
        </w:rPr>
        <w:t>mi</w:t>
      </w:r>
      <w:r w:rsidRPr="00DF669A">
        <w:rPr>
          <w:rFonts w:cs="Arial"/>
          <w:sz w:val="24"/>
          <w:szCs w:val="24"/>
        </w:rPr>
        <w:t xml:space="preserve"> náklady, neboť FNOL neočekává žádné navýšení těchto nákladů spojených se samotným provozem v důsledku realizace projektu</w:t>
      </w:r>
      <w:r w:rsidR="00BA03EC">
        <w:rPr>
          <w:rFonts w:cs="Arial"/>
          <w:sz w:val="24"/>
          <w:szCs w:val="24"/>
        </w:rPr>
        <w:t>.</w:t>
      </w:r>
      <w:r w:rsidRPr="00DF669A">
        <w:rPr>
          <w:rFonts w:cs="Arial"/>
          <w:sz w:val="24"/>
          <w:szCs w:val="24"/>
        </w:rPr>
        <w:t xml:space="preserve"> </w:t>
      </w:r>
    </w:p>
    <w:p w14:paraId="0A6E8DC6" w14:textId="091EABB7" w:rsidR="004D58F5" w:rsidRPr="00DF669A" w:rsidRDefault="00DF669A" w:rsidP="00F605F5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DF669A">
        <w:rPr>
          <w:rFonts w:cstheme="minorHAnsi"/>
          <w:sz w:val="24"/>
          <w:szCs w:val="24"/>
        </w:rPr>
        <w:t>nový majetek</w:t>
      </w:r>
      <w:r w:rsidR="004D58F5" w:rsidRPr="00DF669A">
        <w:rPr>
          <w:rFonts w:cstheme="minorHAnsi"/>
          <w:sz w:val="24"/>
          <w:szCs w:val="24"/>
        </w:rPr>
        <w:t>:</w:t>
      </w:r>
      <w:r w:rsidR="004D58F5" w:rsidRPr="00DF669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  </w:t>
      </w:r>
      <w:r w:rsidR="00524EA8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8</w:t>
      </w:r>
      <w:proofErr w:type="gramEnd"/>
      <w:r w:rsidR="00524EA8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 260 379</w:t>
      </w:r>
      <w:r w:rsidR="004D58F5" w:rsidRPr="00DF669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,- Kč</w:t>
      </w:r>
    </w:p>
    <w:p w14:paraId="59D12F02" w14:textId="38C99190" w:rsidR="00CC5DAF" w:rsidRDefault="00CC5DAF" w:rsidP="00CC5DA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obnovovaný majetek:</w:t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524EA8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19 680 703</w:t>
      </w:r>
      <w:r w:rsidRPr="00DF669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,- Kč</w:t>
      </w:r>
    </w:p>
    <w:p w14:paraId="4E41A4EB" w14:textId="15AD7F36" w:rsidR="004D58F5" w:rsidRPr="00DF669A" w:rsidRDefault="00DF669A" w:rsidP="00F605F5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stavební úpravy</w:t>
      </w:r>
      <w:r w:rsidR="004D58F5" w:rsidRPr="00DF669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7</w:t>
      </w:r>
      <w:r w:rsidR="0068692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4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 </w:t>
      </w:r>
      <w:r w:rsidR="0068692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542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68692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662</w:t>
      </w:r>
      <w:r w:rsidR="004D58F5" w:rsidRPr="00DF669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,- Kč</w:t>
      </w:r>
    </w:p>
    <w:p w14:paraId="4760A9DB" w14:textId="5BD1FB63" w:rsidR="004D58F5" w:rsidRDefault="004D58F5" w:rsidP="00F605F5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DF669A">
        <w:rPr>
          <w:rFonts w:ascii="Calibri" w:eastAsia="Times New Roman" w:hAnsi="Calibri" w:cs="Calibri"/>
          <w:sz w:val="24"/>
          <w:szCs w:val="24"/>
          <w:lang w:eastAsia="cs-CZ"/>
        </w:rPr>
        <w:t>publicita:</w:t>
      </w:r>
      <w:r w:rsidRPr="00DF66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DF66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DF66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68692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68692C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     </w:t>
      </w:r>
      <w:r w:rsidR="00DF669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1</w:t>
      </w:r>
      <w:r w:rsidR="00B7110F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5</w:t>
      </w:r>
      <w:r w:rsidRPr="00DF669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 000,- Kč</w:t>
      </w:r>
    </w:p>
    <w:p w14:paraId="230091E5" w14:textId="25A7EBB3" w:rsidR="003D371A" w:rsidRPr="003D371A" w:rsidRDefault="003D371A" w:rsidP="00F605F5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3D371A">
        <w:rPr>
          <w:rFonts w:ascii="Calibri" w:eastAsia="Times New Roman" w:hAnsi="Calibri" w:cs="Calibri"/>
          <w:sz w:val="24"/>
          <w:szCs w:val="24"/>
          <w:lang w:eastAsia="cs-CZ"/>
        </w:rPr>
        <w:t>provozní náklady: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68692C">
        <w:rPr>
          <w:rFonts w:ascii="Calibri" w:eastAsia="Times New Roman" w:hAnsi="Calibri" w:cs="Calibri"/>
          <w:sz w:val="24"/>
          <w:szCs w:val="24"/>
          <w:lang w:eastAsia="cs-CZ"/>
        </w:rPr>
        <w:tab/>
      </w:r>
      <w:proofErr w:type="gramStart"/>
      <w:r w:rsidR="0068692C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</w:t>
      </w:r>
      <w:r w:rsidRPr="003D371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2</w:t>
      </w:r>
      <w:proofErr w:type="gramEnd"/>
      <w:r w:rsidRPr="003D371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 109 364,- Kč</w:t>
      </w:r>
    </w:p>
    <w:p w14:paraId="3A271EE7" w14:textId="52629D50" w:rsidR="00F8497B" w:rsidRDefault="00F8497B" w:rsidP="00085A6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C39F602" w14:textId="77777777" w:rsidR="0068692C" w:rsidRDefault="0068692C" w:rsidP="00085A6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29D24CA" w14:textId="09D9610F" w:rsidR="00F8497B" w:rsidRPr="00F8497B" w:rsidRDefault="00F8497B" w:rsidP="002E3A95">
      <w:pPr>
        <w:jc w:val="both"/>
        <w:rPr>
          <w:rFonts w:cstheme="minorHAnsi"/>
          <w:b/>
          <w:bCs/>
          <w:sz w:val="24"/>
          <w:szCs w:val="24"/>
        </w:rPr>
      </w:pPr>
      <w:r w:rsidRPr="00F8497B">
        <w:rPr>
          <w:rFonts w:cstheme="minorHAnsi"/>
          <w:b/>
          <w:bCs/>
          <w:sz w:val="24"/>
          <w:szCs w:val="24"/>
        </w:rPr>
        <w:t>Příjmy projektu</w:t>
      </w:r>
    </w:p>
    <w:p w14:paraId="39C1BB2F" w14:textId="08FC176C" w:rsidR="00DF669A" w:rsidRPr="00CA0869" w:rsidRDefault="00DF669A" w:rsidP="00DF669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Nulová varianta:</w:t>
      </w:r>
      <w:r w:rsidR="00BA03E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BA03EC" w:rsidRPr="00BA03EC">
        <w:rPr>
          <w:rFonts w:cstheme="minorHAnsi"/>
          <w:bCs/>
          <w:color w:val="000000" w:themeColor="text1"/>
          <w:sz w:val="24"/>
          <w:szCs w:val="24"/>
        </w:rPr>
        <w:t xml:space="preserve">bez </w:t>
      </w:r>
      <w:r w:rsidRPr="00BA03EC">
        <w:rPr>
          <w:rFonts w:cstheme="minorHAnsi"/>
          <w:color w:val="000000" w:themeColor="text1"/>
          <w:sz w:val="24"/>
          <w:szCs w:val="24"/>
        </w:rPr>
        <w:t>provozní</w:t>
      </w:r>
      <w:r w:rsidR="00BA03EC" w:rsidRPr="00BA03EC">
        <w:rPr>
          <w:rFonts w:cstheme="minorHAnsi"/>
          <w:color w:val="000000" w:themeColor="text1"/>
          <w:sz w:val="24"/>
          <w:szCs w:val="24"/>
        </w:rPr>
        <w:t>ch</w:t>
      </w:r>
      <w:r w:rsidRPr="00BA03EC">
        <w:rPr>
          <w:rFonts w:cstheme="minorHAnsi"/>
          <w:color w:val="000000" w:themeColor="text1"/>
          <w:sz w:val="24"/>
          <w:szCs w:val="24"/>
        </w:rPr>
        <w:t xml:space="preserve"> výnos</w:t>
      </w:r>
      <w:r w:rsidR="00BA03EC" w:rsidRPr="00BA03EC">
        <w:rPr>
          <w:rFonts w:cstheme="minorHAnsi"/>
          <w:color w:val="000000" w:themeColor="text1"/>
          <w:sz w:val="24"/>
          <w:szCs w:val="24"/>
        </w:rPr>
        <w:t>ů</w:t>
      </w:r>
      <w:r w:rsidR="00FC19DC">
        <w:rPr>
          <w:rFonts w:cstheme="minorHAnsi"/>
          <w:color w:val="000000" w:themeColor="text1"/>
          <w:sz w:val="24"/>
          <w:szCs w:val="24"/>
        </w:rPr>
        <w:t>. Vyvolané provozní náklady budou kryty ze zdrojů FNOL (financování provozní ztráty).</w:t>
      </w:r>
    </w:p>
    <w:p w14:paraId="5836CC0A" w14:textId="5ECA0FBE" w:rsidR="00DF669A" w:rsidRDefault="00DF669A" w:rsidP="00DF669A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Investiční varianta: </w:t>
      </w:r>
      <w:r>
        <w:rPr>
          <w:rFonts w:cstheme="minorHAnsi"/>
          <w:sz w:val="24"/>
          <w:szCs w:val="24"/>
        </w:rPr>
        <w:t xml:space="preserve">provozní </w:t>
      </w:r>
      <w:r w:rsidRPr="003D371A">
        <w:rPr>
          <w:rFonts w:cstheme="minorHAnsi"/>
          <w:sz w:val="24"/>
          <w:szCs w:val="24"/>
        </w:rPr>
        <w:t>výnosy</w:t>
      </w:r>
      <w:r w:rsidR="003D371A" w:rsidRPr="003D37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plynoucí z</w:t>
      </w:r>
      <w:r w:rsidR="00BA03EC">
        <w:rPr>
          <w:rFonts w:cstheme="minorHAnsi"/>
          <w:sz w:val="24"/>
          <w:szCs w:val="24"/>
        </w:rPr>
        <w:t xml:space="preserve"> realizace nových </w:t>
      </w:r>
      <w:r w:rsidR="00B227B4">
        <w:rPr>
          <w:rFonts w:cstheme="minorHAnsi"/>
          <w:sz w:val="24"/>
          <w:szCs w:val="24"/>
        </w:rPr>
        <w:t>investic po dobu referenčního období.</w:t>
      </w:r>
    </w:p>
    <w:p w14:paraId="3C623FB8" w14:textId="2F7624A8" w:rsidR="00C32660" w:rsidRDefault="00047B3E" w:rsidP="00085A6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E3A95">
        <w:rPr>
          <w:rFonts w:cstheme="minorHAnsi"/>
          <w:sz w:val="24"/>
          <w:szCs w:val="24"/>
        </w:rPr>
        <w:t>rovozní výnosy</w:t>
      </w:r>
      <w:r w:rsidR="003D371A">
        <w:rPr>
          <w:rFonts w:cstheme="minorHAnsi"/>
          <w:sz w:val="24"/>
          <w:szCs w:val="24"/>
        </w:rPr>
        <w:t xml:space="preserve">: </w:t>
      </w:r>
      <w:r w:rsidR="003D371A">
        <w:rPr>
          <w:rFonts w:cstheme="minorHAnsi"/>
          <w:sz w:val="24"/>
          <w:szCs w:val="24"/>
        </w:rPr>
        <w:tab/>
      </w:r>
      <w:r w:rsidR="003D371A">
        <w:rPr>
          <w:rFonts w:cstheme="minorHAnsi"/>
          <w:sz w:val="24"/>
          <w:szCs w:val="24"/>
        </w:rPr>
        <w:tab/>
      </w:r>
      <w:r w:rsidR="003D371A">
        <w:rPr>
          <w:rFonts w:cstheme="minorHAnsi"/>
          <w:sz w:val="24"/>
          <w:szCs w:val="24"/>
        </w:rPr>
        <w:tab/>
      </w:r>
      <w:r w:rsidR="003D371A">
        <w:rPr>
          <w:rFonts w:cstheme="minorHAnsi"/>
          <w:sz w:val="24"/>
          <w:szCs w:val="24"/>
        </w:rPr>
        <w:tab/>
        <w:t xml:space="preserve">   </w:t>
      </w:r>
      <w:r w:rsidR="00C32660" w:rsidRPr="003D371A">
        <w:rPr>
          <w:rFonts w:cstheme="minorHAnsi"/>
          <w:b/>
          <w:bCs/>
          <w:sz w:val="24"/>
          <w:szCs w:val="24"/>
        </w:rPr>
        <w:t>4 140 064,- Kč</w:t>
      </w:r>
    </w:p>
    <w:p w14:paraId="6A49CD5B" w14:textId="77777777" w:rsidR="005974A9" w:rsidRDefault="005974A9" w:rsidP="005974A9">
      <w:pPr>
        <w:spacing w:after="0"/>
        <w:jc w:val="both"/>
        <w:rPr>
          <w:rFonts w:cstheme="minorHAnsi"/>
          <w:sz w:val="24"/>
          <w:szCs w:val="24"/>
        </w:rPr>
      </w:pPr>
    </w:p>
    <w:p w14:paraId="41C2665B" w14:textId="6D0FE9FD" w:rsidR="005974A9" w:rsidRDefault="00C32660" w:rsidP="005974A9">
      <w:pPr>
        <w:jc w:val="both"/>
        <w:rPr>
          <w:rFonts w:cs="Arial"/>
          <w:sz w:val="24"/>
          <w:szCs w:val="24"/>
        </w:rPr>
      </w:pPr>
      <w:r w:rsidRPr="00C32660">
        <w:rPr>
          <w:rFonts w:cs="Arial"/>
          <w:sz w:val="24"/>
          <w:szCs w:val="24"/>
        </w:rPr>
        <w:t xml:space="preserve">Provozní výdaje </w:t>
      </w:r>
      <w:r>
        <w:rPr>
          <w:rFonts w:cs="Arial"/>
          <w:sz w:val="24"/>
          <w:szCs w:val="24"/>
        </w:rPr>
        <w:t xml:space="preserve">a příjmy </w:t>
      </w:r>
      <w:r w:rsidRPr="00C32660">
        <w:rPr>
          <w:rFonts w:cs="Arial"/>
          <w:sz w:val="24"/>
          <w:szCs w:val="24"/>
        </w:rPr>
        <w:t>plynoucí z </w:t>
      </w:r>
      <w:r w:rsidR="00B227B4">
        <w:rPr>
          <w:rFonts w:cs="Arial"/>
          <w:sz w:val="24"/>
          <w:szCs w:val="24"/>
        </w:rPr>
        <w:t>realizace</w:t>
      </w:r>
      <w:r w:rsidRPr="00C32660">
        <w:rPr>
          <w:rFonts w:cs="Arial"/>
          <w:sz w:val="24"/>
          <w:szCs w:val="24"/>
        </w:rPr>
        <w:t xml:space="preserve"> projektu jsou stanoveny bez zohlednění inflace</w:t>
      </w:r>
      <w:r w:rsidR="002C36E9">
        <w:rPr>
          <w:rFonts w:cs="Arial"/>
          <w:sz w:val="24"/>
          <w:szCs w:val="24"/>
        </w:rPr>
        <w:t xml:space="preserve">. </w:t>
      </w:r>
      <w:r w:rsidR="006279EA">
        <w:rPr>
          <w:rFonts w:cs="Arial"/>
          <w:sz w:val="24"/>
          <w:szCs w:val="24"/>
        </w:rPr>
        <w:t xml:space="preserve">Provozní výdaje budou financovány z vlastních zdrojů FNOL generovaných </w:t>
      </w:r>
      <w:r w:rsidR="00192659">
        <w:rPr>
          <w:rFonts w:cs="Arial"/>
          <w:sz w:val="24"/>
          <w:szCs w:val="24"/>
        </w:rPr>
        <w:t>vlastním</w:t>
      </w:r>
      <w:r w:rsidR="006279EA">
        <w:rPr>
          <w:rFonts w:cs="Arial"/>
          <w:sz w:val="24"/>
          <w:szCs w:val="24"/>
        </w:rPr>
        <w:t xml:space="preserve"> </w:t>
      </w:r>
      <w:r w:rsidR="00192659">
        <w:rPr>
          <w:rFonts w:cs="Arial"/>
          <w:sz w:val="24"/>
          <w:szCs w:val="24"/>
        </w:rPr>
        <w:t xml:space="preserve">provozem tohoto </w:t>
      </w:r>
      <w:r w:rsidR="006279EA">
        <w:rPr>
          <w:rFonts w:cs="Arial"/>
          <w:sz w:val="24"/>
          <w:szCs w:val="24"/>
        </w:rPr>
        <w:t>projektu.</w:t>
      </w:r>
    </w:p>
    <w:p w14:paraId="1339DB22" w14:textId="1A652836" w:rsidR="0068692C" w:rsidRPr="0068692C" w:rsidRDefault="0068692C" w:rsidP="005974A9">
      <w:pPr>
        <w:jc w:val="both"/>
        <w:rPr>
          <w:rFonts w:cstheme="minorHAnsi"/>
        </w:rPr>
      </w:pPr>
      <w:r w:rsidRPr="00C06021">
        <w:rPr>
          <w:rFonts w:cs="Arial"/>
        </w:rPr>
        <w:t xml:space="preserve">Nezpůsobilé investiční výdaje projektu ve výši 2 </w:t>
      </w:r>
      <w:r>
        <w:rPr>
          <w:rFonts w:cs="Arial"/>
        </w:rPr>
        <w:t>595</w:t>
      </w:r>
      <w:r w:rsidRPr="00C06021">
        <w:rPr>
          <w:rFonts w:cs="Arial"/>
        </w:rPr>
        <w:t xml:space="preserve"> </w:t>
      </w:r>
      <w:r w:rsidR="00524EA8">
        <w:rPr>
          <w:rFonts w:cs="Arial"/>
        </w:rPr>
        <w:t>450</w:t>
      </w:r>
      <w:r w:rsidRPr="00C06021">
        <w:rPr>
          <w:rFonts w:cs="Arial"/>
        </w:rPr>
        <w:t>,</w:t>
      </w:r>
      <w:r>
        <w:rPr>
          <w:rFonts w:cs="Arial"/>
        </w:rPr>
        <w:t>-</w:t>
      </w:r>
      <w:r w:rsidRPr="00C06021">
        <w:rPr>
          <w:rFonts w:cs="Arial"/>
        </w:rPr>
        <w:t xml:space="preserve"> Kč budou kryty z vlastních zdrojů FNOL.</w:t>
      </w:r>
    </w:p>
    <w:p w14:paraId="4FADCCF6" w14:textId="2C581691" w:rsidR="005974A9" w:rsidRPr="00766393" w:rsidRDefault="008B5D3E" w:rsidP="005974A9">
      <w:pPr>
        <w:spacing w:after="200"/>
        <w:jc w:val="both"/>
        <w:rPr>
          <w:rFonts w:cstheme="minorHAnsi"/>
          <w:iCs/>
          <w:sz w:val="24"/>
          <w:szCs w:val="24"/>
        </w:rPr>
      </w:pPr>
      <w:r w:rsidRPr="00766393">
        <w:rPr>
          <w:rFonts w:cstheme="minorHAnsi"/>
          <w:iCs/>
          <w:sz w:val="24"/>
          <w:szCs w:val="24"/>
        </w:rPr>
        <w:t>H</w:t>
      </w:r>
      <w:r w:rsidR="006279EA" w:rsidRPr="00766393">
        <w:rPr>
          <w:rFonts w:cstheme="minorHAnsi"/>
          <w:iCs/>
          <w:sz w:val="24"/>
          <w:szCs w:val="24"/>
        </w:rPr>
        <w:t>lavní</w:t>
      </w:r>
      <w:r w:rsidRPr="00766393">
        <w:rPr>
          <w:rFonts w:cstheme="minorHAnsi"/>
          <w:iCs/>
          <w:sz w:val="24"/>
          <w:szCs w:val="24"/>
        </w:rPr>
        <w:t>m</w:t>
      </w:r>
      <w:r w:rsidR="006279EA" w:rsidRPr="00766393">
        <w:rPr>
          <w:rFonts w:cstheme="minorHAnsi"/>
          <w:iCs/>
          <w:sz w:val="24"/>
          <w:szCs w:val="24"/>
        </w:rPr>
        <w:t xml:space="preserve"> </w:t>
      </w:r>
      <w:r w:rsidRPr="00766393">
        <w:rPr>
          <w:rFonts w:cstheme="minorHAnsi"/>
          <w:iCs/>
          <w:sz w:val="24"/>
          <w:szCs w:val="24"/>
        </w:rPr>
        <w:t>cílem</w:t>
      </w:r>
      <w:r w:rsidR="00676283" w:rsidRPr="00766393">
        <w:rPr>
          <w:rFonts w:cstheme="minorHAnsi"/>
          <w:iCs/>
          <w:sz w:val="24"/>
          <w:szCs w:val="24"/>
        </w:rPr>
        <w:t xml:space="preserve"> projektu</w:t>
      </w:r>
      <w:r w:rsidR="006279EA" w:rsidRPr="00766393">
        <w:rPr>
          <w:rFonts w:cstheme="minorHAnsi"/>
          <w:iCs/>
          <w:sz w:val="24"/>
          <w:szCs w:val="24"/>
        </w:rPr>
        <w:t xml:space="preserve"> je</w:t>
      </w:r>
      <w:r w:rsidR="00676283" w:rsidRPr="00766393">
        <w:rPr>
          <w:rFonts w:cstheme="minorHAnsi"/>
          <w:iCs/>
          <w:sz w:val="24"/>
          <w:szCs w:val="24"/>
        </w:rPr>
        <w:t xml:space="preserve"> </w:t>
      </w:r>
      <w:r w:rsidR="0034360E" w:rsidRPr="00766393">
        <w:rPr>
          <w:rFonts w:cstheme="minorHAnsi"/>
          <w:iCs/>
          <w:sz w:val="24"/>
          <w:szCs w:val="24"/>
        </w:rPr>
        <w:t>zvýšení a zajištění dostatečné kapacitní připravenosti pro následnou rehabilitační péči o pacienty léčené v souvislosti s výskytem mj. pandemických rizik</w:t>
      </w:r>
      <w:r w:rsidR="006279EA" w:rsidRPr="00766393">
        <w:rPr>
          <w:rFonts w:cstheme="minorHAnsi"/>
          <w:iCs/>
          <w:sz w:val="24"/>
          <w:szCs w:val="24"/>
        </w:rPr>
        <w:t xml:space="preserve">. </w:t>
      </w:r>
    </w:p>
    <w:p w14:paraId="167846C2" w14:textId="7ED646D0" w:rsidR="000421C9" w:rsidRPr="005974A9" w:rsidRDefault="000421C9" w:rsidP="00FC19DC">
      <w:pPr>
        <w:jc w:val="both"/>
        <w:rPr>
          <w:rFonts w:cs="Arial"/>
          <w:sz w:val="24"/>
          <w:szCs w:val="24"/>
        </w:rPr>
      </w:pPr>
      <w:r w:rsidRPr="0055774E">
        <w:rPr>
          <w:rFonts w:cstheme="minorHAnsi"/>
          <w:sz w:val="24"/>
          <w:szCs w:val="24"/>
        </w:rPr>
        <w:t>Předkládaný projekt není řešen variantně.</w:t>
      </w:r>
      <w:r w:rsidR="00FC19DC">
        <w:rPr>
          <w:rFonts w:cstheme="minorHAnsi"/>
          <w:sz w:val="24"/>
          <w:szCs w:val="24"/>
        </w:rPr>
        <w:t xml:space="preserve"> Reinvestice v rámci referenčního období projektu nejsou plánovány</w:t>
      </w:r>
    </w:p>
    <w:p w14:paraId="099A3785" w14:textId="7722AAAF" w:rsidR="00801BDB" w:rsidRDefault="002D7743" w:rsidP="00801B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676283">
        <w:rPr>
          <w:rFonts w:cstheme="minorHAnsi"/>
          <w:sz w:val="24"/>
          <w:szCs w:val="24"/>
        </w:rPr>
        <w:t xml:space="preserve"> níže přiložené </w:t>
      </w:r>
      <w:r>
        <w:rPr>
          <w:rFonts w:cstheme="minorHAnsi"/>
          <w:sz w:val="24"/>
          <w:szCs w:val="24"/>
        </w:rPr>
        <w:t xml:space="preserve">tabulce je uveden přehled příjmů a výdajů v jednotlivých letech </w:t>
      </w:r>
      <w:r w:rsidR="00676283">
        <w:rPr>
          <w:rFonts w:cstheme="minorHAnsi"/>
          <w:sz w:val="24"/>
          <w:szCs w:val="24"/>
        </w:rPr>
        <w:t xml:space="preserve">realizace </w:t>
      </w:r>
      <w:r>
        <w:rPr>
          <w:rFonts w:cstheme="minorHAnsi"/>
          <w:sz w:val="24"/>
          <w:szCs w:val="24"/>
        </w:rPr>
        <w:t>projektu.</w:t>
      </w:r>
    </w:p>
    <w:p w14:paraId="07FB02E6" w14:textId="01AB3589" w:rsidR="00DE0FAE" w:rsidRDefault="00DE0FAE" w:rsidP="00801BDB">
      <w:pPr>
        <w:jc w:val="both"/>
        <w:rPr>
          <w:rFonts w:cstheme="minorHAnsi"/>
          <w:sz w:val="24"/>
          <w:szCs w:val="24"/>
        </w:rPr>
      </w:pPr>
    </w:p>
    <w:p w14:paraId="203179A0" w14:textId="2513B317" w:rsidR="00DE0FAE" w:rsidRDefault="00DE0FAE" w:rsidP="00801BDB">
      <w:pPr>
        <w:jc w:val="both"/>
        <w:rPr>
          <w:rFonts w:cstheme="minorHAnsi"/>
          <w:sz w:val="24"/>
          <w:szCs w:val="24"/>
        </w:rPr>
      </w:pPr>
    </w:p>
    <w:p w14:paraId="718A7C3C" w14:textId="3EB0397D" w:rsidR="00801BDB" w:rsidRPr="00801BDB" w:rsidRDefault="00801BDB" w:rsidP="00801BDB">
      <w:pPr>
        <w:jc w:val="both"/>
        <w:rPr>
          <w:rFonts w:cstheme="minorHAnsi"/>
          <w:sz w:val="24"/>
          <w:szCs w:val="24"/>
        </w:rPr>
        <w:sectPr w:rsidR="00801BDB" w:rsidRPr="00801BDB" w:rsidSect="00B849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5625B46" w14:textId="77777777" w:rsidR="00DE0FAE" w:rsidRDefault="00DE0FAE" w:rsidP="00DE0FAE">
      <w:pPr>
        <w:ind w:right="-711"/>
        <w:jc w:val="both"/>
      </w:pPr>
    </w:p>
    <w:p w14:paraId="191D20C1" w14:textId="09331748" w:rsidR="00801BDB" w:rsidRDefault="00524EA8" w:rsidP="0060702D">
      <w:pPr>
        <w:ind w:left="-567" w:right="-711"/>
        <w:jc w:val="both"/>
        <w:rPr>
          <w:rFonts w:cs="Arial"/>
          <w:b/>
          <w:bCs/>
          <w:sz w:val="24"/>
          <w:szCs w:val="24"/>
        </w:rPr>
        <w:sectPr w:rsidR="00801BDB" w:rsidSect="00801BDB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524EA8">
        <w:rPr>
          <w:noProof/>
        </w:rPr>
        <w:drawing>
          <wp:inline distT="0" distB="0" distL="0" distR="0" wp14:anchorId="26E40A11" wp14:editId="4C6078C5">
            <wp:extent cx="9696450" cy="47831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265" cy="478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95AC" w14:textId="326F4E14" w:rsidR="002E3A95" w:rsidRPr="00D97C04" w:rsidRDefault="00D97C04" w:rsidP="00801BDB">
      <w:pPr>
        <w:ind w:right="-711"/>
        <w:jc w:val="both"/>
        <w:rPr>
          <w:rFonts w:cs="Arial"/>
          <w:b/>
          <w:bCs/>
          <w:sz w:val="24"/>
          <w:szCs w:val="24"/>
        </w:rPr>
      </w:pPr>
      <w:r w:rsidRPr="00D97C04">
        <w:rPr>
          <w:rFonts w:cs="Arial"/>
          <w:b/>
          <w:bCs/>
          <w:sz w:val="24"/>
          <w:szCs w:val="24"/>
        </w:rPr>
        <w:lastRenderedPageBreak/>
        <w:t>Plán cash-</w:t>
      </w:r>
      <w:proofErr w:type="spellStart"/>
      <w:r w:rsidRPr="00D97C04">
        <w:rPr>
          <w:rFonts w:cs="Arial"/>
          <w:b/>
          <w:bCs/>
          <w:sz w:val="24"/>
          <w:szCs w:val="24"/>
        </w:rPr>
        <w:t>flow</w:t>
      </w:r>
      <w:proofErr w:type="spellEnd"/>
      <w:r w:rsidR="00676283">
        <w:rPr>
          <w:rFonts w:cs="Arial"/>
          <w:b/>
          <w:bCs/>
          <w:sz w:val="24"/>
          <w:szCs w:val="24"/>
        </w:rPr>
        <w:t xml:space="preserve"> (rozdílová varianta)</w:t>
      </w:r>
    </w:p>
    <w:p w14:paraId="18978C55" w14:textId="7E4AAD18" w:rsidR="009A33BC" w:rsidRDefault="006279EA" w:rsidP="00207268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Při zohlednění nulové varianty</w:t>
      </w:r>
      <w:r w:rsidR="00E614BB">
        <w:rPr>
          <w:rFonts w:cs="Arial"/>
          <w:sz w:val="24"/>
          <w:szCs w:val="24"/>
        </w:rPr>
        <w:t xml:space="preserve"> činí</w:t>
      </w:r>
      <w:r>
        <w:rPr>
          <w:rFonts w:cs="Arial"/>
          <w:sz w:val="24"/>
          <w:szCs w:val="24"/>
        </w:rPr>
        <w:t xml:space="preserve"> celkové výdaje </w:t>
      </w:r>
      <w:r w:rsidR="00CE4D93">
        <w:rPr>
          <w:rFonts w:cs="Arial"/>
          <w:sz w:val="24"/>
          <w:szCs w:val="24"/>
        </w:rPr>
        <w:t>7</w:t>
      </w:r>
      <w:r w:rsidR="00174EC8">
        <w:rPr>
          <w:rFonts w:cs="Arial"/>
          <w:sz w:val="24"/>
          <w:szCs w:val="24"/>
        </w:rPr>
        <w:t> </w:t>
      </w:r>
      <w:r w:rsidR="00CE4D93">
        <w:rPr>
          <w:rFonts w:cs="Arial"/>
          <w:sz w:val="24"/>
          <w:szCs w:val="24"/>
        </w:rPr>
        <w:t>313</w:t>
      </w:r>
      <w:r w:rsidR="00174EC8">
        <w:rPr>
          <w:rFonts w:cs="Arial"/>
          <w:sz w:val="24"/>
          <w:szCs w:val="24"/>
        </w:rPr>
        <w:t> </w:t>
      </w:r>
      <w:r w:rsidR="00CE4D93">
        <w:rPr>
          <w:rFonts w:cs="Arial"/>
          <w:sz w:val="24"/>
          <w:szCs w:val="24"/>
        </w:rPr>
        <w:t>823</w:t>
      </w:r>
      <w:r w:rsidR="00174EC8">
        <w:rPr>
          <w:rFonts w:cs="Arial"/>
          <w:sz w:val="24"/>
          <w:szCs w:val="24"/>
        </w:rPr>
        <w:t>,-</w:t>
      </w:r>
      <w:r w:rsidR="009A33BC">
        <w:rPr>
          <w:rFonts w:cs="Arial"/>
          <w:sz w:val="24"/>
          <w:szCs w:val="24"/>
        </w:rPr>
        <w:t xml:space="preserve"> Kč. Nejvyšší výd</w:t>
      </w:r>
      <w:r w:rsidR="00283464">
        <w:rPr>
          <w:rFonts w:cs="Arial"/>
          <w:sz w:val="24"/>
          <w:szCs w:val="24"/>
        </w:rPr>
        <w:t>e</w:t>
      </w:r>
      <w:r w:rsidR="009A33BC">
        <w:rPr>
          <w:rFonts w:cs="Arial"/>
          <w:sz w:val="24"/>
          <w:szCs w:val="24"/>
        </w:rPr>
        <w:t>j</w:t>
      </w:r>
      <w:r w:rsidR="00351DDC">
        <w:rPr>
          <w:rFonts w:cs="Arial"/>
          <w:sz w:val="24"/>
          <w:szCs w:val="24"/>
        </w:rPr>
        <w:t>,</w:t>
      </w:r>
      <w:r w:rsidR="009A33BC">
        <w:rPr>
          <w:rFonts w:cs="Arial"/>
          <w:sz w:val="24"/>
          <w:szCs w:val="24"/>
        </w:rPr>
        <w:t xml:space="preserve"> </w:t>
      </w:r>
      <w:r w:rsidR="00EF4255">
        <w:rPr>
          <w:rFonts w:cs="Arial"/>
          <w:sz w:val="24"/>
          <w:szCs w:val="24"/>
        </w:rPr>
        <w:t xml:space="preserve">a </w:t>
      </w:r>
      <w:r w:rsidR="00351DDC">
        <w:rPr>
          <w:rFonts w:cs="Arial"/>
          <w:sz w:val="24"/>
          <w:szCs w:val="24"/>
        </w:rPr>
        <w:t>současně</w:t>
      </w:r>
      <w:r w:rsidR="009A33BC">
        <w:rPr>
          <w:rFonts w:cs="Arial"/>
          <w:sz w:val="24"/>
          <w:szCs w:val="24"/>
        </w:rPr>
        <w:t xml:space="preserve"> i </w:t>
      </w:r>
      <w:r w:rsidR="00E614BB">
        <w:rPr>
          <w:rFonts w:cs="Arial"/>
          <w:sz w:val="24"/>
          <w:szCs w:val="24"/>
        </w:rPr>
        <w:t>záporné</w:t>
      </w:r>
      <w:r w:rsidR="009A33BC">
        <w:rPr>
          <w:rFonts w:cs="Arial"/>
          <w:sz w:val="24"/>
          <w:szCs w:val="24"/>
        </w:rPr>
        <w:t xml:space="preserve"> cash-</w:t>
      </w:r>
      <w:proofErr w:type="spellStart"/>
      <w:r w:rsidR="009A33BC">
        <w:rPr>
          <w:rFonts w:cs="Arial"/>
          <w:sz w:val="24"/>
          <w:szCs w:val="24"/>
        </w:rPr>
        <w:t>flow</w:t>
      </w:r>
      <w:proofErr w:type="spellEnd"/>
      <w:r w:rsidR="00351DDC">
        <w:rPr>
          <w:rFonts w:cs="Arial"/>
          <w:sz w:val="24"/>
          <w:szCs w:val="24"/>
        </w:rPr>
        <w:t>,</w:t>
      </w:r>
      <w:r w:rsidR="009A33BC">
        <w:rPr>
          <w:rFonts w:cs="Arial"/>
          <w:sz w:val="24"/>
          <w:szCs w:val="24"/>
        </w:rPr>
        <w:t xml:space="preserve"> </w:t>
      </w:r>
      <w:r w:rsidR="00E614BB">
        <w:rPr>
          <w:rFonts w:cs="Arial"/>
          <w:sz w:val="24"/>
          <w:szCs w:val="24"/>
        </w:rPr>
        <w:t>vychází</w:t>
      </w:r>
      <w:r w:rsidR="009A33BC">
        <w:rPr>
          <w:rFonts w:cs="Arial"/>
          <w:sz w:val="24"/>
          <w:szCs w:val="24"/>
        </w:rPr>
        <w:t xml:space="preserve"> pouze v</w:t>
      </w:r>
      <w:r w:rsidR="00B24AAA">
        <w:rPr>
          <w:rFonts w:cs="Arial"/>
          <w:sz w:val="24"/>
          <w:szCs w:val="24"/>
        </w:rPr>
        <w:t> </w:t>
      </w:r>
      <w:r w:rsidR="009A33BC">
        <w:rPr>
          <w:rFonts w:cs="Arial"/>
          <w:sz w:val="24"/>
          <w:szCs w:val="24"/>
        </w:rPr>
        <w:t>roce</w:t>
      </w:r>
      <w:r w:rsidR="00B24AAA">
        <w:rPr>
          <w:rFonts w:cs="Arial"/>
          <w:sz w:val="24"/>
          <w:szCs w:val="24"/>
        </w:rPr>
        <w:t xml:space="preserve"> </w:t>
      </w:r>
      <w:proofErr w:type="gramStart"/>
      <w:r w:rsidR="009A33BC">
        <w:rPr>
          <w:rFonts w:cs="Arial"/>
          <w:sz w:val="24"/>
          <w:szCs w:val="24"/>
        </w:rPr>
        <w:t>pořízení</w:t>
      </w:r>
      <w:proofErr w:type="gramEnd"/>
      <w:r w:rsidR="005621BA">
        <w:rPr>
          <w:rFonts w:cs="Arial"/>
          <w:sz w:val="24"/>
          <w:szCs w:val="24"/>
        </w:rPr>
        <w:t xml:space="preserve"> </w:t>
      </w:r>
      <w:r w:rsidR="00047B3E">
        <w:rPr>
          <w:rFonts w:cs="Arial"/>
          <w:sz w:val="24"/>
          <w:szCs w:val="24"/>
        </w:rPr>
        <w:t>a to ve výši 26</w:t>
      </w:r>
      <w:r w:rsidR="00174EC8">
        <w:rPr>
          <w:rFonts w:cs="Arial"/>
          <w:sz w:val="24"/>
          <w:szCs w:val="24"/>
        </w:rPr>
        <w:t> </w:t>
      </w:r>
      <w:r w:rsidR="00CE4D93">
        <w:rPr>
          <w:rFonts w:cs="Arial"/>
          <w:sz w:val="24"/>
          <w:szCs w:val="24"/>
        </w:rPr>
        <w:t>802</w:t>
      </w:r>
      <w:r w:rsidR="00174EC8">
        <w:rPr>
          <w:rFonts w:cs="Arial"/>
          <w:sz w:val="24"/>
          <w:szCs w:val="24"/>
        </w:rPr>
        <w:t> </w:t>
      </w:r>
      <w:r w:rsidR="00CE4D93">
        <w:rPr>
          <w:rFonts w:cs="Arial"/>
          <w:sz w:val="24"/>
          <w:szCs w:val="24"/>
        </w:rPr>
        <w:t>807</w:t>
      </w:r>
      <w:r w:rsidR="00174EC8">
        <w:rPr>
          <w:rFonts w:cs="Arial"/>
          <w:sz w:val="24"/>
          <w:szCs w:val="24"/>
        </w:rPr>
        <w:t>,-</w:t>
      </w:r>
      <w:r w:rsidR="00047B3E">
        <w:rPr>
          <w:rFonts w:cs="Arial"/>
          <w:sz w:val="24"/>
          <w:szCs w:val="24"/>
        </w:rPr>
        <w:t xml:space="preserve"> Kč.</w:t>
      </w:r>
      <w:r w:rsidR="009A33BC">
        <w:rPr>
          <w:rFonts w:cs="Arial"/>
          <w:sz w:val="24"/>
          <w:szCs w:val="24"/>
        </w:rPr>
        <w:t xml:space="preserve"> </w:t>
      </w:r>
      <w:r w:rsidR="00351DDC">
        <w:rPr>
          <w:rFonts w:cs="Arial"/>
          <w:sz w:val="24"/>
          <w:szCs w:val="24"/>
        </w:rPr>
        <w:t>V</w:t>
      </w:r>
      <w:r w:rsidR="009A33BC">
        <w:rPr>
          <w:rFonts w:cs="Arial"/>
          <w:sz w:val="24"/>
          <w:szCs w:val="24"/>
        </w:rPr>
        <w:t> kumulovaném vyjádření dochází k postupnému umořování záporného negativního</w:t>
      </w:r>
      <w:r w:rsidR="00174EC8">
        <w:rPr>
          <w:rFonts w:cs="Arial"/>
          <w:sz w:val="24"/>
          <w:szCs w:val="24"/>
        </w:rPr>
        <w:t xml:space="preserve"> </w:t>
      </w:r>
      <w:r w:rsidR="009A33BC">
        <w:rPr>
          <w:rFonts w:cs="Arial"/>
          <w:sz w:val="24"/>
          <w:szCs w:val="24"/>
        </w:rPr>
        <w:t>cash-</w:t>
      </w:r>
      <w:proofErr w:type="spellStart"/>
      <w:r w:rsidR="009A33BC">
        <w:rPr>
          <w:rFonts w:cs="Arial"/>
          <w:sz w:val="24"/>
          <w:szCs w:val="24"/>
        </w:rPr>
        <w:t>flow</w:t>
      </w:r>
      <w:proofErr w:type="spellEnd"/>
      <w:r w:rsidR="00047B3E">
        <w:rPr>
          <w:rFonts w:cs="Arial"/>
          <w:sz w:val="24"/>
          <w:szCs w:val="24"/>
        </w:rPr>
        <w:t xml:space="preserve"> </w:t>
      </w:r>
      <w:r w:rsidR="00676283">
        <w:rPr>
          <w:rFonts w:cs="Arial"/>
          <w:sz w:val="24"/>
          <w:szCs w:val="24"/>
        </w:rPr>
        <w:t>za sledované referenční období projektu</w:t>
      </w:r>
      <w:r w:rsidR="00047B3E">
        <w:rPr>
          <w:rFonts w:cs="Arial"/>
          <w:sz w:val="24"/>
          <w:szCs w:val="24"/>
        </w:rPr>
        <w:t>.</w:t>
      </w:r>
    </w:p>
    <w:p w14:paraId="5CDC5BD8" w14:textId="47D605E8" w:rsidR="00047B3E" w:rsidRDefault="00047B3E" w:rsidP="00085A68">
      <w:pPr>
        <w:spacing w:after="0"/>
        <w:jc w:val="both"/>
        <w:rPr>
          <w:rFonts w:cs="Arial"/>
          <w:sz w:val="24"/>
          <w:szCs w:val="24"/>
        </w:rPr>
      </w:pPr>
    </w:p>
    <w:p w14:paraId="78AD7D5A" w14:textId="0D105F13" w:rsidR="000421C9" w:rsidRDefault="00A82792" w:rsidP="00A82792">
      <w:pPr>
        <w:spacing w:after="0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="00CE4D93" w:rsidRPr="00CE4D93">
        <w:rPr>
          <w:noProof/>
        </w:rPr>
        <w:drawing>
          <wp:inline distT="0" distB="0" distL="0" distR="0" wp14:anchorId="43B9C126" wp14:editId="48EB7C67">
            <wp:extent cx="4800600" cy="3943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E4670" w14:textId="2D9125BC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34615844" w14:textId="158400AC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041A8368" w14:textId="082FD3BF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2DDB0B3F" w14:textId="474B46F4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2DEDDB07" w14:textId="18F873F6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0E8564BC" w14:textId="2E7634E6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07D822AA" w14:textId="09B695B3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3C99A182" w14:textId="6CD5DBE1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636136E7" w14:textId="238438FA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228A885E" w14:textId="379E44CF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4DC277B0" w14:textId="38768782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363967A2" w14:textId="4DF2E28D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79EA2205" w14:textId="2628221D" w:rsidR="00207268" w:rsidRDefault="00207268" w:rsidP="00085A68">
      <w:pPr>
        <w:spacing w:after="0"/>
        <w:jc w:val="both"/>
        <w:rPr>
          <w:rFonts w:cs="Arial"/>
          <w:sz w:val="24"/>
          <w:szCs w:val="24"/>
        </w:rPr>
      </w:pPr>
    </w:p>
    <w:p w14:paraId="6CB17598" w14:textId="77777777" w:rsidR="00207268" w:rsidRDefault="00207268" w:rsidP="00085A68">
      <w:pPr>
        <w:spacing w:after="0"/>
        <w:jc w:val="both"/>
        <w:rPr>
          <w:rFonts w:cs="Arial"/>
          <w:sz w:val="24"/>
          <w:szCs w:val="24"/>
        </w:rPr>
      </w:pPr>
    </w:p>
    <w:p w14:paraId="48444E2E" w14:textId="77777777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09D7BD35" w14:textId="0E9F3458" w:rsidR="00D454A4" w:rsidRDefault="00D454A4" w:rsidP="00047B3E">
      <w:pPr>
        <w:jc w:val="both"/>
        <w:rPr>
          <w:rFonts w:cs="Arial"/>
          <w:b/>
          <w:bCs/>
          <w:sz w:val="24"/>
          <w:szCs w:val="24"/>
        </w:rPr>
      </w:pPr>
    </w:p>
    <w:p w14:paraId="0CA7CC65" w14:textId="77777777" w:rsidR="002205D0" w:rsidRDefault="002205D0" w:rsidP="00047B3E">
      <w:pPr>
        <w:jc w:val="both"/>
        <w:rPr>
          <w:rFonts w:cs="Arial"/>
          <w:b/>
          <w:bCs/>
          <w:sz w:val="24"/>
          <w:szCs w:val="24"/>
        </w:rPr>
      </w:pPr>
    </w:p>
    <w:p w14:paraId="326C60CE" w14:textId="54382B08" w:rsidR="00047B3E" w:rsidRPr="00047B3E" w:rsidRDefault="00047B3E" w:rsidP="00047B3E">
      <w:pPr>
        <w:jc w:val="both"/>
        <w:rPr>
          <w:rFonts w:cs="Arial"/>
          <w:b/>
          <w:bCs/>
          <w:sz w:val="24"/>
          <w:szCs w:val="24"/>
        </w:rPr>
      </w:pPr>
      <w:r w:rsidRPr="00047B3E">
        <w:rPr>
          <w:rFonts w:cs="Arial"/>
          <w:b/>
          <w:bCs/>
          <w:sz w:val="24"/>
          <w:szCs w:val="24"/>
        </w:rPr>
        <w:lastRenderedPageBreak/>
        <w:t>Výsledky finanční analýzy</w:t>
      </w:r>
      <w:r w:rsidR="00174EC8">
        <w:rPr>
          <w:rFonts w:cs="Arial"/>
          <w:b/>
          <w:bCs/>
          <w:sz w:val="24"/>
          <w:szCs w:val="24"/>
        </w:rPr>
        <w:t xml:space="preserve"> (rozdílová varianta)</w:t>
      </w:r>
    </w:p>
    <w:p w14:paraId="092DEA3F" w14:textId="637670B0" w:rsidR="004970DB" w:rsidRDefault="0055774E" w:rsidP="00085A68">
      <w:pPr>
        <w:spacing w:after="0"/>
        <w:jc w:val="both"/>
        <w:rPr>
          <w:rFonts w:cs="Arial"/>
          <w:sz w:val="24"/>
          <w:szCs w:val="24"/>
        </w:rPr>
      </w:pPr>
      <w:r w:rsidRPr="00085A68">
        <w:rPr>
          <w:rFonts w:cs="Arial"/>
          <w:sz w:val="24"/>
          <w:szCs w:val="24"/>
        </w:rPr>
        <w:t>V následující tabulce jsou uvedeny výsledky finanční analýzy projektu v podobě vypočtených kriteriálních ukazatelů. S ohledem na požadavky výzvy je referenční období pro výpočty stanoveno na 10 le</w:t>
      </w:r>
      <w:r w:rsidR="00F605F5">
        <w:rPr>
          <w:rFonts w:cs="Arial"/>
          <w:sz w:val="24"/>
          <w:szCs w:val="24"/>
        </w:rPr>
        <w:t>t.</w:t>
      </w:r>
      <w:r w:rsidRPr="00085A68">
        <w:rPr>
          <w:rFonts w:cs="Arial"/>
          <w:sz w:val="24"/>
          <w:szCs w:val="24"/>
        </w:rPr>
        <w:t xml:space="preserve"> </w:t>
      </w:r>
    </w:p>
    <w:p w14:paraId="3AE78BD9" w14:textId="77777777" w:rsidR="000421C9" w:rsidRPr="00085A68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6973A5BC" w14:textId="1309692F" w:rsidR="0055774E" w:rsidRPr="00AB32DB" w:rsidRDefault="00207268" w:rsidP="00EF425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B32DB">
        <w:rPr>
          <w:rFonts w:cstheme="minorHAnsi"/>
          <w:sz w:val="24"/>
          <w:szCs w:val="24"/>
        </w:rPr>
        <w:t xml:space="preserve">  </w:t>
      </w:r>
      <w:r w:rsidR="00351DDC">
        <w:rPr>
          <w:rFonts w:cstheme="minorHAnsi"/>
          <w:sz w:val="24"/>
          <w:szCs w:val="24"/>
        </w:rPr>
        <w:t xml:space="preserve">  </w:t>
      </w:r>
      <w:r w:rsidR="00CE4D93" w:rsidRPr="00CE4D93">
        <w:rPr>
          <w:noProof/>
        </w:rPr>
        <w:drawing>
          <wp:inline distT="0" distB="0" distL="0" distR="0" wp14:anchorId="38D9FC6E" wp14:editId="77DA76B8">
            <wp:extent cx="5210175" cy="39433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743E" w14:textId="3BF8AD14" w:rsidR="00AB32DB" w:rsidRPr="00AB32DB" w:rsidRDefault="00AB32DB" w:rsidP="00EF4255">
      <w:pPr>
        <w:rPr>
          <w:rFonts w:cs="Arial"/>
          <w:color w:val="767171" w:themeColor="background2" w:themeShade="80"/>
          <w:sz w:val="20"/>
          <w:szCs w:val="20"/>
        </w:rPr>
      </w:pPr>
      <w:r w:rsidRPr="00AB32DB">
        <w:rPr>
          <w:rFonts w:cs="Arial"/>
          <w:color w:val="767171" w:themeColor="background2" w:themeShade="80"/>
          <w:sz w:val="20"/>
          <w:szCs w:val="20"/>
        </w:rPr>
        <w:t>Diskontní sazba je stanovena ve výši 4</w:t>
      </w:r>
      <w:r w:rsidR="00085A68">
        <w:rPr>
          <w:rFonts w:cs="Arial"/>
          <w:color w:val="767171" w:themeColor="background2" w:themeShade="80"/>
          <w:sz w:val="20"/>
          <w:szCs w:val="20"/>
        </w:rPr>
        <w:t xml:space="preserve"> </w:t>
      </w:r>
      <w:r w:rsidRPr="00AB32DB">
        <w:rPr>
          <w:rFonts w:cs="Arial"/>
          <w:color w:val="767171" w:themeColor="background2" w:themeShade="80"/>
          <w:sz w:val="20"/>
          <w:szCs w:val="20"/>
        </w:rPr>
        <w:t xml:space="preserve">% per </w:t>
      </w:r>
      <w:proofErr w:type="spellStart"/>
      <w:r w:rsidRPr="00AB32DB">
        <w:rPr>
          <w:rFonts w:cs="Arial"/>
          <w:color w:val="767171" w:themeColor="background2" w:themeShade="80"/>
          <w:sz w:val="20"/>
          <w:szCs w:val="20"/>
        </w:rPr>
        <w:t>anum</w:t>
      </w:r>
      <w:proofErr w:type="spellEnd"/>
      <w:r w:rsidRPr="00AB32DB">
        <w:rPr>
          <w:rFonts w:cs="Arial"/>
          <w:color w:val="767171" w:themeColor="background2" w:themeShade="80"/>
          <w:sz w:val="20"/>
          <w:szCs w:val="20"/>
        </w:rPr>
        <w:t>.</w:t>
      </w:r>
    </w:p>
    <w:p w14:paraId="64F7DC50" w14:textId="68B6BE28" w:rsidR="00F605F5" w:rsidRDefault="00AB32DB" w:rsidP="00EF425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Čistá současná hodnota</w:t>
      </w:r>
      <w:r w:rsidR="00085A68">
        <w:rPr>
          <w:rFonts w:cs="Arial"/>
          <w:sz w:val="24"/>
          <w:szCs w:val="24"/>
        </w:rPr>
        <w:t xml:space="preserve"> projektu je </w:t>
      </w:r>
      <w:r w:rsidR="00D83D89">
        <w:rPr>
          <w:rFonts w:cs="Arial"/>
          <w:sz w:val="24"/>
          <w:szCs w:val="24"/>
        </w:rPr>
        <w:t>nižší</w:t>
      </w:r>
      <w:r w:rsidR="00085A68">
        <w:rPr>
          <w:rFonts w:cs="Arial"/>
          <w:sz w:val="24"/>
          <w:szCs w:val="24"/>
        </w:rPr>
        <w:t xml:space="preserve"> </w:t>
      </w:r>
      <w:r w:rsidR="00D83D89">
        <w:rPr>
          <w:rFonts w:cs="Arial"/>
          <w:sz w:val="24"/>
          <w:szCs w:val="24"/>
        </w:rPr>
        <w:t>než</w:t>
      </w:r>
      <w:r w:rsidR="00085A68">
        <w:rPr>
          <w:rFonts w:cs="Arial"/>
          <w:sz w:val="24"/>
          <w:szCs w:val="24"/>
        </w:rPr>
        <w:t xml:space="preserve"> 0, dosahuje výše -4 </w:t>
      </w:r>
      <w:r w:rsidR="00CE4D93">
        <w:rPr>
          <w:rFonts w:cs="Arial"/>
          <w:sz w:val="24"/>
          <w:szCs w:val="24"/>
        </w:rPr>
        <w:t>985</w:t>
      </w:r>
      <w:r w:rsidR="00085A68">
        <w:rPr>
          <w:rFonts w:cs="Arial"/>
          <w:sz w:val="24"/>
          <w:szCs w:val="24"/>
        </w:rPr>
        <w:t> </w:t>
      </w:r>
      <w:r w:rsidR="00CE4D93">
        <w:rPr>
          <w:rFonts w:cs="Arial"/>
          <w:sz w:val="24"/>
          <w:szCs w:val="24"/>
        </w:rPr>
        <w:t>301</w:t>
      </w:r>
      <w:r w:rsidR="00085A68">
        <w:rPr>
          <w:rFonts w:cs="Arial"/>
          <w:sz w:val="24"/>
          <w:szCs w:val="24"/>
        </w:rPr>
        <w:t>,- Kč.</w:t>
      </w:r>
      <w:r w:rsidR="00351DDC">
        <w:rPr>
          <w:rFonts w:cs="Arial"/>
          <w:sz w:val="24"/>
          <w:szCs w:val="24"/>
        </w:rPr>
        <w:t xml:space="preserve"> </w:t>
      </w:r>
    </w:p>
    <w:p w14:paraId="33E15635" w14:textId="3B24A3B8" w:rsidR="00F605F5" w:rsidRDefault="00F605F5" w:rsidP="00EF425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Udržitelnost projektu dosahuje</w:t>
      </w:r>
      <w:r w:rsidR="00351DDC">
        <w:rPr>
          <w:rFonts w:cs="Arial"/>
          <w:sz w:val="24"/>
          <w:szCs w:val="24"/>
        </w:rPr>
        <w:t xml:space="preserve"> kladné hodnoty 2 0</w:t>
      </w:r>
      <w:r w:rsidR="00615E4C">
        <w:rPr>
          <w:rFonts w:cs="Arial"/>
          <w:sz w:val="24"/>
          <w:szCs w:val="24"/>
        </w:rPr>
        <w:t>3</w:t>
      </w:r>
      <w:r w:rsidR="00351DDC">
        <w:rPr>
          <w:rFonts w:cs="Arial"/>
          <w:sz w:val="24"/>
          <w:szCs w:val="24"/>
        </w:rPr>
        <w:t>0 699,- Kč</w:t>
      </w:r>
      <w:r>
        <w:rPr>
          <w:rFonts w:cs="Arial"/>
          <w:sz w:val="24"/>
          <w:szCs w:val="24"/>
        </w:rPr>
        <w:t>, projekt je udržitelný.</w:t>
      </w:r>
      <w:r w:rsidR="00047B3E">
        <w:rPr>
          <w:rFonts w:cs="Arial"/>
          <w:sz w:val="24"/>
          <w:szCs w:val="24"/>
        </w:rPr>
        <w:t xml:space="preserve"> </w:t>
      </w:r>
    </w:p>
    <w:p w14:paraId="71BCE199" w14:textId="2C8B0212" w:rsidR="00283464" w:rsidRDefault="00283464" w:rsidP="00EF425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Případné rozdíly jsou dány zaokrouhlováním položek.</w:t>
      </w:r>
    </w:p>
    <w:p w14:paraId="519879AD" w14:textId="77777777" w:rsidR="00FC19DC" w:rsidRDefault="00FC19DC" w:rsidP="00EF4255">
      <w:pPr>
        <w:rPr>
          <w:rFonts w:cs="Arial"/>
          <w:b/>
          <w:bCs/>
          <w:sz w:val="24"/>
          <w:szCs w:val="24"/>
        </w:rPr>
      </w:pPr>
    </w:p>
    <w:p w14:paraId="2647D719" w14:textId="77777777" w:rsidR="00FC19DC" w:rsidRDefault="00FC19DC" w:rsidP="00EF4255">
      <w:pPr>
        <w:rPr>
          <w:rFonts w:cs="Arial"/>
          <w:b/>
          <w:bCs/>
          <w:sz w:val="24"/>
          <w:szCs w:val="24"/>
        </w:rPr>
      </w:pPr>
    </w:p>
    <w:p w14:paraId="6512F720" w14:textId="77777777" w:rsidR="00FC19DC" w:rsidRDefault="00FC19DC" w:rsidP="00EF4255">
      <w:pPr>
        <w:rPr>
          <w:rFonts w:cs="Arial"/>
          <w:b/>
          <w:bCs/>
          <w:sz w:val="24"/>
          <w:szCs w:val="24"/>
        </w:rPr>
      </w:pPr>
    </w:p>
    <w:p w14:paraId="3538DBE9" w14:textId="77777777" w:rsidR="00FC19DC" w:rsidRDefault="00FC19DC" w:rsidP="00EF4255">
      <w:pPr>
        <w:rPr>
          <w:rFonts w:cs="Arial"/>
          <w:b/>
          <w:bCs/>
          <w:sz w:val="24"/>
          <w:szCs w:val="24"/>
        </w:rPr>
      </w:pPr>
    </w:p>
    <w:p w14:paraId="3A12B729" w14:textId="77777777" w:rsidR="00FC19DC" w:rsidRDefault="00FC19DC" w:rsidP="00EF4255">
      <w:pPr>
        <w:rPr>
          <w:rFonts w:cs="Arial"/>
          <w:b/>
          <w:bCs/>
          <w:sz w:val="24"/>
          <w:szCs w:val="24"/>
        </w:rPr>
      </w:pPr>
    </w:p>
    <w:p w14:paraId="3495DE39" w14:textId="77777777" w:rsidR="00FC19DC" w:rsidRDefault="00FC19DC" w:rsidP="00EF4255">
      <w:pPr>
        <w:rPr>
          <w:rFonts w:cs="Arial"/>
          <w:b/>
          <w:bCs/>
          <w:sz w:val="24"/>
          <w:szCs w:val="24"/>
        </w:rPr>
      </w:pPr>
    </w:p>
    <w:p w14:paraId="2B7F1A81" w14:textId="77777777" w:rsidR="00FC19DC" w:rsidRDefault="00FC19DC" w:rsidP="00EF4255">
      <w:pPr>
        <w:rPr>
          <w:rFonts w:cs="Arial"/>
          <w:b/>
          <w:bCs/>
          <w:sz w:val="24"/>
          <w:szCs w:val="24"/>
        </w:rPr>
      </w:pPr>
    </w:p>
    <w:p w14:paraId="1CE10B23" w14:textId="77777777" w:rsidR="00FC19DC" w:rsidRDefault="00FC19DC" w:rsidP="00EF4255">
      <w:pPr>
        <w:rPr>
          <w:rFonts w:cs="Arial"/>
          <w:b/>
          <w:bCs/>
          <w:sz w:val="24"/>
          <w:szCs w:val="24"/>
        </w:rPr>
      </w:pPr>
    </w:p>
    <w:p w14:paraId="272315C2" w14:textId="77777777" w:rsidR="00FC19DC" w:rsidRDefault="00FC19DC" w:rsidP="00EF4255">
      <w:pPr>
        <w:rPr>
          <w:rFonts w:cs="Arial"/>
          <w:b/>
          <w:bCs/>
        </w:rPr>
        <w:sectPr w:rsidR="00FC19DC" w:rsidSect="00B849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F681BE4" w14:textId="11D6C3CD" w:rsidR="00C74645" w:rsidRPr="00615E4C" w:rsidRDefault="00615E4C" w:rsidP="00EF4255">
      <w:pPr>
        <w:rPr>
          <w:rFonts w:cs="Arial"/>
          <w:b/>
          <w:bCs/>
          <w:sz w:val="24"/>
          <w:szCs w:val="24"/>
        </w:rPr>
      </w:pPr>
      <w:r w:rsidRPr="00615E4C">
        <w:rPr>
          <w:rFonts w:cs="Arial"/>
          <w:b/>
          <w:bCs/>
          <w:sz w:val="24"/>
          <w:szCs w:val="24"/>
        </w:rPr>
        <w:lastRenderedPageBreak/>
        <w:t>S</w:t>
      </w:r>
      <w:r w:rsidR="00832F82" w:rsidRPr="00615E4C">
        <w:rPr>
          <w:rFonts w:cs="Arial"/>
          <w:b/>
          <w:bCs/>
          <w:sz w:val="24"/>
          <w:szCs w:val="24"/>
        </w:rPr>
        <w:t>ouhrn f</w:t>
      </w:r>
      <w:r w:rsidR="00C74645" w:rsidRPr="00615E4C">
        <w:rPr>
          <w:rFonts w:cs="Arial"/>
          <w:b/>
          <w:bCs/>
          <w:sz w:val="24"/>
          <w:szCs w:val="24"/>
        </w:rPr>
        <w:t>inanční analýz</w:t>
      </w:r>
      <w:r w:rsidR="00FC19DC" w:rsidRPr="00615E4C">
        <w:rPr>
          <w:rFonts w:cs="Arial"/>
          <w:b/>
          <w:bCs/>
          <w:sz w:val="24"/>
          <w:szCs w:val="24"/>
        </w:rPr>
        <w:t>y:</w:t>
      </w:r>
    </w:p>
    <w:p w14:paraId="6994F394" w14:textId="77777777" w:rsidR="004970DB" w:rsidRPr="00FC19DC" w:rsidRDefault="004970DB" w:rsidP="00EF4255">
      <w:pPr>
        <w:rPr>
          <w:rFonts w:cs="Arial"/>
          <w:b/>
          <w:bCs/>
        </w:rPr>
      </w:pPr>
    </w:p>
    <w:p w14:paraId="5B7C1F2C" w14:textId="558484E4" w:rsidR="00085A68" w:rsidRPr="00EF4255" w:rsidRDefault="00644035" w:rsidP="004970DB">
      <w:pPr>
        <w:ind w:left="-567"/>
        <w:rPr>
          <w:rFonts w:cs="Arial"/>
          <w:sz w:val="24"/>
          <w:szCs w:val="24"/>
        </w:rPr>
      </w:pPr>
      <w:r w:rsidRPr="00644035">
        <w:rPr>
          <w:noProof/>
        </w:rPr>
        <w:drawing>
          <wp:inline distT="0" distB="0" distL="0" distR="0" wp14:anchorId="77352AF2" wp14:editId="52B1AFA9">
            <wp:extent cx="9572625" cy="3689036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334" cy="369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799D7" w14:textId="77777777" w:rsidR="009A33BC" w:rsidRPr="00C32660" w:rsidRDefault="009A33BC" w:rsidP="00C32660">
      <w:pPr>
        <w:spacing w:after="200"/>
        <w:rPr>
          <w:rFonts w:cs="Arial"/>
          <w:sz w:val="24"/>
          <w:szCs w:val="24"/>
        </w:rPr>
      </w:pPr>
    </w:p>
    <w:p w14:paraId="174C66B0" w14:textId="1303E2FD" w:rsidR="005E0A5E" w:rsidRDefault="0087340B" w:rsidP="005E0A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8CECACE" w14:textId="77777777" w:rsidR="005E0A5E" w:rsidRDefault="005E0A5E" w:rsidP="005E0A5E">
      <w:pPr>
        <w:spacing w:after="0"/>
        <w:rPr>
          <w:rFonts w:cstheme="minorHAnsi"/>
          <w:sz w:val="24"/>
          <w:szCs w:val="24"/>
        </w:rPr>
      </w:pPr>
    </w:p>
    <w:p w14:paraId="73D550A5" w14:textId="0225B0AC" w:rsidR="00F61E04" w:rsidRDefault="00F61E04" w:rsidP="00671D50">
      <w:pPr>
        <w:rPr>
          <w:rFonts w:cstheme="minorHAnsi"/>
          <w:sz w:val="24"/>
          <w:szCs w:val="24"/>
        </w:rPr>
      </w:pPr>
    </w:p>
    <w:p w14:paraId="6356D972" w14:textId="77777777" w:rsidR="004970DB" w:rsidRDefault="004970DB" w:rsidP="004970DB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sectPr w:rsidR="004970DB" w:rsidSect="00FC19DC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FA5BDA" w14:textId="4B3C4CB0" w:rsidR="004970DB" w:rsidRPr="004970DB" w:rsidRDefault="004970DB" w:rsidP="004970DB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4970D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lastRenderedPageBreak/>
        <w:t xml:space="preserve">Komentář k finanční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a ekonomické </w:t>
      </w:r>
      <w:r w:rsidRPr="004970D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analýze k projektu v rámci programu REACT-EU</w:t>
      </w:r>
    </w:p>
    <w:p w14:paraId="7AF75D85" w14:textId="46833A6C" w:rsidR="004970DB" w:rsidRDefault="004970DB" w:rsidP="004970DB">
      <w:pPr>
        <w:spacing w:after="0" w:line="240" w:lineRule="auto"/>
        <w:ind w:left="1410" w:hanging="141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671D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Projekt:</w:t>
      </w:r>
      <w:r w:rsidRPr="00671D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  <w:t>D</w:t>
      </w:r>
      <w:r w:rsidRPr="005446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ostavba budovy a modernizace přístrojového vybavení pro pacienty vyžadující doléčení</w:t>
      </w:r>
    </w:p>
    <w:p w14:paraId="32B48528" w14:textId="77777777" w:rsidR="004970DB" w:rsidRDefault="004970DB" w:rsidP="004970DB">
      <w:pPr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0EA1CA24" w14:textId="33933DBF" w:rsidR="004970DB" w:rsidRPr="004970DB" w:rsidRDefault="004970DB" w:rsidP="004970DB">
      <w:pPr>
        <w:jc w:val="both"/>
        <w:rPr>
          <w:sz w:val="24"/>
          <w:szCs w:val="24"/>
        </w:rPr>
      </w:pPr>
      <w:r w:rsidRPr="004970DB">
        <w:rPr>
          <w:sz w:val="24"/>
          <w:szCs w:val="24"/>
        </w:rPr>
        <w:t xml:space="preserve">Tato kapitola není zpracována, je pro projekt nerelevantní, jedná se o projekt pod 100 mil. Kč celkových způsobilých výdajů. </w:t>
      </w:r>
    </w:p>
    <w:p w14:paraId="33652052" w14:textId="6FD4892A" w:rsidR="004970DB" w:rsidRPr="004970DB" w:rsidRDefault="004970DB" w:rsidP="004970DB">
      <w:pPr>
        <w:spacing w:after="0" w:line="240" w:lineRule="auto"/>
        <w:ind w:left="1410" w:hanging="141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14DA7007" w14:textId="204C5300" w:rsidR="00B402E4" w:rsidRDefault="00B402E4"/>
    <w:sectPr w:rsidR="00B402E4" w:rsidSect="004970D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A223D" w14:textId="77777777" w:rsidR="005F0481" w:rsidRDefault="005F0481" w:rsidP="00801BDB">
      <w:pPr>
        <w:spacing w:after="0" w:line="240" w:lineRule="auto"/>
      </w:pPr>
      <w:r>
        <w:separator/>
      </w:r>
    </w:p>
  </w:endnote>
  <w:endnote w:type="continuationSeparator" w:id="0">
    <w:p w14:paraId="3A59F888" w14:textId="77777777" w:rsidR="005F0481" w:rsidRDefault="005F0481" w:rsidP="0080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B793E" w14:textId="77777777" w:rsidR="005F0481" w:rsidRDefault="005F0481" w:rsidP="00801BDB">
      <w:pPr>
        <w:spacing w:after="0" w:line="240" w:lineRule="auto"/>
      </w:pPr>
      <w:r>
        <w:separator/>
      </w:r>
    </w:p>
  </w:footnote>
  <w:footnote w:type="continuationSeparator" w:id="0">
    <w:p w14:paraId="44117422" w14:textId="77777777" w:rsidR="005F0481" w:rsidRDefault="005F0481" w:rsidP="0080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9F2"/>
    <w:multiLevelType w:val="hybridMultilevel"/>
    <w:tmpl w:val="8D70989A"/>
    <w:lvl w:ilvl="0" w:tplc="FE78E5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F3AE5"/>
    <w:multiLevelType w:val="hybridMultilevel"/>
    <w:tmpl w:val="8D70989A"/>
    <w:lvl w:ilvl="0" w:tplc="FE78E5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3329E"/>
    <w:multiLevelType w:val="multilevel"/>
    <w:tmpl w:val="BF3CECA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4472C4" w:themeColor="accent1"/>
        <w:sz w:val="32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ascii="Arial" w:hAnsi="Arial" w:cs="Arial" w:hint="default"/>
        <w:b/>
        <w:color w:val="2E74B5" w:themeColor="accent5" w:themeShade="BF"/>
        <w:sz w:val="22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E3"/>
    <w:rsid w:val="00021A32"/>
    <w:rsid w:val="00022B5D"/>
    <w:rsid w:val="00040999"/>
    <w:rsid w:val="000421C9"/>
    <w:rsid w:val="00047B3E"/>
    <w:rsid w:val="00061CC0"/>
    <w:rsid w:val="00066A22"/>
    <w:rsid w:val="00085A68"/>
    <w:rsid w:val="000A518B"/>
    <w:rsid w:val="000C3041"/>
    <w:rsid w:val="000D6E9F"/>
    <w:rsid w:val="00116B11"/>
    <w:rsid w:val="0013153D"/>
    <w:rsid w:val="00163CF6"/>
    <w:rsid w:val="00174EC8"/>
    <w:rsid w:val="0018461B"/>
    <w:rsid w:val="00192659"/>
    <w:rsid w:val="001B22D7"/>
    <w:rsid w:val="001C6D82"/>
    <w:rsid w:val="001E6389"/>
    <w:rsid w:val="00207268"/>
    <w:rsid w:val="0021586D"/>
    <w:rsid w:val="002205D0"/>
    <w:rsid w:val="00235F6C"/>
    <w:rsid w:val="00245A51"/>
    <w:rsid w:val="00283464"/>
    <w:rsid w:val="002B02CB"/>
    <w:rsid w:val="002C36E9"/>
    <w:rsid w:val="002D6714"/>
    <w:rsid w:val="002D7743"/>
    <w:rsid w:val="002E3A95"/>
    <w:rsid w:val="0034360E"/>
    <w:rsid w:val="00351DDC"/>
    <w:rsid w:val="00380D25"/>
    <w:rsid w:val="00382C7F"/>
    <w:rsid w:val="003B7B35"/>
    <w:rsid w:val="003D371A"/>
    <w:rsid w:val="003F65A3"/>
    <w:rsid w:val="00405158"/>
    <w:rsid w:val="0044318E"/>
    <w:rsid w:val="0045540E"/>
    <w:rsid w:val="00472951"/>
    <w:rsid w:val="00477B99"/>
    <w:rsid w:val="004970DB"/>
    <w:rsid w:val="004D5542"/>
    <w:rsid w:val="004D58F5"/>
    <w:rsid w:val="00524EA8"/>
    <w:rsid w:val="00533867"/>
    <w:rsid w:val="005446E3"/>
    <w:rsid w:val="0055774E"/>
    <w:rsid w:val="005621BA"/>
    <w:rsid w:val="00594785"/>
    <w:rsid w:val="005974A9"/>
    <w:rsid w:val="005A45E1"/>
    <w:rsid w:val="005C0A05"/>
    <w:rsid w:val="005E0A5E"/>
    <w:rsid w:val="005E38B5"/>
    <w:rsid w:val="005E5330"/>
    <w:rsid w:val="005F0481"/>
    <w:rsid w:val="005F1459"/>
    <w:rsid w:val="00604F27"/>
    <w:rsid w:val="0060702D"/>
    <w:rsid w:val="00615E4C"/>
    <w:rsid w:val="006279EA"/>
    <w:rsid w:val="00644035"/>
    <w:rsid w:val="00666793"/>
    <w:rsid w:val="00671D50"/>
    <w:rsid w:val="00676283"/>
    <w:rsid w:val="00683870"/>
    <w:rsid w:val="0068692C"/>
    <w:rsid w:val="006D0182"/>
    <w:rsid w:val="006E42F9"/>
    <w:rsid w:val="00753A1B"/>
    <w:rsid w:val="00766393"/>
    <w:rsid w:val="00770FC6"/>
    <w:rsid w:val="00801BDB"/>
    <w:rsid w:val="00806106"/>
    <w:rsid w:val="00832F82"/>
    <w:rsid w:val="00834984"/>
    <w:rsid w:val="0083729F"/>
    <w:rsid w:val="0087340B"/>
    <w:rsid w:val="008B5D3E"/>
    <w:rsid w:val="008D3032"/>
    <w:rsid w:val="009064F6"/>
    <w:rsid w:val="00995BB3"/>
    <w:rsid w:val="00996B63"/>
    <w:rsid w:val="009A33BC"/>
    <w:rsid w:val="009D3E91"/>
    <w:rsid w:val="00A06904"/>
    <w:rsid w:val="00A45C21"/>
    <w:rsid w:val="00A82792"/>
    <w:rsid w:val="00A868F5"/>
    <w:rsid w:val="00A97A22"/>
    <w:rsid w:val="00AA2AB7"/>
    <w:rsid w:val="00AB32DB"/>
    <w:rsid w:val="00B1242D"/>
    <w:rsid w:val="00B227B4"/>
    <w:rsid w:val="00B22A31"/>
    <w:rsid w:val="00B23EA9"/>
    <w:rsid w:val="00B24AAA"/>
    <w:rsid w:val="00B402E4"/>
    <w:rsid w:val="00B7110F"/>
    <w:rsid w:val="00B849D2"/>
    <w:rsid w:val="00B921B8"/>
    <w:rsid w:val="00BA03EC"/>
    <w:rsid w:val="00BD0A1C"/>
    <w:rsid w:val="00C32660"/>
    <w:rsid w:val="00C46CAA"/>
    <w:rsid w:val="00C61E79"/>
    <w:rsid w:val="00C74645"/>
    <w:rsid w:val="00CA675D"/>
    <w:rsid w:val="00CC2BF0"/>
    <w:rsid w:val="00CC5DAF"/>
    <w:rsid w:val="00CE4D93"/>
    <w:rsid w:val="00CF3304"/>
    <w:rsid w:val="00D424DF"/>
    <w:rsid w:val="00D454A4"/>
    <w:rsid w:val="00D56BCA"/>
    <w:rsid w:val="00D83D89"/>
    <w:rsid w:val="00D97C04"/>
    <w:rsid w:val="00DB01CE"/>
    <w:rsid w:val="00DE0FAE"/>
    <w:rsid w:val="00DF669A"/>
    <w:rsid w:val="00E22F32"/>
    <w:rsid w:val="00E42FCB"/>
    <w:rsid w:val="00E614BB"/>
    <w:rsid w:val="00E75B51"/>
    <w:rsid w:val="00EB56E2"/>
    <w:rsid w:val="00EB79BC"/>
    <w:rsid w:val="00EC517F"/>
    <w:rsid w:val="00EC6735"/>
    <w:rsid w:val="00EF4255"/>
    <w:rsid w:val="00F26927"/>
    <w:rsid w:val="00F37A17"/>
    <w:rsid w:val="00F44FB7"/>
    <w:rsid w:val="00F605F5"/>
    <w:rsid w:val="00F61E04"/>
    <w:rsid w:val="00F8497B"/>
    <w:rsid w:val="00FC19DC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B94"/>
  <w15:chartTrackingRefBased/>
  <w15:docId w15:val="{3B5E8831-F6B9-42B3-A640-E3D9CDA8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Titulo 1,H1-Heading 1,1,h1,Header 1,l1,Legal Line 1,head 1,título 1,título 11,título 12,título 13,título 111,título 14,título 112,título 15,Head 1,Head 11,H1,Box Header,Titre§,II+,I,H11,H12,H13,H14,H15,H16,H17,H18,H111,H121,H131,H141,H151,fjb1"/>
    <w:basedOn w:val="Normln"/>
    <w:next w:val="Normln"/>
    <w:link w:val="Nadpis1Char"/>
    <w:qFormat/>
    <w:rsid w:val="005446E3"/>
    <w:pPr>
      <w:keepNext/>
      <w:keepLines/>
      <w:numPr>
        <w:numId w:val="1"/>
      </w:numPr>
      <w:spacing w:before="480" w:after="240" w:line="360" w:lineRule="auto"/>
      <w:jc w:val="both"/>
      <w:outlineLvl w:val="0"/>
    </w:pPr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paragraph" w:styleId="Nadpis2">
    <w:name w:val="heading 2"/>
    <w:aliases w:val="TITULO,título 2,título 21,título 22,título 23,título 24,título 25,Titulo 2,H2-Heading 2,2,Header 2,l2,Header2,h2,22,heading2,list2,H2,ANEX2,A,Titolo2,UNDERRUBRIK 1-2,Header1,Heading 2subnumbered,Heading 2 Number,Heading 2a,PARA2,T2,Heading,T21"/>
    <w:basedOn w:val="Normln"/>
    <w:next w:val="Normln"/>
    <w:link w:val="Nadpis2Char"/>
    <w:unhideWhenUsed/>
    <w:qFormat/>
    <w:rsid w:val="005446E3"/>
    <w:pPr>
      <w:keepNext/>
      <w:keepLines/>
      <w:numPr>
        <w:ilvl w:val="1"/>
        <w:numId w:val="1"/>
      </w:numPr>
      <w:spacing w:before="480" w:after="240" w:line="360" w:lineRule="auto"/>
      <w:jc w:val="both"/>
      <w:outlineLvl w:val="1"/>
    </w:pPr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paragraph" w:styleId="Nadpis3">
    <w:name w:val="heading 3"/>
    <w:aliases w:val="H3-Heading 3,l3.3,l3,h3,Titre 3,3,Bold Head,bh,Titolo3,título 3,título 31,título 32,título 33,título 34,list 3,list3,hoofdstuk 1.1.1,H3,H31,H32,TextProp,subhead,subítitulo,Podkapitola2,V_Head3,1.,Podkapitola 2,Podkapitola 21,Záhlaví 3,V_Head31"/>
    <w:basedOn w:val="Normln"/>
    <w:next w:val="Normln"/>
    <w:link w:val="Nadpis3Char"/>
    <w:unhideWhenUsed/>
    <w:qFormat/>
    <w:rsid w:val="005446E3"/>
    <w:pPr>
      <w:keepNext/>
      <w:keepLines/>
      <w:numPr>
        <w:ilvl w:val="2"/>
        <w:numId w:val="1"/>
      </w:numPr>
      <w:spacing w:before="480" w:after="240" w:line="360" w:lineRule="auto"/>
      <w:jc w:val="both"/>
      <w:outlineLvl w:val="2"/>
    </w:pPr>
    <w:rPr>
      <w:rFonts w:ascii="Arial" w:eastAsiaTheme="majorEastAsia" w:hAnsi="Arial" w:cstheme="majorBidi"/>
      <w:b/>
      <w:bCs/>
      <w:color w:val="767171" w:themeColor="background2" w:themeShade="80"/>
    </w:rPr>
  </w:style>
  <w:style w:type="paragraph" w:styleId="Nadpis4">
    <w:name w:val="heading 4"/>
    <w:aliases w:val="ASAPHeading 4,Nadpis 4T,V_Head4,MUS4,Podkapitola3,bl,bb,H4,h4,4,bullet,l4,Odstavec 1,Odstavec 11,Odstavec 12,Odstavec 13,Odstavec 14,Aufgabe,PA Micro Section,Odstavec 111,Odstavec 121,Odstavec 131,Odstavec 15,Odstavec 141,Odstavec 16,o,Titolo4"/>
    <w:basedOn w:val="Normln"/>
    <w:next w:val="Normln"/>
    <w:link w:val="Nadpis4Char"/>
    <w:unhideWhenUsed/>
    <w:qFormat/>
    <w:rsid w:val="005446E3"/>
    <w:pPr>
      <w:keepNext/>
      <w:keepLines/>
      <w:numPr>
        <w:ilvl w:val="3"/>
        <w:numId w:val="1"/>
      </w:numPr>
      <w:spacing w:before="480" w:after="240" w:line="360" w:lineRule="auto"/>
      <w:jc w:val="both"/>
      <w:outlineLvl w:val="3"/>
    </w:pPr>
    <w:rPr>
      <w:rFonts w:ascii="Arial" w:eastAsiaTheme="majorEastAsia" w:hAnsi="Arial" w:cstheme="majorBidi"/>
      <w:bCs/>
      <w:iCs/>
      <w:color w:val="FFC000"/>
      <w:sz w:val="20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"/>
    <w:basedOn w:val="Normln"/>
    <w:next w:val="Normln"/>
    <w:link w:val="Nadpis5Char"/>
    <w:unhideWhenUsed/>
    <w:qFormat/>
    <w:rsid w:val="005446E3"/>
    <w:pPr>
      <w:keepNext/>
      <w:keepLines/>
      <w:numPr>
        <w:ilvl w:val="4"/>
        <w:numId w:val="1"/>
      </w:numPr>
      <w:spacing w:before="480" w:after="240" w:line="360" w:lineRule="auto"/>
      <w:jc w:val="both"/>
      <w:outlineLvl w:val="4"/>
    </w:pPr>
    <w:rPr>
      <w:rFonts w:ascii="Arial" w:eastAsiaTheme="majorEastAsia" w:hAnsi="Arial" w:cstheme="majorBidi"/>
    </w:rPr>
  </w:style>
  <w:style w:type="paragraph" w:styleId="Nadpis6">
    <w:name w:val="heading 6"/>
    <w:aliases w:val="H6,ASAPHeading 6,MUS6,body 1,h6,Legal Level 1.,sub-dash,sd,Appendix Sub-Heading,appendix,Third Subheading,Heading 6  Appendix Y &amp; Z,Bullet list,PA Appendix,Schedule Sub-Sub-Heading,Lev 6,Heading 6  Appendix Y &amp; Z1,Heading 6  Appendix Y &amp; Z2,6"/>
    <w:basedOn w:val="Normln"/>
    <w:next w:val="Normln"/>
    <w:link w:val="Nadpis6Char"/>
    <w:unhideWhenUsed/>
    <w:qFormat/>
    <w:rsid w:val="005446E3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paragraph" w:styleId="Nadpis7">
    <w:name w:val="heading 7"/>
    <w:aliases w:val="H7,ASAPHeading 7,MUS7,Legal Level 1.1.,Appendix Sub-Sub Heading,PA Appendix Major,Lev 7,letter list,lettered list,letter list1,lettered list1,letter list2,lettered list2,letter list11,lettered list11,letter list3,lettered list3,letter list12,p"/>
    <w:basedOn w:val="Normln"/>
    <w:next w:val="Normln"/>
    <w:link w:val="Nadpis7Char"/>
    <w:unhideWhenUsed/>
    <w:qFormat/>
    <w:rsid w:val="005446E3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Nadpis8">
    <w:name w:val="heading 8"/>
    <w:aliases w:val="H8,ASAPHeading 8,MUS8,Legal Level 1.1.1.,h8,Appendix Sub-Sub-Sub-Heading,Appendices Sub-Heading,Lev 8,(Appendici),PA Appendix Minor,action,Taula comanes,action1,action2,action11,action3,action4,action5,action6,action7,action12,číslovaný styl 8"/>
    <w:basedOn w:val="Normln"/>
    <w:next w:val="Normln"/>
    <w:link w:val="Nadpis8Char"/>
    <w:unhideWhenUsed/>
    <w:qFormat/>
    <w:rsid w:val="005446E3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paragraph" w:styleId="Nadpis9">
    <w:name w:val="heading 9"/>
    <w:aliases w:val="h9,heading9,H9,číslovaný styl 9,BP Heading 9,BP Heading 91,BP Heading 92,BP Heading 911,BP Heading 93,BP Heading 912,BP Heading 94,BP Heading 95,BP Heading 96,BP Heading 97,BP Heading 98,App Heading,App Heading1,App Heading2,progress,progress1"/>
    <w:basedOn w:val="Normln"/>
    <w:next w:val="Normln"/>
    <w:link w:val="Nadpis9Char"/>
    <w:unhideWhenUsed/>
    <w:qFormat/>
    <w:rsid w:val="005446E3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ulo 1 Char,H1-Heading 1 Char,1 Char,h1 Char,Header 1 Char,l1 Char,Legal Line 1 Char,head 1 Char,título 1 Char,título 11 Char,título 12 Char,título 13 Char,título 111 Char,título 14 Char,título 112 Char,título 15 Char,Head 1 Char,H1 Char"/>
    <w:basedOn w:val="Standardnpsmoodstavce"/>
    <w:link w:val="Nadpis1"/>
    <w:rsid w:val="005446E3"/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character" w:customStyle="1" w:styleId="Nadpis2Char">
    <w:name w:val="Nadpis 2 Char"/>
    <w:aliases w:val="TITULO Char,título 2 Char,título 21 Char,título 22 Char,título 23 Char,título 24 Char,título 25 Char,Titulo 2 Char,H2-Heading 2 Char,2 Char,Header 2 Char,l2 Char,Header2 Char,h2 Char,22 Char,heading2 Char,list2 Char,H2 Char,ANEX2 Char"/>
    <w:basedOn w:val="Standardnpsmoodstavce"/>
    <w:link w:val="Nadpis2"/>
    <w:rsid w:val="005446E3"/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character" w:customStyle="1" w:styleId="Nadpis3Char">
    <w:name w:val="Nadpis 3 Char"/>
    <w:aliases w:val="H3-Heading 3 Char,l3.3 Char,l3 Char,h3 Char,Titre 3 Char,3 Char,Bold Head Char,bh Char,Titolo3 Char,título 3 Char,título 31 Char,título 32 Char,título 33 Char,título 34 Char,list 3 Char,list3 Char,hoofdstuk 1.1.1 Char,H3 Char,H31 Char"/>
    <w:basedOn w:val="Standardnpsmoodstavce"/>
    <w:link w:val="Nadpis3"/>
    <w:rsid w:val="005446E3"/>
    <w:rPr>
      <w:rFonts w:ascii="Arial" w:eastAsiaTheme="majorEastAsia" w:hAnsi="Arial" w:cstheme="majorBidi"/>
      <w:b/>
      <w:bCs/>
      <w:color w:val="767171" w:themeColor="background2" w:themeShade="80"/>
    </w:rPr>
  </w:style>
  <w:style w:type="character" w:customStyle="1" w:styleId="Nadpis4Char">
    <w:name w:val="Nadpis 4 Char"/>
    <w:aliases w:val="ASAPHeading 4 Char,Nadpis 4T Char,V_Head4 Char,MUS4 Char,Podkapitola3 Char,bl Char,bb Char,H4 Char,h4 Char,4 Char,bullet Char,l4 Char,Odstavec 1 Char,Odstavec 11 Char,Odstavec 12 Char,Odstavec 13 Char,Odstavec 14 Char,Aufgabe Char,o Char"/>
    <w:basedOn w:val="Standardnpsmoodstavce"/>
    <w:link w:val="Nadpis4"/>
    <w:rsid w:val="005446E3"/>
    <w:rPr>
      <w:rFonts w:ascii="Arial" w:eastAsiaTheme="majorEastAsia" w:hAnsi="Arial" w:cstheme="majorBidi"/>
      <w:bCs/>
      <w:iCs/>
      <w:color w:val="FFC000"/>
      <w:sz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5446E3"/>
    <w:rPr>
      <w:rFonts w:ascii="Arial" w:eastAsiaTheme="majorEastAsia" w:hAnsi="Arial" w:cstheme="majorBidi"/>
    </w:rPr>
  </w:style>
  <w:style w:type="character" w:customStyle="1" w:styleId="Nadpis6Char">
    <w:name w:val="Nadpis 6 Char"/>
    <w:aliases w:val="H6 Char,ASAPHeading 6 Char,MUS6 Char,body 1 Char,h6 Char,Legal Level 1. Char,sub-dash Char,sd Char,Appendix Sub-Heading Char,appendix Char,Third Subheading Char,Heading 6  Appendix Y &amp; Z Char,Bullet list Char,PA Appendix Char,Lev 6 Char"/>
    <w:basedOn w:val="Standardnpsmoodstavce"/>
    <w:link w:val="Nadpis6"/>
    <w:rsid w:val="005446E3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7Char">
    <w:name w:val="Nadpis 7 Char"/>
    <w:aliases w:val="H7 Char,ASAPHeading 7 Char,MUS7 Char,Legal Level 1.1. Char,Appendix Sub-Sub Heading Char,PA Appendix Major Char,Lev 7 Char,letter list Char,lettered list Char,letter list1 Char,lettered list1 Char,letter list2 Char,lettered list2 Char"/>
    <w:basedOn w:val="Standardnpsmoodstavce"/>
    <w:link w:val="Nadpis7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aliases w:val="H8 Char,ASAPHeading 8 Char,MUS8 Char,Legal Level 1.1.1. Char,h8 Char,Appendix Sub-Sub-Sub-Heading Char,Appendices Sub-Heading Char,Lev 8 Char,(Appendici) Char,PA Appendix Minor Char,action Char,Taula comanes Char,action1 Char,action2 Char"/>
    <w:basedOn w:val="Standardnpsmoodstavce"/>
    <w:link w:val="Nadpis8"/>
    <w:rsid w:val="005446E3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Nadpis9Char">
    <w:name w:val="Nadpis 9 Char"/>
    <w:aliases w:val="h9 Char,heading9 Char,H9 Char,číslovaný styl 9 Char,BP Heading 9 Char,BP Heading 91 Char,BP Heading 92 Char,BP Heading 911 Char,BP Heading 93 Char,BP Heading 912 Char,BP Heading 94 Char,BP Heading 95 Char,BP Heading 96 Char,progress Char"/>
    <w:basedOn w:val="Standardnpsmoodstavce"/>
    <w:link w:val="Nadpis9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table" w:styleId="Mkatabulky">
    <w:name w:val="Table Grid"/>
    <w:basedOn w:val="Normlntabulka"/>
    <w:uiPriority w:val="39"/>
    <w:rsid w:val="006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97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BDB"/>
  </w:style>
  <w:style w:type="paragraph" w:styleId="Zpat">
    <w:name w:val="footer"/>
    <w:basedOn w:val="Normln"/>
    <w:link w:val="ZpatChar"/>
    <w:uiPriority w:val="99"/>
    <w:unhideWhenUsed/>
    <w:rsid w:val="0080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BDB"/>
  </w:style>
  <w:style w:type="paragraph" w:styleId="Odstavecseseznamem">
    <w:name w:val="List Paragraph"/>
    <w:basedOn w:val="Normln"/>
    <w:uiPriority w:val="34"/>
    <w:qFormat/>
    <w:rsid w:val="00FC1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46E8-8DF2-4641-84CD-49C1575F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1055</Words>
  <Characters>6227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Havlíčkovi</dc:creator>
  <cp:keywords/>
  <dc:description/>
  <cp:lastModifiedBy>Mokrášová Jitka, Bc.</cp:lastModifiedBy>
  <cp:revision>2</cp:revision>
  <dcterms:created xsi:type="dcterms:W3CDTF">2021-05-12T08:30:00Z</dcterms:created>
  <dcterms:modified xsi:type="dcterms:W3CDTF">2021-05-12T08:30:00Z</dcterms:modified>
</cp:coreProperties>
</file>