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44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498"/>
      </w:tblGrid>
      <w:tr w:rsidR="00157E96" w14:paraId="3274C074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15A5BB9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7816" w14:textId="77777777" w:rsidR="00157E96" w:rsidRPr="00603890" w:rsidRDefault="00157E96" w:rsidP="00157E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3890">
              <w:rPr>
                <w:rFonts w:ascii="Arial" w:hAnsi="Arial" w:cs="Arial"/>
                <w:b/>
                <w:sz w:val="24"/>
                <w:szCs w:val="24"/>
              </w:rPr>
              <w:t>Fakultní nemocnice Olomouc</w:t>
            </w:r>
          </w:p>
        </w:tc>
      </w:tr>
      <w:tr w:rsidR="00157E96" w14:paraId="6CC14FDB" w14:textId="77777777" w:rsidTr="00157E96">
        <w:trPr>
          <w:trHeight w:val="54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4080186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544A" w14:textId="77777777" w:rsidR="00157E96" w:rsidRPr="00603890" w:rsidRDefault="00E17D44" w:rsidP="00E17D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1AEE">
              <w:rPr>
                <w:rFonts w:ascii="Arial" w:hAnsi="Arial" w:cs="Arial"/>
                <w:b/>
                <w:sz w:val="24"/>
                <w:szCs w:val="24"/>
              </w:rPr>
              <w:t xml:space="preserve">Dostavba budovy a modernizace přístrojového vybavení pro pacienty </w:t>
            </w:r>
            <w:r w:rsidR="00603890" w:rsidRPr="00FD1AEE">
              <w:rPr>
                <w:rFonts w:ascii="Arial" w:hAnsi="Arial" w:cs="Arial"/>
                <w:b/>
                <w:sz w:val="24"/>
                <w:szCs w:val="24"/>
              </w:rPr>
              <w:t>vyžadující</w:t>
            </w:r>
            <w:r w:rsidRPr="00FD1AEE">
              <w:rPr>
                <w:rFonts w:ascii="Arial" w:hAnsi="Arial" w:cs="Arial"/>
                <w:b/>
                <w:sz w:val="24"/>
                <w:szCs w:val="24"/>
              </w:rPr>
              <w:t xml:space="preserve"> doléčení</w:t>
            </w:r>
          </w:p>
        </w:tc>
      </w:tr>
      <w:tr w:rsidR="00157E96" w14:paraId="266B3F9F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4F216E82" w14:textId="77777777" w:rsidR="00157E96" w:rsidRPr="008261B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5C00" w14:textId="77777777" w:rsidR="00157E96" w:rsidRPr="00603890" w:rsidRDefault="00157E96" w:rsidP="00157E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3890">
              <w:rPr>
                <w:rFonts w:ascii="Arial" w:hAnsi="Arial" w:cs="Arial"/>
                <w:b/>
                <w:sz w:val="24"/>
                <w:szCs w:val="24"/>
              </w:rPr>
              <w:t>Integrovaný regionální operační program</w:t>
            </w:r>
          </w:p>
        </w:tc>
      </w:tr>
      <w:tr w:rsidR="00157E96" w14:paraId="4F41C057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B748582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Prioritní osa, specifický cíl: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C8C2" w14:textId="77777777" w:rsidR="00157E96" w:rsidRPr="00603890" w:rsidRDefault="00157E96" w:rsidP="00157E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3890">
              <w:rPr>
                <w:rFonts w:ascii="Arial" w:hAnsi="Arial" w:cs="Arial"/>
                <w:b/>
                <w:sz w:val="24"/>
                <w:szCs w:val="24"/>
              </w:rPr>
              <w:t>PO 6: REACT-EU</w:t>
            </w:r>
          </w:p>
          <w:p w14:paraId="774C901E" w14:textId="77777777" w:rsidR="000342B9" w:rsidRPr="00603890" w:rsidRDefault="00157E96" w:rsidP="00157E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3890">
              <w:rPr>
                <w:rFonts w:ascii="Arial" w:hAnsi="Arial" w:cs="Arial"/>
                <w:b/>
                <w:sz w:val="24"/>
                <w:szCs w:val="24"/>
              </w:rPr>
              <w:t>SC 6.1 REACT-EU</w:t>
            </w:r>
          </w:p>
        </w:tc>
      </w:tr>
      <w:tr w:rsidR="00157E96" w14:paraId="1C74BDA4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287CA3BF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9D91" w14:textId="77777777" w:rsidR="00277850" w:rsidRPr="00603890" w:rsidRDefault="00277850" w:rsidP="0027785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3890">
              <w:rPr>
                <w:rFonts w:ascii="Arial" w:hAnsi="Arial" w:cs="Arial"/>
                <w:b/>
                <w:sz w:val="24"/>
                <w:szCs w:val="24"/>
              </w:rPr>
              <w:t>99</w:t>
            </w:r>
            <w:r w:rsidR="00157E96" w:rsidRPr="00603890">
              <w:rPr>
                <w:rFonts w:ascii="Arial" w:hAnsi="Arial" w:cs="Arial"/>
                <w:b/>
                <w:sz w:val="24"/>
                <w:szCs w:val="24"/>
              </w:rPr>
              <w:t xml:space="preserve">. výzva, </w:t>
            </w:r>
          </w:p>
          <w:p w14:paraId="0983B2F3" w14:textId="77777777" w:rsidR="00157E96" w:rsidRPr="00603890" w:rsidRDefault="00157E96" w:rsidP="0027785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3890">
              <w:rPr>
                <w:rFonts w:ascii="Arial" w:hAnsi="Arial" w:cs="Arial"/>
                <w:b/>
                <w:sz w:val="24"/>
                <w:szCs w:val="24"/>
              </w:rPr>
              <w:t>Rozvoj</w:t>
            </w:r>
            <w:r w:rsidR="00277850" w:rsidRPr="00603890">
              <w:rPr>
                <w:rFonts w:ascii="Arial" w:hAnsi="Arial" w:cs="Arial"/>
                <w:b/>
                <w:sz w:val="24"/>
                <w:szCs w:val="24"/>
              </w:rPr>
              <w:t xml:space="preserve"> a zvýšení odolnosti poskytovatelů péče o zvláště ohrožené pacienty </w:t>
            </w:r>
          </w:p>
        </w:tc>
      </w:tr>
      <w:tr w:rsidR="00157E96" w14:paraId="13589F00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59BFA3E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</w:t>
            </w:r>
            <w:r>
              <w:rPr>
                <w:rStyle w:val="Znakapoznpodarou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092C" w14:textId="77777777" w:rsidR="00157E96" w:rsidRPr="00603890" w:rsidRDefault="00E17D44" w:rsidP="00E17D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3890">
              <w:rPr>
                <w:rFonts w:ascii="Arial" w:hAnsi="Arial" w:cs="Arial"/>
                <w:b/>
                <w:sz w:val="24"/>
                <w:szCs w:val="24"/>
              </w:rPr>
              <w:t>Podpora péče o pacienty, jejichž zdravotní stav vyžaduje doléčení v lůžkovém zdravotnickém zařízení</w:t>
            </w:r>
          </w:p>
        </w:tc>
      </w:tr>
    </w:tbl>
    <w:p w14:paraId="49D87773" w14:textId="77777777" w:rsidR="000B1C8F" w:rsidRDefault="000B1C8F" w:rsidP="000B1C8F">
      <w:pPr>
        <w:pStyle w:val="Zhlav"/>
      </w:pPr>
    </w:p>
    <w:p w14:paraId="106B5650" w14:textId="77777777" w:rsidR="000B1C8F" w:rsidRPr="008B7CC7" w:rsidRDefault="007C63FF" w:rsidP="00EE2F65">
      <w:pPr>
        <w:pStyle w:val="Zhlav"/>
        <w:jc w:val="center"/>
        <w:rPr>
          <w:sz w:val="28"/>
          <w:szCs w:val="28"/>
        </w:rPr>
      </w:pPr>
      <w:bookmarkStart w:id="0" w:name="_Hlk65238726"/>
      <w:r>
        <w:rPr>
          <w:b/>
          <w:sz w:val="28"/>
          <w:szCs w:val="28"/>
        </w:rPr>
        <w:t>Formulář</w:t>
      </w:r>
      <w:r w:rsidR="000B1C8F" w:rsidRPr="008B7CC7">
        <w:rPr>
          <w:b/>
          <w:sz w:val="28"/>
          <w:szCs w:val="28"/>
        </w:rPr>
        <w:t xml:space="preserve"> pro posouzení projektového záměru PO MZ a OSS MZ</w:t>
      </w:r>
      <w:r w:rsidR="007E758C" w:rsidRPr="008B7CC7">
        <w:rPr>
          <w:b/>
          <w:sz w:val="28"/>
          <w:szCs w:val="28"/>
        </w:rPr>
        <w:t xml:space="preserve"> v</w:t>
      </w:r>
      <w:r w:rsidR="00EE2F65" w:rsidRPr="008B7CC7">
        <w:rPr>
          <w:b/>
          <w:sz w:val="28"/>
          <w:szCs w:val="28"/>
        </w:rPr>
        <w:t> REACT-EU</w:t>
      </w:r>
    </w:p>
    <w:bookmarkEnd w:id="0"/>
    <w:p w14:paraId="00DB053F" w14:textId="77777777" w:rsidR="000B1C8F" w:rsidRDefault="000B1C8F" w:rsidP="00B17950">
      <w:pPr>
        <w:jc w:val="both"/>
        <w:rPr>
          <w:rFonts w:ascii="Times New Roman" w:hAnsi="Times New Roman"/>
          <w:b/>
          <w:sz w:val="24"/>
          <w:szCs w:val="24"/>
        </w:rPr>
      </w:pPr>
    </w:p>
    <w:p w14:paraId="6D64EE9E" w14:textId="77777777" w:rsidR="008261B8" w:rsidRDefault="007E758C" w:rsidP="008261B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Anotace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57E96" w14:paraId="06F5397B" w14:textId="77777777" w:rsidTr="008045ED">
        <w:trPr>
          <w:trHeight w:val="127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0694" w14:textId="46D439F8" w:rsidR="00AA31B4" w:rsidRPr="000B4647" w:rsidRDefault="00AA31B4" w:rsidP="00AA31B4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0B4647">
              <w:rPr>
                <w:rFonts w:ascii="Arial" w:hAnsi="Arial" w:cs="Arial"/>
                <w:b/>
              </w:rPr>
              <w:t xml:space="preserve">Stručný obsah </w:t>
            </w:r>
            <w:r w:rsidR="0097602E">
              <w:rPr>
                <w:rFonts w:ascii="Arial" w:hAnsi="Arial" w:cs="Arial"/>
                <w:b/>
              </w:rPr>
              <w:t xml:space="preserve">a cíle </w:t>
            </w:r>
            <w:r w:rsidRPr="000B4647">
              <w:rPr>
                <w:rFonts w:ascii="Arial" w:hAnsi="Arial" w:cs="Arial"/>
                <w:b/>
              </w:rPr>
              <w:t>projektu:</w:t>
            </w:r>
          </w:p>
          <w:p w14:paraId="65DB2202" w14:textId="3012024F" w:rsidR="008045ED" w:rsidRPr="008045ED" w:rsidRDefault="008045ED" w:rsidP="00AA31B4">
            <w:pPr>
              <w:jc w:val="both"/>
              <w:rPr>
                <w:rFonts w:ascii="Arial" w:hAnsi="Arial" w:cs="Arial"/>
              </w:rPr>
            </w:pPr>
            <w:r w:rsidRPr="008045ED">
              <w:rPr>
                <w:rFonts w:ascii="Arial" w:hAnsi="Arial" w:cs="Arial"/>
              </w:rPr>
              <w:t xml:space="preserve">Projekt je zaměřen na modernizaci a rozšíření přístrojového vybavení pro </w:t>
            </w:r>
            <w:r w:rsidR="00EA536E">
              <w:rPr>
                <w:rFonts w:ascii="Arial" w:hAnsi="Arial" w:cs="Arial"/>
              </w:rPr>
              <w:t>O</w:t>
            </w:r>
            <w:r w:rsidRPr="008045ED">
              <w:rPr>
                <w:rFonts w:ascii="Arial" w:hAnsi="Arial" w:cs="Arial"/>
              </w:rPr>
              <w:t xml:space="preserve">ddělení rehabilitace, na kterém je poskytována následná rehabilitační péče. </w:t>
            </w:r>
            <w:r w:rsidR="005B4F78">
              <w:rPr>
                <w:rFonts w:ascii="Arial" w:hAnsi="Arial" w:cs="Arial"/>
              </w:rPr>
              <w:t>Do</w:t>
            </w:r>
            <w:r w:rsidRPr="008045ED">
              <w:rPr>
                <w:rFonts w:ascii="Arial" w:hAnsi="Arial" w:cs="Arial"/>
              </w:rPr>
              <w:t xml:space="preserve"> projektu je zahrnuta i dostavba evakuačních výtahů a rozšíření nouzového schodiště </w:t>
            </w:r>
            <w:r w:rsidR="00FD1AEE">
              <w:rPr>
                <w:rFonts w:ascii="Arial" w:hAnsi="Arial" w:cs="Arial"/>
              </w:rPr>
              <w:t>objektu D</w:t>
            </w:r>
            <w:r w:rsidR="00037132">
              <w:rPr>
                <w:rFonts w:ascii="Arial" w:hAnsi="Arial" w:cs="Arial"/>
              </w:rPr>
              <w:t>,</w:t>
            </w:r>
            <w:r w:rsidR="00FD1AEE">
              <w:rPr>
                <w:rFonts w:ascii="Arial" w:hAnsi="Arial" w:cs="Arial"/>
              </w:rPr>
              <w:t xml:space="preserve"> </w:t>
            </w:r>
            <w:r w:rsidRPr="008045ED">
              <w:rPr>
                <w:rFonts w:ascii="Arial" w:hAnsi="Arial" w:cs="Arial"/>
              </w:rPr>
              <w:t xml:space="preserve">pro </w:t>
            </w:r>
            <w:r w:rsidR="00EA536E">
              <w:rPr>
                <w:rFonts w:ascii="Arial" w:hAnsi="Arial" w:cs="Arial"/>
              </w:rPr>
              <w:t>O</w:t>
            </w:r>
            <w:r w:rsidRPr="008045ED">
              <w:rPr>
                <w:rFonts w:ascii="Arial" w:hAnsi="Arial" w:cs="Arial"/>
              </w:rPr>
              <w:t>ddělení následné intenzivní péče (</w:t>
            </w:r>
            <w:r w:rsidR="00A71F22">
              <w:rPr>
                <w:rFonts w:ascii="Arial" w:hAnsi="Arial" w:cs="Arial"/>
              </w:rPr>
              <w:t xml:space="preserve">dále </w:t>
            </w:r>
            <w:r w:rsidRPr="008045ED">
              <w:rPr>
                <w:rFonts w:ascii="Arial" w:hAnsi="Arial" w:cs="Arial"/>
              </w:rPr>
              <w:t>NIP),</w:t>
            </w:r>
            <w:r w:rsidR="00AB1479">
              <w:rPr>
                <w:rFonts w:ascii="Arial" w:hAnsi="Arial" w:cs="Arial"/>
              </w:rPr>
              <w:t xml:space="preserve"> </w:t>
            </w:r>
            <w:r w:rsidR="00776F32">
              <w:rPr>
                <w:rFonts w:ascii="Arial" w:hAnsi="Arial" w:cs="Arial"/>
              </w:rPr>
              <w:t xml:space="preserve">Oddělení </w:t>
            </w:r>
            <w:r w:rsidR="00AB1479">
              <w:rPr>
                <w:rFonts w:ascii="Arial" w:hAnsi="Arial" w:cs="Arial"/>
              </w:rPr>
              <w:t>dlouhodobé intenzivní ošetřovatelské péče (</w:t>
            </w:r>
            <w:r w:rsidR="00A71F22">
              <w:rPr>
                <w:rFonts w:ascii="Arial" w:hAnsi="Arial" w:cs="Arial"/>
              </w:rPr>
              <w:t xml:space="preserve">dále </w:t>
            </w:r>
            <w:r w:rsidR="00AB1479">
              <w:rPr>
                <w:rFonts w:ascii="Arial" w:hAnsi="Arial" w:cs="Arial"/>
              </w:rPr>
              <w:t>DIOP),</w:t>
            </w:r>
            <w:r w:rsidRPr="008045ED">
              <w:rPr>
                <w:rFonts w:ascii="Arial" w:hAnsi="Arial" w:cs="Arial"/>
              </w:rPr>
              <w:t xml:space="preserve"> pro </w:t>
            </w:r>
            <w:r w:rsidR="00EA536E">
              <w:rPr>
                <w:rFonts w:ascii="Arial" w:hAnsi="Arial" w:cs="Arial"/>
              </w:rPr>
              <w:t>O</w:t>
            </w:r>
            <w:r w:rsidRPr="008045ED">
              <w:rPr>
                <w:rFonts w:ascii="Arial" w:hAnsi="Arial" w:cs="Arial"/>
              </w:rPr>
              <w:t>ddělení rehabilitace s následnou péčí a další pracoviště, které je nutné dokončit v rámci vybudování všech oddělení následné péče a s tím spojené</w:t>
            </w:r>
            <w:r w:rsidR="00776F32">
              <w:rPr>
                <w:rFonts w:ascii="Arial" w:hAnsi="Arial" w:cs="Arial"/>
              </w:rPr>
              <w:t>ho</w:t>
            </w:r>
            <w:r w:rsidRPr="008045ED">
              <w:rPr>
                <w:rFonts w:ascii="Arial" w:hAnsi="Arial" w:cs="Arial"/>
              </w:rPr>
              <w:t xml:space="preserve"> větší</w:t>
            </w:r>
            <w:r w:rsidR="00776F32">
              <w:rPr>
                <w:rFonts w:ascii="Arial" w:hAnsi="Arial" w:cs="Arial"/>
              </w:rPr>
              <w:t>ho</w:t>
            </w:r>
            <w:r w:rsidRPr="008045ED">
              <w:rPr>
                <w:rFonts w:ascii="Arial" w:hAnsi="Arial" w:cs="Arial"/>
              </w:rPr>
              <w:t xml:space="preserve"> zatíže</w:t>
            </w:r>
            <w:r w:rsidR="00776F32">
              <w:rPr>
                <w:rFonts w:ascii="Arial" w:hAnsi="Arial" w:cs="Arial"/>
              </w:rPr>
              <w:t>ní</w:t>
            </w:r>
            <w:r w:rsidRPr="008045ED">
              <w:rPr>
                <w:rFonts w:ascii="Arial" w:hAnsi="Arial" w:cs="Arial"/>
              </w:rPr>
              <w:t xml:space="preserve"> evakuačních tras.</w:t>
            </w:r>
          </w:p>
          <w:p w14:paraId="322E21C0" w14:textId="2255324A" w:rsidR="00AA31B4" w:rsidRPr="008045ED" w:rsidRDefault="00AA31B4" w:rsidP="00AA31B4">
            <w:pPr>
              <w:jc w:val="both"/>
              <w:rPr>
                <w:rFonts w:ascii="Arial" w:hAnsi="Arial" w:cs="Arial"/>
              </w:rPr>
            </w:pPr>
            <w:r w:rsidRPr="008045ED">
              <w:rPr>
                <w:rFonts w:ascii="Arial" w:hAnsi="Arial" w:cs="Arial"/>
              </w:rPr>
              <w:t xml:space="preserve">Hlavním cílem projektu je obnova a modernizace přístrojového vybavení, zdravotnických prostředků a dalšího vybavení, které slouží pro poskytování zdravotních služeb v podporovaných oborech a metodách následné intenzivní péče a následné rehabilitační péče. Součástí projektu jsou i nutné stavební úpravy spojené s vybudováním pracoviště následné intenzivní péče a dlouhodobé </w:t>
            </w:r>
            <w:r w:rsidR="00612255">
              <w:rPr>
                <w:rFonts w:ascii="Arial" w:hAnsi="Arial" w:cs="Arial"/>
              </w:rPr>
              <w:t>intenzivní</w:t>
            </w:r>
            <w:r w:rsidR="00612255" w:rsidRPr="008045ED">
              <w:rPr>
                <w:rFonts w:ascii="Arial" w:hAnsi="Arial" w:cs="Arial"/>
              </w:rPr>
              <w:t xml:space="preserve"> </w:t>
            </w:r>
            <w:r w:rsidRPr="008045ED">
              <w:rPr>
                <w:rFonts w:ascii="Arial" w:hAnsi="Arial" w:cs="Arial"/>
              </w:rPr>
              <w:t>ošetřovatelské péče.</w:t>
            </w:r>
          </w:p>
          <w:p w14:paraId="3A79C12D" w14:textId="3D271C50" w:rsidR="006E3F22" w:rsidRDefault="00AA31B4" w:rsidP="006E3F22">
            <w:pPr>
              <w:jc w:val="both"/>
              <w:rPr>
                <w:rFonts w:ascii="Arial" w:hAnsi="Arial" w:cs="Arial"/>
              </w:rPr>
            </w:pPr>
            <w:r w:rsidRPr="00C22108">
              <w:rPr>
                <w:rFonts w:ascii="Arial" w:hAnsi="Arial" w:cs="Arial"/>
              </w:rPr>
              <w:t>Obměn</w:t>
            </w:r>
            <w:r w:rsidR="00C22108" w:rsidRPr="00C22108">
              <w:rPr>
                <w:rFonts w:ascii="Arial" w:hAnsi="Arial" w:cs="Arial"/>
              </w:rPr>
              <w:t>a</w:t>
            </w:r>
            <w:r w:rsidRPr="00C22108">
              <w:rPr>
                <w:rFonts w:ascii="Arial" w:hAnsi="Arial" w:cs="Arial"/>
              </w:rPr>
              <w:t xml:space="preserve"> a modernizac</w:t>
            </w:r>
            <w:r w:rsidR="00C22108" w:rsidRPr="00C22108">
              <w:rPr>
                <w:rFonts w:ascii="Arial" w:hAnsi="Arial" w:cs="Arial"/>
              </w:rPr>
              <w:t>e nových</w:t>
            </w:r>
            <w:r w:rsidRPr="00C22108">
              <w:rPr>
                <w:rFonts w:ascii="Arial" w:hAnsi="Arial" w:cs="Arial"/>
              </w:rPr>
              <w:t xml:space="preserve"> </w:t>
            </w:r>
            <w:r w:rsidRPr="000B4647">
              <w:rPr>
                <w:rFonts w:ascii="Arial" w:hAnsi="Arial" w:cs="Arial"/>
              </w:rPr>
              <w:t xml:space="preserve">zdravotnických prostředků, jejich sestav </w:t>
            </w:r>
            <w:r>
              <w:rPr>
                <w:rFonts w:ascii="Arial" w:hAnsi="Arial" w:cs="Arial"/>
              </w:rPr>
              <w:br/>
            </w:r>
            <w:r w:rsidRPr="000B4647">
              <w:rPr>
                <w:rFonts w:ascii="Arial" w:hAnsi="Arial" w:cs="Arial"/>
              </w:rPr>
              <w:t xml:space="preserve">a příslušenství v rámci dotačního projektu Fakultní nemocnice Olomouc </w:t>
            </w:r>
            <w:r w:rsidR="00C22108">
              <w:rPr>
                <w:rFonts w:ascii="Arial" w:hAnsi="Arial" w:cs="Arial"/>
              </w:rPr>
              <w:t>(dále FNOL) je zaměřena</w:t>
            </w:r>
            <w:r w:rsidRPr="000B4647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 xml:space="preserve">zvýšení kapacitní připravenosti pro následnou rehabilitační péči o pacienty léčené mj. i v souvislosti s výskytem pandemických rizik – a dále také </w:t>
            </w:r>
            <w:r w:rsidRPr="000B4647">
              <w:rPr>
                <w:rFonts w:ascii="Arial" w:hAnsi="Arial" w:cs="Arial"/>
              </w:rPr>
              <w:t>zvýšení úrovně standardu vybavenosti</w:t>
            </w:r>
            <w:r w:rsidR="00915EEC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>ddělení rehabilitace.</w:t>
            </w:r>
            <w:r w:rsidRPr="000B46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Realizac</w:t>
            </w:r>
            <w:r w:rsidR="00CC0F75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 xml:space="preserve"> </w:t>
            </w:r>
            <w:r w:rsidRPr="000B4647">
              <w:rPr>
                <w:rFonts w:ascii="Arial" w:hAnsi="Arial" w:cs="Arial"/>
              </w:rPr>
              <w:t>projektu</w:t>
            </w:r>
            <w:r>
              <w:rPr>
                <w:rFonts w:ascii="Arial" w:hAnsi="Arial" w:cs="Arial"/>
              </w:rPr>
              <w:t xml:space="preserve"> dojde ke zlepšení technické infrastruktury a obměně a modernizaci přístrojového vybavení</w:t>
            </w:r>
            <w:r w:rsidR="00CC0F7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0B4647">
              <w:rPr>
                <w:rFonts w:ascii="Arial" w:hAnsi="Arial" w:cs="Arial"/>
              </w:rPr>
              <w:t>a tím</w:t>
            </w:r>
            <w:r>
              <w:rPr>
                <w:rFonts w:ascii="Arial" w:hAnsi="Arial" w:cs="Arial"/>
              </w:rPr>
              <w:t xml:space="preserve"> ke </w:t>
            </w:r>
            <w:r w:rsidRPr="000B4647">
              <w:rPr>
                <w:rFonts w:ascii="Arial" w:hAnsi="Arial" w:cs="Arial"/>
              </w:rPr>
              <w:t xml:space="preserve">zlepšení podmínek pro zajišťování </w:t>
            </w:r>
            <w:r>
              <w:rPr>
                <w:rFonts w:ascii="Arial" w:hAnsi="Arial" w:cs="Arial"/>
              </w:rPr>
              <w:t>kvalitní následné rehabilitační</w:t>
            </w:r>
            <w:r w:rsidRPr="000B4647">
              <w:rPr>
                <w:rFonts w:ascii="Arial" w:hAnsi="Arial" w:cs="Arial"/>
              </w:rPr>
              <w:t xml:space="preserve"> péče o pacienty</w:t>
            </w:r>
            <w:r w:rsidR="00C2210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jejichž zdravotní stav vyžaduje doléčení.</w:t>
            </w:r>
            <w:r w:rsidRPr="000B4647">
              <w:rPr>
                <w:rFonts w:ascii="Arial" w:hAnsi="Arial" w:cs="Arial"/>
              </w:rPr>
              <w:t xml:space="preserve"> </w:t>
            </w:r>
          </w:p>
          <w:p w14:paraId="5C007E75" w14:textId="30281DFB" w:rsidR="00AA31B4" w:rsidRDefault="00C22108" w:rsidP="00AA31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Výstupem projektu je pořízení nového a obměna stávajícího přístrojového vybavení podporovaných pracovišť a </w:t>
            </w:r>
            <w:r w:rsidR="006D456C">
              <w:rPr>
                <w:rFonts w:ascii="Arial" w:hAnsi="Arial" w:cs="Arial"/>
              </w:rPr>
              <w:t xml:space="preserve">dostavba evakuačních tras na </w:t>
            </w:r>
            <w:r w:rsidR="00A71F22">
              <w:rPr>
                <w:rFonts w:ascii="Arial" w:hAnsi="Arial" w:cs="Arial"/>
              </w:rPr>
              <w:t>NIP</w:t>
            </w:r>
            <w:r w:rsidR="00EC39B5">
              <w:rPr>
                <w:rFonts w:ascii="Arial" w:hAnsi="Arial" w:cs="Arial"/>
              </w:rPr>
              <w:t xml:space="preserve"> a DIOP</w:t>
            </w:r>
            <w:r w:rsidR="006D456C">
              <w:rPr>
                <w:rFonts w:ascii="Arial" w:hAnsi="Arial" w:cs="Arial"/>
              </w:rPr>
              <w:t>.</w:t>
            </w:r>
          </w:p>
          <w:p w14:paraId="1A002772" w14:textId="2DB8FB18" w:rsidR="00AA31B4" w:rsidRPr="000B4647" w:rsidRDefault="00AA31B4" w:rsidP="006D45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Realizace projektu umožní využívat </w:t>
            </w:r>
            <w:r w:rsidRPr="000B4647">
              <w:rPr>
                <w:rFonts w:ascii="Arial" w:hAnsi="Arial" w:cs="Arial"/>
              </w:rPr>
              <w:t>modernější technologické a</w:t>
            </w:r>
            <w:r w:rsidR="006D456C">
              <w:rPr>
                <w:rFonts w:ascii="Arial" w:hAnsi="Arial" w:cs="Arial"/>
              </w:rPr>
              <w:t xml:space="preserve"> </w:t>
            </w:r>
            <w:r w:rsidRPr="000B4647">
              <w:rPr>
                <w:rFonts w:ascii="Arial" w:hAnsi="Arial" w:cs="Arial"/>
              </w:rPr>
              <w:t>přístrojové vybavení</w:t>
            </w:r>
            <w:r w:rsidR="006D456C">
              <w:rPr>
                <w:rFonts w:ascii="Arial" w:hAnsi="Arial" w:cs="Arial"/>
              </w:rPr>
              <w:t>,</w:t>
            </w:r>
            <w:r w:rsidRPr="000B4647">
              <w:rPr>
                <w:rFonts w:ascii="Arial" w:hAnsi="Arial" w:cs="Arial"/>
              </w:rPr>
              <w:t xml:space="preserve"> aplikovat efektivnější diagnostické a léčebné postupy</w:t>
            </w:r>
            <w:r>
              <w:rPr>
                <w:rFonts w:ascii="Arial" w:hAnsi="Arial" w:cs="Arial"/>
              </w:rPr>
              <w:t xml:space="preserve"> a poskytne pacientům vyšší komfort.</w:t>
            </w:r>
            <w:r w:rsidR="006D456C">
              <w:rPr>
                <w:rFonts w:ascii="Arial" w:hAnsi="Arial" w:cs="Arial"/>
              </w:rPr>
              <w:t xml:space="preserve"> </w:t>
            </w:r>
            <w:r w:rsidRPr="000B4647">
              <w:rPr>
                <w:rFonts w:ascii="Arial" w:hAnsi="Arial" w:cs="Arial"/>
              </w:rPr>
              <w:t xml:space="preserve">V řadě případů </w:t>
            </w:r>
            <w:r>
              <w:rPr>
                <w:rFonts w:ascii="Arial" w:hAnsi="Arial" w:cs="Arial"/>
              </w:rPr>
              <w:t>tak bude možné</w:t>
            </w:r>
            <w:r w:rsidRPr="000B4647">
              <w:rPr>
                <w:rFonts w:ascii="Arial" w:hAnsi="Arial" w:cs="Arial"/>
              </w:rPr>
              <w:t xml:space="preserve"> předejít některým nepříznivým důsledkům onemocnění s celkovým p</w:t>
            </w:r>
            <w:r>
              <w:rPr>
                <w:rFonts w:ascii="Arial" w:hAnsi="Arial" w:cs="Arial"/>
              </w:rPr>
              <w:t>ozitivním</w:t>
            </w:r>
            <w:r w:rsidRPr="000B4647">
              <w:rPr>
                <w:rFonts w:ascii="Arial" w:hAnsi="Arial" w:cs="Arial"/>
              </w:rPr>
              <w:t xml:space="preserve"> dopadem jak do oblasti snížení celkových nákladů na léčbu, tak zejména na zlepšení zdravotního stavu </w:t>
            </w:r>
            <w:r>
              <w:rPr>
                <w:rFonts w:ascii="Arial" w:hAnsi="Arial" w:cs="Arial"/>
              </w:rPr>
              <w:t>pacient</w:t>
            </w:r>
            <w:r w:rsidR="0064545F">
              <w:rPr>
                <w:rFonts w:ascii="Arial" w:hAnsi="Arial" w:cs="Arial"/>
              </w:rPr>
              <w:t>ů</w:t>
            </w:r>
            <w:r>
              <w:rPr>
                <w:rFonts w:ascii="Arial" w:hAnsi="Arial" w:cs="Arial"/>
              </w:rPr>
              <w:t>.</w:t>
            </w:r>
            <w:r w:rsidR="006E3F22">
              <w:rPr>
                <w:rFonts w:ascii="Arial" w:hAnsi="Arial" w:cs="Arial"/>
              </w:rPr>
              <w:t xml:space="preserve"> </w:t>
            </w:r>
          </w:p>
          <w:p w14:paraId="12F60B32" w14:textId="77777777" w:rsidR="00AA31B4" w:rsidRDefault="006D456C" w:rsidP="00AA31B4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Aktivity projektu:</w:t>
            </w:r>
          </w:p>
          <w:p w14:paraId="04183B49" w14:textId="5258B517" w:rsidR="006D456C" w:rsidRDefault="006D456C" w:rsidP="00AA31B4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aktivitou projektu bude pořízení a modernizace přístrojového vybavení uvedeného v Seznamu vybavení zdravotnické techniky a dostavba evakuačních tras</w:t>
            </w:r>
            <w:r w:rsidR="007F0B50">
              <w:rPr>
                <w:rFonts w:ascii="Arial" w:hAnsi="Arial" w:cs="Arial"/>
              </w:rPr>
              <w:t xml:space="preserve"> na </w:t>
            </w:r>
            <w:r w:rsidR="00A71F22">
              <w:rPr>
                <w:rFonts w:ascii="Arial" w:hAnsi="Arial" w:cs="Arial"/>
              </w:rPr>
              <w:t>NIP</w:t>
            </w:r>
            <w:r w:rsidR="00EC39B5">
              <w:rPr>
                <w:rFonts w:ascii="Arial" w:hAnsi="Arial" w:cs="Arial"/>
              </w:rPr>
              <w:t xml:space="preserve"> a DIOP</w:t>
            </w:r>
            <w:r w:rsidR="007F0B50">
              <w:rPr>
                <w:rFonts w:ascii="Arial" w:hAnsi="Arial" w:cs="Arial"/>
              </w:rPr>
              <w:t>.</w:t>
            </w:r>
          </w:p>
          <w:p w14:paraId="7F7C5DFF" w14:textId="24A1AACD" w:rsidR="006D4779" w:rsidRDefault="007F0B50" w:rsidP="00AA31B4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Vedlejší aktivitou projektu bude povinná publicita projektu</w:t>
            </w:r>
            <w:r w:rsidR="00505DF8">
              <w:rPr>
                <w:rFonts w:ascii="Arial" w:hAnsi="Arial" w:cs="Arial"/>
              </w:rPr>
              <w:t xml:space="preserve"> – pamětní deska.</w:t>
            </w:r>
          </w:p>
          <w:p w14:paraId="6C26CB98" w14:textId="4AB6B37E" w:rsidR="00AA31B4" w:rsidRPr="000B4647" w:rsidRDefault="00AA31B4" w:rsidP="00AA31B4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0B4647">
              <w:rPr>
                <w:rFonts w:ascii="Arial" w:hAnsi="Arial" w:cs="Arial"/>
                <w:b/>
              </w:rPr>
              <w:t>Odůvodnění realizace projektu:</w:t>
            </w:r>
          </w:p>
          <w:p w14:paraId="275D76FD" w14:textId="441DD1AC" w:rsidR="00AA31B4" w:rsidRDefault="00AA31B4" w:rsidP="00AA31B4">
            <w:pPr>
              <w:jc w:val="both"/>
            </w:pPr>
            <w:r w:rsidRPr="000B4647">
              <w:rPr>
                <w:rFonts w:ascii="Arial" w:hAnsi="Arial" w:cs="Arial"/>
              </w:rPr>
              <w:t>Projekt</w:t>
            </w:r>
            <w:r w:rsidR="007F0B50">
              <w:rPr>
                <w:rFonts w:ascii="Arial" w:hAnsi="Arial" w:cs="Arial"/>
              </w:rPr>
              <w:t xml:space="preserve"> </w:t>
            </w:r>
            <w:r w:rsidRPr="000B4647">
              <w:rPr>
                <w:rFonts w:ascii="Arial" w:hAnsi="Arial" w:cs="Arial"/>
              </w:rPr>
              <w:t>zvyšuj</w:t>
            </w:r>
            <w:r w:rsidR="007F0B50">
              <w:rPr>
                <w:rFonts w:ascii="Arial" w:hAnsi="Arial" w:cs="Arial"/>
              </w:rPr>
              <w:t>ící</w:t>
            </w:r>
            <w:r w:rsidRPr="000B4647">
              <w:rPr>
                <w:rFonts w:ascii="Arial" w:hAnsi="Arial" w:cs="Arial"/>
              </w:rPr>
              <w:t xml:space="preserve"> kvalitu a bezpečí poskytované</w:t>
            </w:r>
            <w:r>
              <w:rPr>
                <w:rFonts w:ascii="Arial" w:hAnsi="Arial" w:cs="Arial"/>
              </w:rPr>
              <w:t xml:space="preserve"> následné rehabilitační </w:t>
            </w:r>
            <w:r w:rsidRPr="000B4647">
              <w:rPr>
                <w:rFonts w:ascii="Arial" w:hAnsi="Arial" w:cs="Arial"/>
              </w:rPr>
              <w:t>péče</w:t>
            </w:r>
            <w:r>
              <w:rPr>
                <w:rFonts w:ascii="Arial" w:hAnsi="Arial" w:cs="Arial"/>
              </w:rPr>
              <w:t xml:space="preserve"> pozitivně ovlivní i její kapacitu, což zvýší připravenost nemocnice na hrozby se značným dopadem.</w:t>
            </w:r>
          </w:p>
          <w:p w14:paraId="47AA899F" w14:textId="77777777" w:rsidR="00AA31B4" w:rsidRPr="007F0B50" w:rsidRDefault="007F0B50" w:rsidP="00AA31B4">
            <w:pPr>
              <w:jc w:val="both"/>
              <w:rPr>
                <w:rFonts w:ascii="Arial" w:hAnsi="Arial" w:cs="Arial"/>
                <w:b/>
              </w:rPr>
            </w:pPr>
            <w:r w:rsidRPr="007F0B50">
              <w:rPr>
                <w:rFonts w:ascii="Arial" w:hAnsi="Arial" w:cs="Arial"/>
                <w:b/>
              </w:rPr>
              <w:t>Dotčené oblasti projektu</w:t>
            </w:r>
            <w:r w:rsidR="00AA31B4" w:rsidRPr="007F0B50">
              <w:rPr>
                <w:rFonts w:ascii="Arial" w:hAnsi="Arial" w:cs="Arial"/>
                <w:b/>
              </w:rPr>
              <w:t xml:space="preserve">: </w:t>
            </w:r>
          </w:p>
          <w:p w14:paraId="746E7E10" w14:textId="71D6C26B" w:rsidR="00AA31B4" w:rsidRDefault="00AA31B4" w:rsidP="00AA31B4">
            <w:pPr>
              <w:numPr>
                <w:ilvl w:val="0"/>
                <w:numId w:val="14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7647FF">
              <w:rPr>
                <w:rFonts w:ascii="Arial" w:hAnsi="Arial" w:cs="Arial"/>
                <w:b/>
              </w:rPr>
              <w:t xml:space="preserve">Modernizace </w:t>
            </w:r>
            <w:r>
              <w:rPr>
                <w:rFonts w:ascii="Arial" w:hAnsi="Arial" w:cs="Arial"/>
                <w:b/>
              </w:rPr>
              <w:t xml:space="preserve">přístrojového vybavení </w:t>
            </w:r>
            <w:r w:rsidR="00A67CC5">
              <w:rPr>
                <w:rFonts w:ascii="Arial" w:hAnsi="Arial" w:cs="Arial"/>
                <w:b/>
              </w:rPr>
              <w:t xml:space="preserve">Oddělení </w:t>
            </w:r>
            <w:r>
              <w:rPr>
                <w:rFonts w:ascii="Arial" w:hAnsi="Arial" w:cs="Arial"/>
                <w:b/>
              </w:rPr>
              <w:t xml:space="preserve">rehabilitace </w:t>
            </w:r>
          </w:p>
          <w:p w14:paraId="4DE71BD4" w14:textId="49767777" w:rsidR="00791C0B" w:rsidRDefault="00AA31B4" w:rsidP="00791C0B">
            <w:pPr>
              <w:jc w:val="both"/>
              <w:outlineLvl w:val="0"/>
              <w:rPr>
                <w:rFonts w:ascii="Arial" w:hAnsi="Arial" w:cs="Arial"/>
              </w:rPr>
            </w:pPr>
            <w:r w:rsidRPr="008A5046">
              <w:rPr>
                <w:rFonts w:ascii="Arial" w:hAnsi="Arial" w:cs="Arial"/>
              </w:rPr>
              <w:t xml:space="preserve">Současné přístrojové vybavení není </w:t>
            </w:r>
            <w:r>
              <w:rPr>
                <w:rFonts w:ascii="Arial" w:hAnsi="Arial" w:cs="Arial"/>
              </w:rPr>
              <w:t xml:space="preserve">již </w:t>
            </w:r>
            <w:r w:rsidRPr="008A5046">
              <w:rPr>
                <w:rFonts w:ascii="Arial" w:hAnsi="Arial" w:cs="Arial"/>
              </w:rPr>
              <w:t>plně dostačující pro poskytování moderní</w:t>
            </w:r>
            <w:r w:rsidR="00AB1479">
              <w:rPr>
                <w:rFonts w:ascii="Arial" w:hAnsi="Arial" w:cs="Arial"/>
              </w:rPr>
              <w:t xml:space="preserve"> </w:t>
            </w:r>
            <w:r w:rsidRPr="008A5046">
              <w:rPr>
                <w:rFonts w:ascii="Arial" w:hAnsi="Arial" w:cs="Arial"/>
              </w:rPr>
              <w:t>zdravotní péče. Přístroje nahradí stávající, te</w:t>
            </w:r>
            <w:r>
              <w:rPr>
                <w:rFonts w:ascii="Arial" w:hAnsi="Arial" w:cs="Arial"/>
              </w:rPr>
              <w:t>chnicky zastaralá</w:t>
            </w:r>
            <w:r w:rsidR="00F64F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opotřebovaná</w:t>
            </w:r>
            <w:r w:rsidRPr="008A5046">
              <w:rPr>
                <w:rFonts w:ascii="Arial" w:hAnsi="Arial" w:cs="Arial"/>
              </w:rPr>
              <w:t xml:space="preserve"> zařízení. Stáří stávajících </w:t>
            </w:r>
            <w:r>
              <w:rPr>
                <w:rFonts w:ascii="Arial" w:hAnsi="Arial" w:cs="Arial"/>
              </w:rPr>
              <w:t xml:space="preserve">zdravotnických </w:t>
            </w:r>
            <w:r w:rsidRPr="008A5046">
              <w:rPr>
                <w:rFonts w:ascii="Arial" w:hAnsi="Arial" w:cs="Arial"/>
              </w:rPr>
              <w:t>přístrojů</w:t>
            </w:r>
            <w:r w:rsidR="007F0B50">
              <w:rPr>
                <w:rFonts w:ascii="Arial" w:hAnsi="Arial" w:cs="Arial"/>
              </w:rPr>
              <w:t xml:space="preserve"> dotčené</w:t>
            </w:r>
            <w:r w:rsidR="009C7BA9">
              <w:rPr>
                <w:rFonts w:ascii="Arial" w:hAnsi="Arial" w:cs="Arial"/>
              </w:rPr>
              <w:t>ho oddělení</w:t>
            </w:r>
            <w:r w:rsidRPr="008A5046">
              <w:rPr>
                <w:rFonts w:ascii="Arial" w:hAnsi="Arial" w:cs="Arial"/>
              </w:rPr>
              <w:t xml:space="preserve"> ve FNOL je daleko za hranicí jejich předpokládané životnosti. </w:t>
            </w:r>
            <w:r>
              <w:rPr>
                <w:rFonts w:ascii="Arial" w:hAnsi="Arial" w:cs="Arial"/>
              </w:rPr>
              <w:t>U</w:t>
            </w:r>
            <w:r w:rsidRPr="008A5046">
              <w:rPr>
                <w:rFonts w:ascii="Arial" w:hAnsi="Arial" w:cs="Arial"/>
              </w:rPr>
              <w:t xml:space="preserve"> mnohých končí servisní podpora a nejsou </w:t>
            </w:r>
            <w:r>
              <w:rPr>
                <w:rFonts w:ascii="Arial" w:hAnsi="Arial" w:cs="Arial"/>
              </w:rPr>
              <w:t xml:space="preserve">k dispozici </w:t>
            </w:r>
            <w:r w:rsidRPr="008A5046">
              <w:rPr>
                <w:rFonts w:ascii="Arial" w:hAnsi="Arial" w:cs="Arial"/>
              </w:rPr>
              <w:t xml:space="preserve">náhradní díly. Realizací této oblasti projektu </w:t>
            </w:r>
            <w:r w:rsidR="007F0B50">
              <w:rPr>
                <w:rFonts w:ascii="Arial" w:hAnsi="Arial" w:cs="Arial"/>
              </w:rPr>
              <w:t>dojde k</w:t>
            </w:r>
            <w:r w:rsidRPr="008A5046">
              <w:rPr>
                <w:rFonts w:ascii="Arial" w:hAnsi="Arial" w:cs="Arial"/>
              </w:rPr>
              <w:t xml:space="preserve"> modernizac</w:t>
            </w:r>
            <w:r w:rsidR="007F0B50">
              <w:rPr>
                <w:rFonts w:ascii="Arial" w:hAnsi="Arial" w:cs="Arial"/>
              </w:rPr>
              <w:t>i</w:t>
            </w:r>
            <w:r w:rsidRPr="008A5046">
              <w:rPr>
                <w:rFonts w:ascii="Arial" w:hAnsi="Arial" w:cs="Arial"/>
              </w:rPr>
              <w:t xml:space="preserve"> stávajícího zastaralého přístrojového vybavení</w:t>
            </w:r>
            <w:r w:rsidR="007F0B50">
              <w:rPr>
                <w:rFonts w:ascii="Arial" w:hAnsi="Arial" w:cs="Arial"/>
              </w:rPr>
              <w:t xml:space="preserve"> a k pořízení</w:t>
            </w:r>
            <w:r>
              <w:rPr>
                <w:rFonts w:ascii="Arial" w:hAnsi="Arial" w:cs="Arial"/>
              </w:rPr>
              <w:t xml:space="preserve"> novéh</w:t>
            </w:r>
            <w:r w:rsidR="00F64F8F">
              <w:rPr>
                <w:rFonts w:ascii="Arial" w:hAnsi="Arial" w:cs="Arial"/>
              </w:rPr>
              <w:t xml:space="preserve">o přístrojového vybavení nutného pro rozšíření </w:t>
            </w:r>
            <w:r w:rsidR="00A71720">
              <w:rPr>
                <w:rFonts w:ascii="Arial" w:hAnsi="Arial" w:cs="Arial"/>
              </w:rPr>
              <w:t>poskytované zdravotní péče</w:t>
            </w:r>
            <w:r w:rsidR="00F64F8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69BEEA50" w14:textId="58B9F243" w:rsidR="00D60848" w:rsidRPr="00A95416" w:rsidRDefault="00D60848" w:rsidP="00D60848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A95416">
              <w:rPr>
                <w:rFonts w:ascii="Arial" w:hAnsi="Arial" w:cs="Arial"/>
              </w:rPr>
              <w:t>V rámci projektu bude pořízeno</w:t>
            </w:r>
            <w:r w:rsidR="00A95416" w:rsidRPr="00A95416">
              <w:rPr>
                <w:rFonts w:ascii="Arial" w:hAnsi="Arial" w:cs="Arial"/>
              </w:rPr>
              <w:t xml:space="preserve"> přístrojové vybavení:</w:t>
            </w:r>
          </w:p>
          <w:p w14:paraId="3843E48B" w14:textId="77777777" w:rsidR="00A95416" w:rsidRDefault="00A95416" w:rsidP="00D6084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</w:p>
          <w:p w14:paraId="5C2FE32A" w14:textId="77777777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186BFE">
              <w:rPr>
                <w:rFonts w:ascii="Arial" w:hAnsi="Arial" w:cs="Arial"/>
                <w:b/>
              </w:rPr>
              <w:t>Systém pro analýzu a nácvik chůze s virtuální realitou</w:t>
            </w:r>
            <w:r>
              <w:rPr>
                <w:rFonts w:ascii="Arial" w:hAnsi="Arial" w:cs="Arial"/>
              </w:rPr>
              <w:t xml:space="preserve"> – 1 ks obnova</w:t>
            </w:r>
          </w:p>
          <w:p w14:paraId="342AB5E0" w14:textId="77777777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186BFE">
              <w:rPr>
                <w:rFonts w:ascii="Arial" w:hAnsi="Arial" w:cs="Arial"/>
                <w:b/>
              </w:rPr>
              <w:t>Terapie a vyšetření stability (</w:t>
            </w:r>
            <w:proofErr w:type="spellStart"/>
            <w:r w:rsidRPr="00186BFE">
              <w:rPr>
                <w:rFonts w:ascii="Arial" w:hAnsi="Arial" w:cs="Arial"/>
                <w:b/>
              </w:rPr>
              <w:t>posturografický</w:t>
            </w:r>
            <w:proofErr w:type="spellEnd"/>
            <w:r w:rsidRPr="00186BFE">
              <w:rPr>
                <w:rFonts w:ascii="Arial" w:hAnsi="Arial" w:cs="Arial"/>
                <w:b/>
              </w:rPr>
              <w:t xml:space="preserve"> sytém)</w:t>
            </w:r>
            <w:r>
              <w:rPr>
                <w:rFonts w:ascii="Arial" w:hAnsi="Arial" w:cs="Arial"/>
              </w:rPr>
              <w:t xml:space="preserve"> – 1 ks obnova</w:t>
            </w:r>
          </w:p>
          <w:p w14:paraId="65901044" w14:textId="77777777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186BFE">
              <w:rPr>
                <w:rFonts w:ascii="Arial" w:hAnsi="Arial" w:cs="Arial"/>
                <w:b/>
              </w:rPr>
              <w:t>Robotika ruky</w:t>
            </w:r>
            <w:r>
              <w:rPr>
                <w:rFonts w:ascii="Arial" w:hAnsi="Arial" w:cs="Arial"/>
              </w:rPr>
              <w:t xml:space="preserve"> – 1 ks obnova</w:t>
            </w:r>
          </w:p>
          <w:p w14:paraId="62CCDBE4" w14:textId="6B4AE9A3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186BFE">
              <w:rPr>
                <w:rFonts w:ascii="Arial" w:hAnsi="Arial" w:cs="Arial"/>
                <w:b/>
              </w:rPr>
              <w:t>Telemetrický EMG systém včetně SW na zpracování dat</w:t>
            </w:r>
            <w:r>
              <w:rPr>
                <w:rFonts w:ascii="Arial" w:hAnsi="Arial" w:cs="Arial"/>
              </w:rPr>
              <w:t xml:space="preserve"> </w:t>
            </w:r>
            <w:r w:rsidR="005B4F78">
              <w:rPr>
                <w:rFonts w:ascii="Arial" w:hAnsi="Arial" w:cs="Arial"/>
              </w:rPr>
              <w:t>–</w:t>
            </w:r>
            <w:r w:rsidRPr="00791C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ks obnova</w:t>
            </w:r>
          </w:p>
          <w:p w14:paraId="681C95D7" w14:textId="77777777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186BFE">
              <w:rPr>
                <w:rFonts w:ascii="Arial" w:hAnsi="Arial" w:cs="Arial"/>
                <w:b/>
              </w:rPr>
              <w:t>Virtuální kognitivně-pohybový trénink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– 1 ks nový</w:t>
            </w:r>
          </w:p>
          <w:p w14:paraId="2BAD350B" w14:textId="77777777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186BFE">
              <w:rPr>
                <w:rFonts w:ascii="Arial" w:hAnsi="Arial" w:cs="Arial"/>
                <w:b/>
              </w:rPr>
              <w:t>Lehátka rehabilitační</w:t>
            </w:r>
            <w:r>
              <w:rPr>
                <w:rFonts w:ascii="Arial" w:hAnsi="Arial" w:cs="Arial"/>
              </w:rPr>
              <w:t xml:space="preserve"> – 30 ks obnova</w:t>
            </w:r>
          </w:p>
          <w:p w14:paraId="2ED8BBF7" w14:textId="77777777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7A50E2">
              <w:rPr>
                <w:rFonts w:ascii="Arial" w:hAnsi="Arial" w:cs="Arial"/>
                <w:b/>
              </w:rPr>
              <w:t>tůl pro Vojtovu terapii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– 3 ks obnova</w:t>
            </w:r>
          </w:p>
          <w:p w14:paraId="4BAFCBD2" w14:textId="77777777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186BFE">
              <w:rPr>
                <w:rFonts w:ascii="Arial" w:hAnsi="Arial" w:cs="Arial"/>
                <w:b/>
              </w:rPr>
              <w:t>Magnetoterapie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B4F7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obnova</w:t>
            </w:r>
          </w:p>
          <w:p w14:paraId="322B1001" w14:textId="77777777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186BFE">
              <w:rPr>
                <w:rFonts w:ascii="Arial" w:hAnsi="Arial" w:cs="Arial"/>
                <w:b/>
              </w:rPr>
              <w:t>Vysokovýkonový</w:t>
            </w:r>
            <w:proofErr w:type="spellEnd"/>
            <w:r w:rsidRPr="00186BFE">
              <w:rPr>
                <w:rFonts w:ascii="Arial" w:hAnsi="Arial" w:cs="Arial"/>
                <w:b/>
              </w:rPr>
              <w:t xml:space="preserve"> laser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91C0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nový</w:t>
            </w:r>
          </w:p>
          <w:p w14:paraId="3911D29A" w14:textId="2DDEEF4A" w:rsidR="00D60848" w:rsidRPr="00186BFE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186BFE">
              <w:rPr>
                <w:rFonts w:ascii="Arial" w:hAnsi="Arial" w:cs="Arial"/>
                <w:b/>
              </w:rPr>
              <w:t>Kombinovaný přístroj s modulem EMG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B4F78">
              <w:rPr>
                <w:rFonts w:ascii="Arial" w:hAnsi="Arial" w:cs="Arial"/>
              </w:rPr>
              <w:t>–</w:t>
            </w:r>
            <w:r w:rsidRPr="00791C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ks nový</w:t>
            </w:r>
          </w:p>
          <w:p w14:paraId="7BC9286C" w14:textId="3FC2844C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186BFE">
              <w:rPr>
                <w:rFonts w:ascii="Arial" w:hAnsi="Arial" w:cs="Arial"/>
                <w:b/>
              </w:rPr>
              <w:t>Kombinovaný přístroj (UZ, elektro)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5754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F575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ks nový, 5 ks obnova</w:t>
            </w:r>
          </w:p>
          <w:p w14:paraId="6F20A633" w14:textId="77777777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</w:t>
            </w:r>
            <w:r w:rsidRPr="00186BFE">
              <w:rPr>
                <w:rFonts w:ascii="Arial" w:hAnsi="Arial" w:cs="Arial"/>
                <w:b/>
              </w:rPr>
              <w:t>ymfodrenáž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791C0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nový</w:t>
            </w:r>
          </w:p>
          <w:p w14:paraId="5294F32E" w14:textId="77777777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186BFE">
              <w:rPr>
                <w:rFonts w:ascii="Arial" w:hAnsi="Arial" w:cs="Arial"/>
                <w:b/>
              </w:rPr>
              <w:t>Vysokoindukční</w:t>
            </w:r>
            <w:proofErr w:type="spellEnd"/>
            <w:r w:rsidRPr="00186BFE">
              <w:rPr>
                <w:rFonts w:ascii="Arial" w:hAnsi="Arial" w:cs="Arial"/>
                <w:b/>
              </w:rPr>
              <w:t xml:space="preserve"> systém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91C0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nový</w:t>
            </w:r>
          </w:p>
          <w:p w14:paraId="374200E8" w14:textId="77777777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186BFE">
              <w:rPr>
                <w:rFonts w:ascii="Arial" w:hAnsi="Arial" w:cs="Arial"/>
                <w:b/>
              </w:rPr>
              <w:t>Křeslo ke stimulaci pánevního dna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F724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nový</w:t>
            </w:r>
          </w:p>
          <w:p w14:paraId="7A298BE9" w14:textId="7B318403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186BFE">
              <w:rPr>
                <w:rFonts w:ascii="Arial" w:hAnsi="Arial" w:cs="Arial"/>
                <w:b/>
              </w:rPr>
              <w:t>Vakuově-kompresní terapie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F724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nový</w:t>
            </w:r>
          </w:p>
          <w:p w14:paraId="26E95C5D" w14:textId="77777777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186BFE">
              <w:rPr>
                <w:rFonts w:ascii="Arial" w:hAnsi="Arial" w:cs="Arial"/>
                <w:b/>
              </w:rPr>
              <w:t>Rotoped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F724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2 ks obnova</w:t>
            </w:r>
          </w:p>
          <w:p w14:paraId="62A548CD" w14:textId="77777777" w:rsidR="00D60848" w:rsidRDefault="00D60848" w:rsidP="00D60848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186BFE">
              <w:rPr>
                <w:rFonts w:ascii="Arial" w:hAnsi="Arial" w:cs="Arial"/>
                <w:b/>
              </w:rPr>
              <w:t>Motomed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DF724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nový, 2 ks obnova</w:t>
            </w:r>
          </w:p>
          <w:p w14:paraId="29CBFFBC" w14:textId="7ABC5906" w:rsidR="00A95416" w:rsidRDefault="00D60848" w:rsidP="00A95416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186BFE">
              <w:rPr>
                <w:rFonts w:ascii="Arial" w:hAnsi="Arial" w:cs="Arial"/>
                <w:b/>
              </w:rPr>
              <w:t>Rázová vlna</w:t>
            </w:r>
            <w:r w:rsidR="00A95416">
              <w:rPr>
                <w:rFonts w:ascii="Arial" w:hAnsi="Arial" w:cs="Arial"/>
                <w:b/>
              </w:rPr>
              <w:t xml:space="preserve"> </w:t>
            </w:r>
            <w:r w:rsidR="00F5754C">
              <w:rPr>
                <w:rFonts w:ascii="Arial" w:hAnsi="Arial" w:cs="Arial"/>
              </w:rPr>
              <w:t>–</w:t>
            </w:r>
            <w:r w:rsidR="00A95416" w:rsidRPr="00A954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F575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ks nový</w:t>
            </w:r>
          </w:p>
          <w:p w14:paraId="26B02D13" w14:textId="77777777" w:rsidR="00404A52" w:rsidRPr="00404A52" w:rsidRDefault="00404A52" w:rsidP="00404A52">
            <w:pPr>
              <w:spacing w:after="0" w:line="240" w:lineRule="auto"/>
              <w:ind w:left="720"/>
              <w:jc w:val="both"/>
              <w:outlineLvl w:val="0"/>
              <w:rPr>
                <w:rFonts w:ascii="Arial" w:hAnsi="Arial" w:cs="Arial"/>
                <w:b/>
              </w:rPr>
            </w:pPr>
          </w:p>
          <w:p w14:paraId="36238323" w14:textId="2B8E8334" w:rsidR="00AA31B4" w:rsidRPr="000B4647" w:rsidRDefault="00AA31B4" w:rsidP="00AA31B4">
            <w:pPr>
              <w:numPr>
                <w:ilvl w:val="0"/>
                <w:numId w:val="14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Stavební úpravy v rámci NIP a DIOP</w:t>
            </w:r>
            <w:r w:rsidRPr="000B4647">
              <w:rPr>
                <w:rFonts w:ascii="Arial" w:hAnsi="Arial" w:cs="Arial"/>
                <w:b/>
              </w:rPr>
              <w:t xml:space="preserve"> </w:t>
            </w:r>
          </w:p>
          <w:p w14:paraId="68405477" w14:textId="62182CE0" w:rsidR="00AA31B4" w:rsidRPr="00E42206" w:rsidRDefault="007F0B50" w:rsidP="00A95416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je </w:t>
            </w:r>
            <w:r w:rsidR="005B3C6D">
              <w:rPr>
                <w:rFonts w:ascii="Arial" w:hAnsi="Arial" w:cs="Arial"/>
              </w:rPr>
              <w:t xml:space="preserve">současně </w:t>
            </w:r>
            <w:r>
              <w:rPr>
                <w:rFonts w:ascii="Arial" w:hAnsi="Arial" w:cs="Arial"/>
              </w:rPr>
              <w:t xml:space="preserve">zaměřen na </w:t>
            </w:r>
            <w:r w:rsidR="00AA31B4" w:rsidRPr="007A50E2">
              <w:rPr>
                <w:rFonts w:ascii="Arial" w:hAnsi="Arial" w:cs="Arial"/>
              </w:rPr>
              <w:t>poslední část stavebních úprav</w:t>
            </w:r>
            <w:r w:rsidR="0025559D">
              <w:rPr>
                <w:rFonts w:ascii="Arial" w:hAnsi="Arial" w:cs="Arial"/>
              </w:rPr>
              <w:t xml:space="preserve"> souvisejících s dostavbou evakuačních tras v</w:t>
            </w:r>
            <w:r w:rsidR="00A67CC5">
              <w:rPr>
                <w:rFonts w:ascii="Arial" w:hAnsi="Arial" w:cs="Arial"/>
              </w:rPr>
              <w:t> </w:t>
            </w:r>
            <w:r w:rsidR="0025559D">
              <w:rPr>
                <w:rFonts w:ascii="Arial" w:hAnsi="Arial" w:cs="Arial"/>
              </w:rPr>
              <w:t>budově</w:t>
            </w:r>
            <w:r w:rsidR="00A67CC5">
              <w:rPr>
                <w:rFonts w:ascii="Arial" w:hAnsi="Arial" w:cs="Arial"/>
              </w:rPr>
              <w:t xml:space="preserve"> D</w:t>
            </w:r>
            <w:r w:rsidR="00AA31B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Oddělení</w:t>
            </w:r>
            <w:r w:rsidR="00AA31B4" w:rsidRPr="007A50E2">
              <w:rPr>
                <w:rFonts w:ascii="Arial" w:hAnsi="Arial" w:cs="Arial"/>
              </w:rPr>
              <w:t xml:space="preserve"> NIP a DIOP výrazně zvýšil</w:t>
            </w:r>
            <w:r w:rsidR="0025559D">
              <w:rPr>
                <w:rFonts w:ascii="Arial" w:hAnsi="Arial" w:cs="Arial"/>
              </w:rPr>
              <w:t>a</w:t>
            </w:r>
            <w:r w:rsidR="00AA31B4" w:rsidRPr="007A50E2">
              <w:rPr>
                <w:rFonts w:ascii="Arial" w:hAnsi="Arial" w:cs="Arial"/>
              </w:rPr>
              <w:t xml:space="preserve"> zatížení stávajících únikových cest</w:t>
            </w:r>
            <w:r w:rsidR="0025559D">
              <w:rPr>
                <w:rFonts w:ascii="Arial" w:hAnsi="Arial" w:cs="Arial"/>
              </w:rPr>
              <w:t xml:space="preserve"> v budově, v níž jsou oddělení umístěna.</w:t>
            </w:r>
          </w:p>
        </w:tc>
      </w:tr>
    </w:tbl>
    <w:p w14:paraId="08AAD032" w14:textId="77777777" w:rsidR="008261B8" w:rsidRDefault="008261B8"/>
    <w:p w14:paraId="1C01BD99" w14:textId="77777777"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Celkový rozpočet projektu</w:t>
      </w:r>
      <w:r w:rsidR="008261B8">
        <w:rPr>
          <w:rFonts w:ascii="Times New Roman" w:hAnsi="Times New Roman"/>
          <w:b/>
          <w:sz w:val="24"/>
          <w:szCs w:val="24"/>
        </w:rPr>
        <w:t>, odhad</w:t>
      </w:r>
      <w:r w:rsidR="00BD7DA7">
        <w:rPr>
          <w:rFonts w:ascii="Times New Roman" w:hAnsi="Times New Roman"/>
          <w:b/>
          <w:sz w:val="24"/>
          <w:szCs w:val="24"/>
        </w:rPr>
        <w:t xml:space="preserve"> </w:t>
      </w:r>
      <w:r w:rsidR="008261B8">
        <w:rPr>
          <w:rFonts w:ascii="Times New Roman" w:hAnsi="Times New Roman"/>
          <w:b/>
          <w:sz w:val="24"/>
          <w:szCs w:val="24"/>
        </w:rPr>
        <w:t>rozdělení nákladů do let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61B8" w14:paraId="599138DA" w14:textId="77777777" w:rsidTr="00DF724F">
        <w:trPr>
          <w:trHeight w:val="32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Mkatabulky"/>
              <w:tblW w:w="5000" w:type="pct"/>
              <w:tblLook w:val="04A0" w:firstRow="1" w:lastRow="0" w:firstColumn="1" w:lastColumn="0" w:noHBand="0" w:noVBand="1"/>
            </w:tblPr>
            <w:tblGrid>
              <w:gridCol w:w="3427"/>
              <w:gridCol w:w="2267"/>
              <w:gridCol w:w="1559"/>
              <w:gridCol w:w="1583"/>
            </w:tblGrid>
            <w:tr w:rsidR="00271556" w14:paraId="73D67E6A" w14:textId="77777777" w:rsidTr="0064545F">
              <w:tc>
                <w:tcPr>
                  <w:tcW w:w="1939" w:type="pct"/>
                </w:tcPr>
                <w:p w14:paraId="3C249536" w14:textId="77777777" w:rsidR="00271556" w:rsidRPr="00C12E97" w:rsidRDefault="00271556" w:rsidP="00271556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283" w:type="pct"/>
                  <w:vAlign w:val="center"/>
                </w:tcPr>
                <w:p w14:paraId="627D002C" w14:textId="682F8313" w:rsidR="00271556" w:rsidRPr="00C12E97" w:rsidRDefault="00271556" w:rsidP="0027155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  <w:r w:rsidRPr="00C12E97">
                    <w:rPr>
                      <w:rFonts w:ascii="Arial" w:hAnsi="Arial" w:cs="Arial"/>
                      <w:b/>
                    </w:rPr>
                    <w:t>Cena v Kč s DPH</w:t>
                  </w:r>
                </w:p>
              </w:tc>
              <w:tc>
                <w:tcPr>
                  <w:tcW w:w="882" w:type="pct"/>
                  <w:vAlign w:val="center"/>
                </w:tcPr>
                <w:p w14:paraId="5B854291" w14:textId="3E2C56E8" w:rsidR="00271556" w:rsidRPr="00C12E97" w:rsidRDefault="00271556" w:rsidP="0027155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2021</w:t>
                  </w:r>
                </w:p>
              </w:tc>
              <w:tc>
                <w:tcPr>
                  <w:tcW w:w="896" w:type="pct"/>
                  <w:vAlign w:val="center"/>
                </w:tcPr>
                <w:p w14:paraId="707C83BB" w14:textId="0740C9AA" w:rsidR="00271556" w:rsidRPr="00C12E97" w:rsidRDefault="00271556" w:rsidP="0027155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  <w:r w:rsidRPr="00C12E97">
                    <w:rPr>
                      <w:rFonts w:ascii="Arial" w:hAnsi="Arial" w:cs="Arial"/>
                      <w:b/>
                    </w:rPr>
                    <w:t>2022</w:t>
                  </w:r>
                </w:p>
              </w:tc>
            </w:tr>
            <w:tr w:rsidR="00271556" w14:paraId="5D9D7A13" w14:textId="77777777" w:rsidTr="0064545F">
              <w:trPr>
                <w:trHeight w:val="631"/>
              </w:trPr>
              <w:tc>
                <w:tcPr>
                  <w:tcW w:w="1939" w:type="pct"/>
                  <w:vAlign w:val="center"/>
                </w:tcPr>
                <w:p w14:paraId="06BC8E7D" w14:textId="3906F15E" w:rsidR="00271556" w:rsidRPr="00C12E97" w:rsidRDefault="00271556" w:rsidP="00271556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C12E97">
                    <w:rPr>
                      <w:rFonts w:ascii="Arial" w:hAnsi="Arial" w:cs="Arial"/>
                    </w:rPr>
                    <w:t>Náklady na přístrojové vybavení</w:t>
                  </w:r>
                </w:p>
              </w:tc>
              <w:tc>
                <w:tcPr>
                  <w:tcW w:w="1283" w:type="pct"/>
                  <w:vAlign w:val="center"/>
                </w:tcPr>
                <w:p w14:paraId="0AB30D22" w14:textId="53861576" w:rsidR="00271556" w:rsidRPr="00C12E97" w:rsidRDefault="00271556" w:rsidP="00271556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 w:rsidRPr="00C12E97">
                    <w:rPr>
                      <w:rFonts w:ascii="Arial" w:hAnsi="Arial" w:cs="Arial"/>
                    </w:rPr>
                    <w:t>27 </w:t>
                  </w:r>
                  <w:r w:rsidR="00A85C56">
                    <w:rPr>
                      <w:rFonts w:ascii="Arial" w:hAnsi="Arial" w:cs="Arial"/>
                    </w:rPr>
                    <w:t>941</w:t>
                  </w:r>
                  <w:r w:rsidRPr="00C12E97">
                    <w:rPr>
                      <w:rFonts w:ascii="Arial" w:hAnsi="Arial" w:cs="Arial"/>
                    </w:rPr>
                    <w:t xml:space="preserve"> </w:t>
                  </w:r>
                  <w:r w:rsidR="00A85C56">
                    <w:rPr>
                      <w:rFonts w:ascii="Arial" w:hAnsi="Arial" w:cs="Arial"/>
                    </w:rPr>
                    <w:t>082</w:t>
                  </w:r>
                </w:p>
              </w:tc>
              <w:tc>
                <w:tcPr>
                  <w:tcW w:w="882" w:type="pct"/>
                  <w:vAlign w:val="center"/>
                </w:tcPr>
                <w:p w14:paraId="16397627" w14:textId="12CA2265" w:rsidR="00271556" w:rsidRPr="00C12E97" w:rsidRDefault="00271556" w:rsidP="00271556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96" w:type="pct"/>
                  <w:vAlign w:val="center"/>
                </w:tcPr>
                <w:p w14:paraId="120B7BEA" w14:textId="79CCCE3E" w:rsidR="00271556" w:rsidRPr="00C12E97" w:rsidRDefault="00A85C56" w:rsidP="00271556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 w:rsidRPr="00C12E97">
                    <w:rPr>
                      <w:rFonts w:ascii="Arial" w:hAnsi="Arial" w:cs="Arial"/>
                    </w:rPr>
                    <w:t>27 </w:t>
                  </w:r>
                  <w:r>
                    <w:rPr>
                      <w:rFonts w:ascii="Arial" w:hAnsi="Arial" w:cs="Arial"/>
                    </w:rPr>
                    <w:t>941</w:t>
                  </w:r>
                  <w:r w:rsidRPr="00C12E9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082</w:t>
                  </w:r>
                </w:p>
              </w:tc>
            </w:tr>
            <w:tr w:rsidR="00271556" w14:paraId="7C236345" w14:textId="77777777" w:rsidTr="0064545F">
              <w:tc>
                <w:tcPr>
                  <w:tcW w:w="1939" w:type="pct"/>
                  <w:vAlign w:val="center"/>
                </w:tcPr>
                <w:p w14:paraId="7D612256" w14:textId="351D4D64" w:rsidR="00271556" w:rsidRPr="00C12E97" w:rsidRDefault="00271556" w:rsidP="00271556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C12E97">
                    <w:rPr>
                      <w:rFonts w:ascii="Arial" w:hAnsi="Arial" w:cs="Arial"/>
                    </w:rPr>
                    <w:t>Náklady na stavební úpravy</w:t>
                  </w:r>
                </w:p>
              </w:tc>
              <w:tc>
                <w:tcPr>
                  <w:tcW w:w="1283" w:type="pct"/>
                  <w:vAlign w:val="center"/>
                </w:tcPr>
                <w:p w14:paraId="126F2B9D" w14:textId="4B885BC2" w:rsidR="00271556" w:rsidRPr="00C12E97" w:rsidRDefault="00271556" w:rsidP="00271556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 w:rsidRPr="00C12E97">
                    <w:rPr>
                      <w:rFonts w:ascii="Arial" w:hAnsi="Arial" w:cs="Arial"/>
                    </w:rPr>
                    <w:t>71 947 212</w:t>
                  </w:r>
                </w:p>
              </w:tc>
              <w:tc>
                <w:tcPr>
                  <w:tcW w:w="882" w:type="pct"/>
                  <w:vAlign w:val="center"/>
                </w:tcPr>
                <w:p w14:paraId="19BFDC20" w14:textId="0B2CCCB2" w:rsidR="00271556" w:rsidRPr="00C12E97" w:rsidRDefault="00271556" w:rsidP="00271556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60 000 000</w:t>
                  </w:r>
                </w:p>
              </w:tc>
              <w:tc>
                <w:tcPr>
                  <w:tcW w:w="896" w:type="pct"/>
                  <w:vAlign w:val="center"/>
                </w:tcPr>
                <w:p w14:paraId="4DE8EEF1" w14:textId="63DE30F5" w:rsidR="00271556" w:rsidRPr="00C12E97" w:rsidRDefault="00271556" w:rsidP="00271556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  <w:r w:rsidRPr="00C12E97">
                    <w:rPr>
                      <w:rFonts w:ascii="Arial" w:hAnsi="Arial" w:cs="Arial"/>
                    </w:rPr>
                    <w:t> 947 212</w:t>
                  </w:r>
                </w:p>
              </w:tc>
            </w:tr>
            <w:tr w:rsidR="00271556" w14:paraId="683B9049" w14:textId="77777777" w:rsidTr="0064545F">
              <w:tc>
                <w:tcPr>
                  <w:tcW w:w="1939" w:type="pct"/>
                  <w:vAlign w:val="center"/>
                </w:tcPr>
                <w:p w14:paraId="74A45875" w14:textId="206494DA" w:rsidR="00271556" w:rsidRPr="00C12E97" w:rsidRDefault="00271556" w:rsidP="00271556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C12E97">
                    <w:rPr>
                      <w:rFonts w:ascii="Arial" w:hAnsi="Arial" w:cs="Arial"/>
                    </w:rPr>
                    <w:t>Publicita</w:t>
                  </w:r>
                </w:p>
              </w:tc>
              <w:tc>
                <w:tcPr>
                  <w:tcW w:w="1283" w:type="pct"/>
                  <w:vAlign w:val="center"/>
                </w:tcPr>
                <w:p w14:paraId="5FE26D39" w14:textId="5EB03DA8" w:rsidR="00271556" w:rsidRPr="00C12E97" w:rsidRDefault="006D4779" w:rsidP="00271556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271556" w:rsidRPr="00C12E97">
                    <w:rPr>
                      <w:rFonts w:ascii="Arial" w:hAnsi="Arial" w:cs="Arial"/>
                    </w:rPr>
                    <w:t xml:space="preserve"> 000</w:t>
                  </w:r>
                </w:p>
              </w:tc>
              <w:tc>
                <w:tcPr>
                  <w:tcW w:w="882" w:type="pct"/>
                </w:tcPr>
                <w:p w14:paraId="0D7D51C8" w14:textId="69667163" w:rsidR="00271556" w:rsidRPr="00C12E97" w:rsidRDefault="00271556" w:rsidP="00271556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96" w:type="pct"/>
                  <w:vAlign w:val="center"/>
                </w:tcPr>
                <w:p w14:paraId="0C851321" w14:textId="191B5FA8" w:rsidR="00271556" w:rsidRPr="00C12E97" w:rsidRDefault="00FD1AEE" w:rsidP="00271556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10 000</w:t>
                  </w:r>
                </w:p>
              </w:tc>
            </w:tr>
            <w:tr w:rsidR="00271556" w14:paraId="427E425E" w14:textId="77777777" w:rsidTr="0064545F">
              <w:tc>
                <w:tcPr>
                  <w:tcW w:w="1939" w:type="pct"/>
                  <w:vAlign w:val="center"/>
                </w:tcPr>
                <w:p w14:paraId="3D082960" w14:textId="32CDA100" w:rsidR="00271556" w:rsidRPr="00C12E97" w:rsidRDefault="00271556" w:rsidP="00271556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C12E97">
                    <w:rPr>
                      <w:rFonts w:ascii="Arial" w:hAnsi="Arial" w:cs="Arial"/>
                    </w:rPr>
                    <w:t>Celkem</w:t>
                  </w:r>
                </w:p>
              </w:tc>
              <w:tc>
                <w:tcPr>
                  <w:tcW w:w="1283" w:type="pct"/>
                  <w:vAlign w:val="center"/>
                </w:tcPr>
                <w:p w14:paraId="7D2824A2" w14:textId="4FF0E687" w:rsidR="00271556" w:rsidRPr="00C12E97" w:rsidRDefault="00271556" w:rsidP="00271556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 w:rsidRPr="00C12E97">
                    <w:rPr>
                      <w:rFonts w:ascii="Arial" w:hAnsi="Arial" w:cs="Arial"/>
                    </w:rPr>
                    <w:t>99 </w:t>
                  </w:r>
                  <w:r w:rsidR="00A85C56">
                    <w:rPr>
                      <w:rFonts w:ascii="Arial" w:hAnsi="Arial" w:cs="Arial"/>
                    </w:rPr>
                    <w:t>8</w:t>
                  </w:r>
                  <w:r w:rsidR="006D4779">
                    <w:rPr>
                      <w:rFonts w:ascii="Arial" w:hAnsi="Arial" w:cs="Arial"/>
                    </w:rPr>
                    <w:t>93</w:t>
                  </w:r>
                  <w:r w:rsidRPr="00C12E97">
                    <w:rPr>
                      <w:rFonts w:ascii="Arial" w:hAnsi="Arial" w:cs="Arial"/>
                    </w:rPr>
                    <w:t xml:space="preserve"> </w:t>
                  </w:r>
                  <w:r w:rsidR="00A85C56">
                    <w:rPr>
                      <w:rFonts w:ascii="Arial" w:hAnsi="Arial" w:cs="Arial"/>
                    </w:rPr>
                    <w:t>294</w:t>
                  </w:r>
                </w:p>
              </w:tc>
              <w:tc>
                <w:tcPr>
                  <w:tcW w:w="882" w:type="pct"/>
                </w:tcPr>
                <w:p w14:paraId="592C8BF4" w14:textId="5E082703" w:rsidR="00271556" w:rsidRPr="00C12E97" w:rsidRDefault="00271556" w:rsidP="00271556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60 000 000</w:t>
                  </w:r>
                </w:p>
              </w:tc>
              <w:tc>
                <w:tcPr>
                  <w:tcW w:w="896" w:type="pct"/>
                  <w:vAlign w:val="center"/>
                </w:tcPr>
                <w:p w14:paraId="0812561D" w14:textId="163B07D7" w:rsidR="00271556" w:rsidRPr="00C12E97" w:rsidRDefault="00271556" w:rsidP="00271556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Pr="00C12E97">
                    <w:rPr>
                      <w:rFonts w:ascii="Arial" w:hAnsi="Arial" w:cs="Arial"/>
                    </w:rPr>
                    <w:t>9 </w:t>
                  </w:r>
                  <w:r w:rsidR="00A85C56">
                    <w:rPr>
                      <w:rFonts w:ascii="Arial" w:hAnsi="Arial" w:cs="Arial"/>
                    </w:rPr>
                    <w:t>8</w:t>
                  </w:r>
                  <w:r w:rsidR="006D4779">
                    <w:rPr>
                      <w:rFonts w:ascii="Arial" w:hAnsi="Arial" w:cs="Arial"/>
                    </w:rPr>
                    <w:t>93</w:t>
                  </w:r>
                  <w:r w:rsidRPr="00C12E97">
                    <w:rPr>
                      <w:rFonts w:ascii="Arial" w:hAnsi="Arial" w:cs="Arial"/>
                    </w:rPr>
                    <w:t xml:space="preserve"> </w:t>
                  </w:r>
                  <w:r w:rsidR="00A85C56">
                    <w:rPr>
                      <w:rFonts w:ascii="Arial" w:hAnsi="Arial" w:cs="Arial"/>
                    </w:rPr>
                    <w:t>294</w:t>
                  </w:r>
                </w:p>
              </w:tc>
            </w:tr>
          </w:tbl>
          <w:p w14:paraId="09AD548C" w14:textId="0E181039" w:rsidR="008261B8" w:rsidRDefault="008261B8" w:rsidP="00DF72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9BD3E9C" w14:textId="77777777" w:rsidR="00AA77D0" w:rsidRDefault="00AA77D0"/>
    <w:p w14:paraId="66A22028" w14:textId="77777777"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Plánovaný harmonogram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61B8" w14:paraId="64927ECF" w14:textId="77777777" w:rsidTr="009878C0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7CA3" w14:textId="3FF3C8A4" w:rsidR="008261B8" w:rsidRPr="00C12E97" w:rsidRDefault="00866E1C" w:rsidP="009878C0">
            <w:pPr>
              <w:jc w:val="both"/>
              <w:rPr>
                <w:rFonts w:ascii="Arial" w:hAnsi="Arial" w:cs="Arial"/>
                <w:b/>
              </w:rPr>
            </w:pPr>
            <w:r w:rsidRPr="00C12E97">
              <w:rPr>
                <w:rFonts w:ascii="Arial" w:hAnsi="Arial" w:cs="Arial"/>
                <w:b/>
              </w:rPr>
              <w:t>Rámcový harmonogram projektu</w:t>
            </w:r>
          </w:p>
        </w:tc>
      </w:tr>
      <w:tr w:rsidR="008261B8" w14:paraId="221F88E3" w14:textId="77777777" w:rsidTr="00B17950">
        <w:trPr>
          <w:trHeight w:val="164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866E1C" w:rsidRPr="00C12E97" w14:paraId="7FAB8EE1" w14:textId="77777777" w:rsidTr="00866E1C">
              <w:tc>
                <w:tcPr>
                  <w:tcW w:w="4418" w:type="dxa"/>
                </w:tcPr>
                <w:p w14:paraId="563C52E9" w14:textId="67EF6523" w:rsidR="00866E1C" w:rsidRPr="00C12E97" w:rsidRDefault="00866E1C" w:rsidP="00866E1C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</w:rPr>
                  </w:pPr>
                  <w:r w:rsidRPr="00C12E97">
                    <w:rPr>
                      <w:rFonts w:ascii="Arial" w:hAnsi="Arial" w:cs="Arial"/>
                      <w:b/>
                    </w:rPr>
                    <w:t>Aktivita</w:t>
                  </w:r>
                </w:p>
              </w:tc>
              <w:tc>
                <w:tcPr>
                  <w:tcW w:w="4418" w:type="dxa"/>
                </w:tcPr>
                <w:p w14:paraId="63459680" w14:textId="0F6412EA" w:rsidR="00866E1C" w:rsidRPr="00C12E97" w:rsidRDefault="00866E1C" w:rsidP="00866E1C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</w:rPr>
                  </w:pPr>
                  <w:r w:rsidRPr="00C12E97">
                    <w:rPr>
                      <w:rFonts w:ascii="Arial" w:hAnsi="Arial" w:cs="Arial"/>
                      <w:b/>
                    </w:rPr>
                    <w:t>Rámcový termín</w:t>
                  </w:r>
                </w:p>
              </w:tc>
            </w:tr>
            <w:tr w:rsidR="00866E1C" w:rsidRPr="00C12E97" w14:paraId="1B2B8A7E" w14:textId="77777777" w:rsidTr="00866E1C">
              <w:tc>
                <w:tcPr>
                  <w:tcW w:w="4418" w:type="dxa"/>
                </w:tcPr>
                <w:p w14:paraId="73953A88" w14:textId="78B8BCD8" w:rsidR="00866E1C" w:rsidRPr="00C12E97" w:rsidRDefault="00866E1C" w:rsidP="00866E1C">
                  <w:pPr>
                    <w:spacing w:before="60" w:after="60"/>
                    <w:jc w:val="both"/>
                    <w:rPr>
                      <w:rFonts w:ascii="Arial" w:hAnsi="Arial" w:cs="Arial"/>
                    </w:rPr>
                  </w:pPr>
                  <w:r w:rsidRPr="00C12E97">
                    <w:rPr>
                      <w:rFonts w:ascii="Arial" w:hAnsi="Arial" w:cs="Arial"/>
                    </w:rPr>
                    <w:t>Rozhodnutí o poskytnutí dotace</w:t>
                  </w:r>
                </w:p>
              </w:tc>
              <w:tc>
                <w:tcPr>
                  <w:tcW w:w="4418" w:type="dxa"/>
                  <w:vAlign w:val="center"/>
                </w:tcPr>
                <w:p w14:paraId="3EF369B8" w14:textId="482F8408" w:rsidR="00866E1C" w:rsidRPr="00A95416" w:rsidRDefault="00A95416" w:rsidP="00866E1C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A95416">
                    <w:rPr>
                      <w:rFonts w:ascii="Arial" w:hAnsi="Arial" w:cs="Arial"/>
                    </w:rPr>
                    <w:t>06</w:t>
                  </w:r>
                  <w:r w:rsidR="00866E1C" w:rsidRPr="00A95416">
                    <w:rPr>
                      <w:rFonts w:ascii="Arial" w:hAnsi="Arial" w:cs="Arial"/>
                    </w:rPr>
                    <w:t>/2021</w:t>
                  </w:r>
                </w:p>
              </w:tc>
            </w:tr>
            <w:tr w:rsidR="00866E1C" w:rsidRPr="00C12E97" w14:paraId="7276B8A0" w14:textId="77777777" w:rsidTr="00866E1C">
              <w:tc>
                <w:tcPr>
                  <w:tcW w:w="4418" w:type="dxa"/>
                </w:tcPr>
                <w:p w14:paraId="706CC4A9" w14:textId="009281D6" w:rsidR="00866E1C" w:rsidRPr="00C12E97" w:rsidRDefault="00866E1C" w:rsidP="00866E1C">
                  <w:pPr>
                    <w:spacing w:before="60" w:after="60"/>
                    <w:jc w:val="both"/>
                    <w:rPr>
                      <w:rFonts w:ascii="Arial" w:hAnsi="Arial" w:cs="Arial"/>
                    </w:rPr>
                  </w:pPr>
                  <w:r w:rsidRPr="00C12E97">
                    <w:rPr>
                      <w:rFonts w:ascii="Arial" w:hAnsi="Arial" w:cs="Arial"/>
                    </w:rPr>
                    <w:t>Realizace plánovaných veřejných zakázek</w:t>
                  </w:r>
                </w:p>
              </w:tc>
              <w:tc>
                <w:tcPr>
                  <w:tcW w:w="4418" w:type="dxa"/>
                  <w:vAlign w:val="center"/>
                </w:tcPr>
                <w:p w14:paraId="17C16CC6" w14:textId="5DD16BB4" w:rsidR="00866E1C" w:rsidRPr="00A95416" w:rsidRDefault="00A95416" w:rsidP="00866E1C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A95416">
                    <w:rPr>
                      <w:rFonts w:ascii="Arial" w:hAnsi="Arial" w:cs="Arial"/>
                    </w:rPr>
                    <w:t>06</w:t>
                  </w:r>
                  <w:r w:rsidR="00866E1C" w:rsidRPr="00A95416">
                    <w:rPr>
                      <w:rFonts w:ascii="Arial" w:hAnsi="Arial" w:cs="Arial"/>
                    </w:rPr>
                    <w:t>/2021 – 10/2022</w:t>
                  </w:r>
                </w:p>
              </w:tc>
            </w:tr>
            <w:tr w:rsidR="00866E1C" w:rsidRPr="00C12E97" w14:paraId="38E1B3B6" w14:textId="77777777" w:rsidTr="00866E1C">
              <w:tc>
                <w:tcPr>
                  <w:tcW w:w="4418" w:type="dxa"/>
                </w:tcPr>
                <w:p w14:paraId="4F95C404" w14:textId="0786935F" w:rsidR="00866E1C" w:rsidRPr="00C12E97" w:rsidRDefault="00866E1C" w:rsidP="00866E1C">
                  <w:pPr>
                    <w:spacing w:before="60" w:after="60"/>
                    <w:jc w:val="both"/>
                    <w:rPr>
                      <w:rFonts w:ascii="Arial" w:hAnsi="Arial" w:cs="Arial"/>
                    </w:rPr>
                  </w:pPr>
                  <w:r w:rsidRPr="00C12E97">
                    <w:rPr>
                      <w:rFonts w:ascii="Arial" w:hAnsi="Arial" w:cs="Arial"/>
                    </w:rPr>
                    <w:t>Dodávka a instalace přístrojové techniky</w:t>
                  </w:r>
                </w:p>
              </w:tc>
              <w:tc>
                <w:tcPr>
                  <w:tcW w:w="4418" w:type="dxa"/>
                  <w:vAlign w:val="center"/>
                </w:tcPr>
                <w:p w14:paraId="3F8DAAE4" w14:textId="43AB060C" w:rsidR="00866E1C" w:rsidRPr="00A95416" w:rsidRDefault="00A95416" w:rsidP="00866E1C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A95416">
                    <w:rPr>
                      <w:rFonts w:ascii="Arial" w:hAnsi="Arial" w:cs="Arial"/>
                    </w:rPr>
                    <w:t>06</w:t>
                  </w:r>
                  <w:r w:rsidR="00866E1C" w:rsidRPr="00A95416">
                    <w:rPr>
                      <w:rFonts w:ascii="Arial" w:hAnsi="Arial" w:cs="Arial"/>
                    </w:rPr>
                    <w:t>/2021 – 1</w:t>
                  </w:r>
                  <w:r w:rsidR="00D40414">
                    <w:rPr>
                      <w:rFonts w:ascii="Arial" w:hAnsi="Arial" w:cs="Arial"/>
                    </w:rPr>
                    <w:t>2</w:t>
                  </w:r>
                  <w:r w:rsidR="00866E1C" w:rsidRPr="00A95416">
                    <w:rPr>
                      <w:rFonts w:ascii="Arial" w:hAnsi="Arial" w:cs="Arial"/>
                    </w:rPr>
                    <w:t>/2022</w:t>
                  </w:r>
                </w:p>
              </w:tc>
            </w:tr>
            <w:tr w:rsidR="00866E1C" w:rsidRPr="00C12E97" w14:paraId="75D8A41B" w14:textId="77777777" w:rsidTr="00866E1C">
              <w:tc>
                <w:tcPr>
                  <w:tcW w:w="4418" w:type="dxa"/>
                </w:tcPr>
                <w:p w14:paraId="18E3D115" w14:textId="4223B5B2" w:rsidR="00866E1C" w:rsidRPr="00C12E97" w:rsidRDefault="00866E1C" w:rsidP="00866E1C">
                  <w:pPr>
                    <w:spacing w:before="60" w:after="60"/>
                    <w:jc w:val="both"/>
                    <w:rPr>
                      <w:rFonts w:ascii="Arial" w:hAnsi="Arial" w:cs="Arial"/>
                    </w:rPr>
                  </w:pPr>
                  <w:r w:rsidRPr="00C12E97">
                    <w:rPr>
                      <w:rFonts w:ascii="Arial" w:hAnsi="Arial" w:cs="Arial"/>
                    </w:rPr>
                    <w:t>Dokončení stavebních úprav</w:t>
                  </w:r>
                </w:p>
              </w:tc>
              <w:tc>
                <w:tcPr>
                  <w:tcW w:w="4418" w:type="dxa"/>
                  <w:vAlign w:val="center"/>
                </w:tcPr>
                <w:p w14:paraId="76D8CA5F" w14:textId="6CC05E97" w:rsidR="00866E1C" w:rsidRPr="00A95416" w:rsidRDefault="00CE5C16" w:rsidP="00866E1C">
                  <w:pPr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  <w:r w:rsidR="00866E1C" w:rsidRPr="00A95416">
                    <w:rPr>
                      <w:rFonts w:ascii="Arial" w:hAnsi="Arial" w:cs="Arial"/>
                    </w:rPr>
                    <w:t>/2022</w:t>
                  </w:r>
                </w:p>
              </w:tc>
            </w:tr>
          </w:tbl>
          <w:p w14:paraId="6317C64E" w14:textId="06650B28" w:rsidR="008261B8" w:rsidRPr="00C12E97" w:rsidRDefault="008261B8" w:rsidP="009878C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ED32B2E" w14:textId="6F343938" w:rsidR="008261B8" w:rsidRDefault="008261B8"/>
    <w:p w14:paraId="4184187F" w14:textId="03ACA36C" w:rsidR="00F82EB7" w:rsidRDefault="00F82EB7"/>
    <w:p w14:paraId="11060D33" w14:textId="583D85D1" w:rsidR="00F82EB7" w:rsidRDefault="00F82EB7"/>
    <w:p w14:paraId="4B439557" w14:textId="7AC51274" w:rsidR="00636CA4" w:rsidRDefault="00636CA4"/>
    <w:p w14:paraId="7561E2E6" w14:textId="474A8E03" w:rsidR="00636CA4" w:rsidRDefault="00636CA4"/>
    <w:p w14:paraId="1236D7B1" w14:textId="77777777" w:rsidR="00636CA4" w:rsidRDefault="00636CA4"/>
    <w:p w14:paraId="01750709" w14:textId="019B9A4C" w:rsidR="00F82EB7" w:rsidRDefault="00F82EB7"/>
    <w:p w14:paraId="497B07AA" w14:textId="77777777" w:rsidR="00F82EB7" w:rsidRDefault="00F82EB7"/>
    <w:p w14:paraId="762C5ED2" w14:textId="683B85F0" w:rsidR="000B1C8F" w:rsidRPr="00584C65" w:rsidRDefault="007E758C" w:rsidP="000B1C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84C65">
        <w:rPr>
          <w:rFonts w:ascii="Times New Roman" w:hAnsi="Times New Roman"/>
          <w:b/>
          <w:sz w:val="24"/>
          <w:szCs w:val="24"/>
        </w:rPr>
        <w:t xml:space="preserve">Jak realizace projektu přispěje k posílení odolnosti </w:t>
      </w:r>
      <w:r w:rsidR="008B7CC7">
        <w:rPr>
          <w:rFonts w:ascii="Times New Roman" w:hAnsi="Times New Roman"/>
          <w:b/>
          <w:sz w:val="24"/>
          <w:szCs w:val="24"/>
        </w:rPr>
        <w:t xml:space="preserve">poskytovatele zdravotní péče </w:t>
      </w:r>
      <w:r w:rsidRPr="00584C65">
        <w:rPr>
          <w:rFonts w:ascii="Times New Roman" w:hAnsi="Times New Roman"/>
          <w:b/>
          <w:sz w:val="24"/>
          <w:szCs w:val="24"/>
        </w:rPr>
        <w:t xml:space="preserve">v souvislosti s pandemií </w:t>
      </w:r>
      <w:r w:rsidR="006B72E3">
        <w:rPr>
          <w:rFonts w:ascii="Times New Roman" w:hAnsi="Times New Roman"/>
          <w:b/>
          <w:sz w:val="24"/>
          <w:szCs w:val="24"/>
        </w:rPr>
        <w:t>C</w:t>
      </w:r>
      <w:r w:rsidRPr="00584C65">
        <w:rPr>
          <w:rFonts w:ascii="Times New Roman" w:hAnsi="Times New Roman"/>
          <w:b/>
          <w:sz w:val="24"/>
          <w:szCs w:val="24"/>
        </w:rPr>
        <w:t>ovid-19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B1C8F" w14:paraId="0E0EDE28" w14:textId="77777777" w:rsidTr="008D5574">
        <w:trPr>
          <w:trHeight w:val="19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84C2" w14:textId="397716D4" w:rsidR="00764595" w:rsidRDefault="00764595" w:rsidP="00764595">
            <w:pPr>
              <w:jc w:val="both"/>
              <w:rPr>
                <w:rFonts w:ascii="Arial" w:hAnsi="Arial" w:cs="Arial"/>
              </w:rPr>
            </w:pPr>
            <w:bookmarkStart w:id="1" w:name="_Hlk66448403"/>
            <w:r>
              <w:rPr>
                <w:rFonts w:ascii="Arial" w:hAnsi="Arial" w:cs="Arial"/>
              </w:rPr>
              <w:t xml:space="preserve">Pandemie </w:t>
            </w:r>
            <w:r w:rsidR="00E76C7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ovid-19 výrazně zvyšuje nároky na ambulantní a lůžkovou rehabilitační </w:t>
            </w:r>
            <w:r w:rsidR="00E76C77">
              <w:rPr>
                <w:rFonts w:ascii="Arial" w:hAnsi="Arial" w:cs="Arial"/>
              </w:rPr>
              <w:t>péči</w:t>
            </w:r>
            <w:r>
              <w:rPr>
                <w:rFonts w:ascii="Arial" w:hAnsi="Arial" w:cs="Arial"/>
              </w:rPr>
              <w:t xml:space="preserve"> ve Fakultní nemocnici Olomouc. </w:t>
            </w:r>
            <w:r w:rsidR="00F82EB7" w:rsidRPr="00F82EB7">
              <w:rPr>
                <w:rFonts w:ascii="Arial" w:hAnsi="Arial" w:cs="Arial"/>
              </w:rPr>
              <w:t xml:space="preserve">Současné zkušenosti ukazují, že u pacientů, kteří prodělali onemocnění </w:t>
            </w:r>
            <w:r w:rsidR="00E76C77">
              <w:rPr>
                <w:rFonts w:ascii="Arial" w:hAnsi="Arial" w:cs="Arial"/>
              </w:rPr>
              <w:t>C</w:t>
            </w:r>
            <w:r w:rsidR="00F82EB7" w:rsidRPr="00F82EB7">
              <w:rPr>
                <w:rFonts w:ascii="Arial" w:hAnsi="Arial" w:cs="Arial"/>
              </w:rPr>
              <w:t>ovid-19</w:t>
            </w:r>
            <w:r w:rsidR="002D2BFA">
              <w:rPr>
                <w:rFonts w:ascii="Arial" w:hAnsi="Arial" w:cs="Arial"/>
              </w:rPr>
              <w:t>,</w:t>
            </w:r>
            <w:r w:rsidR="00E76C77">
              <w:rPr>
                <w:rFonts w:ascii="Arial" w:hAnsi="Arial" w:cs="Arial"/>
              </w:rPr>
              <w:t xml:space="preserve"> několik měsíců</w:t>
            </w:r>
            <w:r w:rsidR="00F82EB7" w:rsidRPr="00F82EB7">
              <w:rPr>
                <w:rFonts w:ascii="Arial" w:hAnsi="Arial" w:cs="Arial"/>
              </w:rPr>
              <w:t xml:space="preserve"> přetrvávají dechové, ale i pohybové problémy</w:t>
            </w:r>
            <w:r w:rsidR="00E76C77">
              <w:rPr>
                <w:rFonts w:ascii="Arial" w:hAnsi="Arial" w:cs="Arial"/>
              </w:rPr>
              <w:t>.</w:t>
            </w:r>
            <w:r w:rsidR="00F82EB7" w:rsidRPr="00764595">
              <w:rPr>
                <w:rFonts w:ascii="Arial" w:hAnsi="Arial" w:cs="Arial"/>
                <w:strike/>
              </w:rPr>
              <w:t xml:space="preserve"> </w:t>
            </w:r>
            <w:r>
              <w:rPr>
                <w:rFonts w:ascii="Arial" w:hAnsi="Arial" w:cs="Arial"/>
              </w:rPr>
              <w:t>V </w:t>
            </w:r>
            <w:r w:rsidR="00F82EB7">
              <w:rPr>
                <w:rFonts w:ascii="Arial" w:hAnsi="Arial" w:cs="Arial"/>
              </w:rPr>
              <w:t>poslední</w:t>
            </w:r>
            <w:r>
              <w:rPr>
                <w:rFonts w:ascii="Arial" w:hAnsi="Arial" w:cs="Arial"/>
              </w:rPr>
              <w:t xml:space="preserve"> době výrazně narůstá počet pacientů s tzv. „post-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 xml:space="preserve">“ syndromem v návaznosti na léčbu </w:t>
            </w:r>
            <w:r w:rsidR="00E76C77">
              <w:rPr>
                <w:rFonts w:ascii="Arial" w:hAnsi="Arial" w:cs="Arial"/>
              </w:rPr>
              <w:t>těžšího</w:t>
            </w:r>
            <w:r>
              <w:rPr>
                <w:rFonts w:ascii="Arial" w:hAnsi="Arial" w:cs="Arial"/>
              </w:rPr>
              <w:t xml:space="preserve"> průběh</w:t>
            </w:r>
            <w:r w:rsidR="00E76C77">
              <w:rPr>
                <w:rFonts w:ascii="Arial" w:hAnsi="Arial" w:cs="Arial"/>
              </w:rPr>
              <w:t xml:space="preserve">u </w:t>
            </w:r>
            <w:r>
              <w:rPr>
                <w:rFonts w:ascii="Arial" w:hAnsi="Arial" w:cs="Arial"/>
              </w:rPr>
              <w:t>onemocnění</w:t>
            </w:r>
            <w:r w:rsidR="00E76C77">
              <w:rPr>
                <w:rFonts w:ascii="Arial" w:hAnsi="Arial" w:cs="Arial"/>
              </w:rPr>
              <w:t>, přičemž</w:t>
            </w:r>
            <w:r>
              <w:rPr>
                <w:rFonts w:ascii="Arial" w:hAnsi="Arial" w:cs="Arial"/>
              </w:rPr>
              <w:t xml:space="preserve"> věkový průměr pacientů s těžším průběhem onemocnění postupuje razantně směrem k mladším ročníkům. Oddělení rehabilitace FNOL poskytuje akutní rehabilitační péči přímo na infekčních odděleních FNOL k tomu určených a ihned po stabilizaci a prohlášení pacienta za neinfekčního</w:t>
            </w:r>
            <w:r w:rsidR="00E76C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 „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 xml:space="preserve"> oddělení“ jsou pacienti předáváni na Oddělení rehabilitace v režimu „Non-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 xml:space="preserve">“. </w:t>
            </w:r>
          </w:p>
          <w:p w14:paraId="2CF2DD61" w14:textId="058639FE" w:rsidR="00B71AE0" w:rsidRDefault="006E5A82" w:rsidP="00B71AE0">
            <w:pPr>
              <w:jc w:val="both"/>
              <w:rPr>
                <w:rFonts w:ascii="Arial" w:hAnsi="Arial" w:cs="Arial"/>
              </w:rPr>
            </w:pPr>
            <w:r w:rsidRPr="00B71AE0">
              <w:rPr>
                <w:rFonts w:ascii="Arial" w:hAnsi="Arial" w:cs="Arial"/>
              </w:rPr>
              <w:t xml:space="preserve">Oddělení rehabilitace </w:t>
            </w:r>
            <w:r w:rsidR="008D1AAC" w:rsidRPr="00B71AE0">
              <w:rPr>
                <w:rFonts w:ascii="Arial" w:hAnsi="Arial" w:cs="Arial"/>
              </w:rPr>
              <w:t xml:space="preserve">poskytuje péči </w:t>
            </w:r>
            <w:r w:rsidR="00F82EB7" w:rsidRPr="00B71AE0">
              <w:rPr>
                <w:rFonts w:ascii="Arial" w:hAnsi="Arial" w:cs="Arial"/>
              </w:rPr>
              <w:t xml:space="preserve">těžce postiženým pacientům nemocí </w:t>
            </w:r>
            <w:proofErr w:type="spellStart"/>
            <w:r w:rsidR="00F82EB7" w:rsidRPr="00B71AE0">
              <w:rPr>
                <w:rFonts w:ascii="Arial" w:hAnsi="Arial" w:cs="Arial"/>
              </w:rPr>
              <w:t>Covid</w:t>
            </w:r>
            <w:proofErr w:type="spellEnd"/>
            <w:r w:rsidR="00F82EB7" w:rsidRPr="00B71AE0">
              <w:rPr>
                <w:rFonts w:ascii="Arial" w:hAnsi="Arial" w:cs="Arial"/>
              </w:rPr>
              <w:t xml:space="preserve">–19 v rámci </w:t>
            </w:r>
            <w:r w:rsidRPr="00B71AE0">
              <w:rPr>
                <w:rFonts w:ascii="Arial" w:hAnsi="Arial" w:cs="Arial"/>
              </w:rPr>
              <w:t xml:space="preserve">celého </w:t>
            </w:r>
            <w:r w:rsidR="008D1AAC" w:rsidRPr="00B71AE0">
              <w:rPr>
                <w:rFonts w:ascii="Arial" w:hAnsi="Arial" w:cs="Arial"/>
              </w:rPr>
              <w:t>Olomouckého kraje. Pro udržení vysokého standardu poskytované péče je nezbytná dostupná moderní zdravotnická technika</w:t>
            </w:r>
            <w:r w:rsidR="00F82EB7" w:rsidRPr="00B71AE0">
              <w:rPr>
                <w:rFonts w:ascii="Arial" w:hAnsi="Arial" w:cs="Arial"/>
              </w:rPr>
              <w:t>.</w:t>
            </w:r>
            <w:r w:rsidR="00B71AE0" w:rsidRPr="00B71AE0">
              <w:rPr>
                <w:rFonts w:ascii="Arial" w:hAnsi="Arial" w:cs="Arial"/>
              </w:rPr>
              <w:t xml:space="preserve"> Modernizací přístrojového </w:t>
            </w:r>
            <w:r w:rsidR="00B71AE0">
              <w:rPr>
                <w:rFonts w:ascii="Arial" w:hAnsi="Arial" w:cs="Arial"/>
              </w:rPr>
              <w:t xml:space="preserve">vybavení zvýšíme kvalitu poskytované péče, zvýšíme šance na přežití, dojde ke snížení komplikací a následnému zařazení člověka zpět do společnosti. Výrazně eliminujeme nežádoucí účinky nemoci Covid-19 a </w:t>
            </w:r>
            <w:proofErr w:type="spellStart"/>
            <w:r w:rsidR="00B71AE0">
              <w:rPr>
                <w:rFonts w:ascii="Arial" w:hAnsi="Arial" w:cs="Arial"/>
              </w:rPr>
              <w:t>sniž</w:t>
            </w:r>
            <w:r w:rsidR="0058119B">
              <w:rPr>
                <w:rFonts w:ascii="Arial" w:hAnsi="Arial" w:cs="Arial"/>
              </w:rPr>
              <w:t>íme</w:t>
            </w:r>
            <w:proofErr w:type="spellEnd"/>
            <w:r w:rsidR="00B71AE0">
              <w:rPr>
                <w:rFonts w:ascii="Arial" w:hAnsi="Arial" w:cs="Arial"/>
              </w:rPr>
              <w:t xml:space="preserve"> rizika chronických komplikací jako například plicní fibrózy, nevratného poškození a atrofie svalové tkáně, či nervové soustavy. </w:t>
            </w:r>
          </w:p>
          <w:p w14:paraId="421318FE" w14:textId="0E30D5A9" w:rsidR="00764595" w:rsidRDefault="00764595" w:rsidP="007645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Realizace projektu nám pomůže zvýšit účinnost terapie, což povede k zefektivnění léčby jak</w:t>
            </w:r>
            <w:r w:rsidR="00E76C77">
              <w:rPr>
                <w:rFonts w:ascii="Arial" w:hAnsi="Arial" w:cs="Arial"/>
              </w:rPr>
              <w:t xml:space="preserve"> na Oddělení rehabilitace, tak</w:t>
            </w:r>
            <w:r>
              <w:rPr>
                <w:rFonts w:ascii="Arial" w:hAnsi="Arial" w:cs="Arial"/>
              </w:rPr>
              <w:t xml:space="preserve"> v celé nemocnici</w:t>
            </w:r>
            <w:r w:rsidR="00E76C77">
              <w:rPr>
                <w:rFonts w:ascii="Arial" w:hAnsi="Arial" w:cs="Arial"/>
              </w:rPr>
              <w:t>.</w:t>
            </w:r>
            <w:r w:rsidR="00770753">
              <w:rPr>
                <w:rFonts w:ascii="Arial" w:hAnsi="Arial" w:cs="Arial"/>
              </w:rPr>
              <w:t xml:space="preserve"> Projekt přispěje </w:t>
            </w:r>
            <w:r w:rsidR="00E76C77">
              <w:rPr>
                <w:rFonts w:ascii="Arial" w:hAnsi="Arial" w:cs="Arial"/>
              </w:rPr>
              <w:t>ke</w:t>
            </w:r>
            <w:r>
              <w:rPr>
                <w:rFonts w:ascii="Arial" w:hAnsi="Arial" w:cs="Arial"/>
              </w:rPr>
              <w:t xml:space="preserve"> zvýšení kapacit pro pacientky a pacienty s „post-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 xml:space="preserve">“ syndromem. Zvláště se jedná o pacienty s </w:t>
            </w:r>
            <w:proofErr w:type="spellStart"/>
            <w:r>
              <w:rPr>
                <w:rFonts w:ascii="Arial" w:hAnsi="Arial" w:cs="Arial"/>
              </w:rPr>
              <w:t>pozátěžovými</w:t>
            </w:r>
            <w:proofErr w:type="spellEnd"/>
            <w:r>
              <w:rPr>
                <w:rFonts w:ascii="Arial" w:hAnsi="Arial" w:cs="Arial"/>
              </w:rPr>
              <w:t xml:space="preserve"> dušnostmi, neuropatií kriticky nemocných, svalovou nedostatečností, což vede k výraznému snížení </w:t>
            </w:r>
            <w:proofErr w:type="spellStart"/>
            <w:r>
              <w:rPr>
                <w:rFonts w:ascii="Arial" w:hAnsi="Arial" w:cs="Arial"/>
              </w:rPr>
              <w:t>posturolokomočních</w:t>
            </w:r>
            <w:proofErr w:type="spellEnd"/>
            <w:r>
              <w:rPr>
                <w:rFonts w:ascii="Arial" w:hAnsi="Arial" w:cs="Arial"/>
              </w:rPr>
              <w:t xml:space="preserve"> funkcí. </w:t>
            </w:r>
          </w:p>
          <w:p w14:paraId="1A3DC304" w14:textId="413FD83C" w:rsidR="00764595" w:rsidRDefault="00764595" w:rsidP="00764595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Budeme </w:t>
            </w:r>
            <w:r w:rsidR="00770753">
              <w:rPr>
                <w:rFonts w:ascii="Arial" w:hAnsi="Arial" w:cs="Arial"/>
              </w:rPr>
              <w:t xml:space="preserve">tak </w:t>
            </w:r>
            <w:r>
              <w:rPr>
                <w:rFonts w:ascii="Arial" w:hAnsi="Arial" w:cs="Arial"/>
              </w:rPr>
              <w:t xml:space="preserve">schopni výrazně přispět k dřívějšímu návratu pacienta </w:t>
            </w:r>
            <w:r w:rsidR="0058119B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 xml:space="preserve"> jeho plnohodnotnému životu. Vzhledem k nynějším statistikám, které ukazují na snižující se věk kriticky nemocných, to povede i k návratu pacientů v produktivním věku. </w:t>
            </w:r>
          </w:p>
          <w:p w14:paraId="6FDC608C" w14:textId="77777777" w:rsidR="00F82EB7" w:rsidRPr="00F82EB7" w:rsidRDefault="00F82EB7" w:rsidP="00F82EB7">
            <w:pPr>
              <w:jc w:val="both"/>
              <w:rPr>
                <w:rFonts w:ascii="Arial" w:hAnsi="Arial" w:cs="Arial"/>
              </w:rPr>
            </w:pPr>
            <w:r w:rsidRPr="00F82EB7">
              <w:rPr>
                <w:rFonts w:ascii="Arial" w:hAnsi="Arial" w:cs="Arial"/>
              </w:rPr>
              <w:t xml:space="preserve">Pořízení nové zdravotní techniky a realizace stavebních úprav dle tohoto projektu umožní využít značný lidský potenciál, jakým FN Olomouc disponuje. Zvýší se tak schopnost nemocnice mít flexibilní infrastrukturu s náležitým přístrojovým vybavením a lépe reagovat na krizové situace s pandemickým potenciálem. </w:t>
            </w:r>
          </w:p>
          <w:bookmarkEnd w:id="1"/>
          <w:p w14:paraId="034520FB" w14:textId="21F3C38B" w:rsidR="00764595" w:rsidRPr="008D5574" w:rsidRDefault="00764595" w:rsidP="009878C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F237D29" w14:textId="7C781A2C" w:rsidR="00CC336D" w:rsidRDefault="00CC336D"/>
    <w:p w14:paraId="2691179A" w14:textId="27432E1D" w:rsidR="00454EF3" w:rsidRDefault="00454EF3"/>
    <w:p w14:paraId="574CC6BB" w14:textId="3770D69D" w:rsidR="00454EF3" w:rsidRDefault="00454EF3"/>
    <w:p w14:paraId="7EE62756" w14:textId="5E801A6E" w:rsidR="00454EF3" w:rsidRDefault="00454EF3"/>
    <w:p w14:paraId="7382E877" w14:textId="001D1CC3" w:rsidR="00454EF3" w:rsidRDefault="00454EF3"/>
    <w:p w14:paraId="77E51E4F" w14:textId="77777777" w:rsidR="00454EF3" w:rsidRDefault="00454EF3"/>
    <w:p w14:paraId="40B71764" w14:textId="77777777" w:rsidR="00D87957" w:rsidRDefault="00D87957"/>
    <w:p w14:paraId="6F85664F" w14:textId="77777777" w:rsidR="008261B8" w:rsidRPr="0097602E" w:rsidRDefault="007E758C" w:rsidP="000342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2" w:name="OLE_LINK1"/>
      <w:bookmarkStart w:id="3" w:name="OLE_LINK2"/>
      <w:r w:rsidRPr="0097602E">
        <w:rPr>
          <w:rFonts w:ascii="Times New Roman" w:hAnsi="Times New Roman"/>
          <w:b/>
          <w:sz w:val="24"/>
          <w:szCs w:val="24"/>
        </w:rPr>
        <w:t xml:space="preserve">V případě stavebních projektů </w:t>
      </w:r>
      <w:r w:rsidR="002D0934" w:rsidRPr="0097602E">
        <w:rPr>
          <w:rFonts w:ascii="Times New Roman" w:hAnsi="Times New Roman"/>
          <w:b/>
          <w:sz w:val="24"/>
          <w:szCs w:val="24"/>
        </w:rPr>
        <w:t xml:space="preserve">– </w:t>
      </w:r>
      <w:r w:rsidRPr="0097602E">
        <w:rPr>
          <w:rFonts w:ascii="Times New Roman" w:hAnsi="Times New Roman"/>
          <w:b/>
          <w:sz w:val="24"/>
          <w:szCs w:val="24"/>
        </w:rPr>
        <w:t>informace o stavu rozpracovanosti</w:t>
      </w:r>
      <w:r w:rsidR="00157E96" w:rsidRPr="0097602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178"/>
      </w:tblGrid>
      <w:tr w:rsidR="00B17950" w14:paraId="63CED0EC" w14:textId="77777777" w:rsidTr="00BE6E22">
        <w:trPr>
          <w:trHeight w:val="4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bookmarkEnd w:id="2"/>
          <w:bookmarkEnd w:id="3"/>
          <w:p w14:paraId="4532EFA3" w14:textId="77777777" w:rsidR="00B17950" w:rsidRPr="00B17950" w:rsidRDefault="00B17950" w:rsidP="00BE6E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Název akce: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0E5D" w14:textId="120A0D5C" w:rsidR="000342B9" w:rsidRPr="000342B9" w:rsidRDefault="00BE6E22" w:rsidP="00BE6E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STAVEBNÍ ÚPRAVY OBJEKTU D – ÚNIKOVÉ CESTY</w:t>
            </w:r>
          </w:p>
          <w:p w14:paraId="3ED3F0EF" w14:textId="77777777" w:rsidR="00B17950" w:rsidRDefault="00B17950" w:rsidP="00BE6E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7950" w14:paraId="12C1DB85" w14:textId="77777777" w:rsidTr="00BE6E22">
        <w:trPr>
          <w:trHeight w:val="4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031CE3F" w14:textId="77777777" w:rsidR="00B17950" w:rsidRPr="00B17950" w:rsidRDefault="00B17950" w:rsidP="00BE6E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6650" w14:textId="77777777" w:rsidR="00BE6E22" w:rsidRPr="00A67CC5" w:rsidRDefault="00BE6E22" w:rsidP="00BE6E22">
            <w:pPr>
              <w:jc w:val="both"/>
              <w:rPr>
                <w:rFonts w:ascii="Arial" w:hAnsi="Arial" w:cs="Arial"/>
              </w:rPr>
            </w:pPr>
            <w:r w:rsidRPr="00A67CC5">
              <w:rPr>
                <w:rFonts w:ascii="Arial" w:hAnsi="Arial" w:cs="Arial"/>
              </w:rPr>
              <w:t>Vlastnické právo – Česká republika</w:t>
            </w:r>
          </w:p>
          <w:p w14:paraId="6969968F" w14:textId="204BECEC" w:rsidR="00B17950" w:rsidRPr="00A67CC5" w:rsidRDefault="00BE6E22" w:rsidP="00BE6E22">
            <w:pPr>
              <w:jc w:val="both"/>
              <w:rPr>
                <w:rFonts w:ascii="Arial" w:hAnsi="Arial" w:cs="Arial"/>
              </w:rPr>
            </w:pPr>
            <w:r w:rsidRPr="00A67CC5">
              <w:rPr>
                <w:rFonts w:ascii="Arial" w:hAnsi="Arial" w:cs="Arial"/>
              </w:rPr>
              <w:t>Příslušnost hospodařit s majetkem státu – FN Olomouc</w:t>
            </w:r>
          </w:p>
        </w:tc>
      </w:tr>
      <w:tr w:rsidR="00B17950" w14:paraId="452433E1" w14:textId="77777777" w:rsidTr="00BE6E22">
        <w:trPr>
          <w:trHeight w:val="54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320F428D" w14:textId="77777777" w:rsidR="00B17950" w:rsidRPr="00B17950" w:rsidRDefault="00B17950" w:rsidP="00BE6E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stavebního pozemku:</w:t>
            </w:r>
          </w:p>
          <w:p w14:paraId="0E78EEC5" w14:textId="77777777" w:rsidR="00B17950" w:rsidRPr="00B17950" w:rsidRDefault="00B17950" w:rsidP="00BE6E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forma: nájemní smlouva</w:t>
            </w:r>
            <w:r w:rsidR="00176A44">
              <w:rPr>
                <w:rFonts w:ascii="Times New Roman" w:hAnsi="Times New Roman"/>
                <w:sz w:val="24"/>
                <w:szCs w:val="24"/>
              </w:rPr>
              <w:t>,</w:t>
            </w:r>
            <w:r w:rsidRPr="00B17950">
              <w:rPr>
                <w:rFonts w:ascii="Times New Roman" w:hAnsi="Times New Roman"/>
                <w:sz w:val="24"/>
                <w:szCs w:val="24"/>
              </w:rPr>
              <w:t xml:space="preserve"> výpůjčka apod., platnost do roku …)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B1CF" w14:textId="77777777" w:rsidR="00BE6E22" w:rsidRPr="00A67CC5" w:rsidRDefault="00BE6E22" w:rsidP="00BE6E22">
            <w:pPr>
              <w:jc w:val="both"/>
              <w:rPr>
                <w:rFonts w:ascii="Arial" w:hAnsi="Arial" w:cs="Arial"/>
              </w:rPr>
            </w:pPr>
            <w:r w:rsidRPr="00A67CC5">
              <w:rPr>
                <w:rFonts w:ascii="Arial" w:hAnsi="Arial" w:cs="Arial"/>
              </w:rPr>
              <w:t>Vlastnické právo – Česká republika</w:t>
            </w:r>
          </w:p>
          <w:p w14:paraId="778F079E" w14:textId="065F964A" w:rsidR="00B17950" w:rsidRPr="00A67CC5" w:rsidRDefault="00BE6E22" w:rsidP="00BE6E22">
            <w:pPr>
              <w:spacing w:after="0" w:line="240" w:lineRule="auto"/>
              <w:rPr>
                <w:rFonts w:ascii="Arial" w:hAnsi="Arial" w:cs="Arial"/>
              </w:rPr>
            </w:pPr>
            <w:r w:rsidRPr="00A67CC5">
              <w:rPr>
                <w:rFonts w:ascii="Arial" w:hAnsi="Arial" w:cs="Arial"/>
              </w:rPr>
              <w:t>Příslušnost hospodařit s majetkem státu – FN Olomouc</w:t>
            </w:r>
          </w:p>
        </w:tc>
      </w:tr>
      <w:tr w:rsidR="00B17950" w14:paraId="3AF9DC57" w14:textId="77777777" w:rsidTr="00BE6E22">
        <w:trPr>
          <w:trHeight w:val="53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18E725C4" w14:textId="77777777" w:rsidR="00B17950" w:rsidRPr="00B17950" w:rsidRDefault="00B17950" w:rsidP="00BE6E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 xml:space="preserve">Stavebně technická připravenost akce: </w:t>
            </w:r>
          </w:p>
          <w:p w14:paraId="76A0A0AC" w14:textId="77777777" w:rsidR="00B17950" w:rsidRPr="00B17950" w:rsidRDefault="00B17950" w:rsidP="00BE6E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studie, projekt, stavební řízení, výběrové řízení, smlouva o dílo)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9D6" w14:textId="68C892FB" w:rsidR="000342B9" w:rsidRPr="00A67CC5" w:rsidRDefault="00BE6E22" w:rsidP="00BE6E22">
            <w:pPr>
              <w:jc w:val="both"/>
              <w:rPr>
                <w:rFonts w:ascii="Arial" w:hAnsi="Arial" w:cs="Arial"/>
              </w:rPr>
            </w:pPr>
            <w:r w:rsidRPr="00A67CC5">
              <w:rPr>
                <w:rFonts w:ascii="Arial" w:hAnsi="Arial" w:cs="Arial"/>
              </w:rPr>
              <w:t>Probíhají stavební práce v souladu s uzavřenou smlouvou o dílo</w:t>
            </w:r>
            <w:r w:rsidR="00736891" w:rsidRPr="00A67CC5">
              <w:rPr>
                <w:rFonts w:ascii="Arial" w:hAnsi="Arial" w:cs="Arial"/>
              </w:rPr>
              <w:t xml:space="preserve"> a schválenou projektovou dokumentací.</w:t>
            </w:r>
          </w:p>
          <w:p w14:paraId="54577A40" w14:textId="3B487AFB" w:rsidR="00B17950" w:rsidRPr="00A67CC5" w:rsidRDefault="0035529E" w:rsidP="00BE6E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7CC5">
              <w:rPr>
                <w:rFonts w:ascii="Arial" w:hAnsi="Arial" w:cs="Arial"/>
              </w:rPr>
              <w:t xml:space="preserve"> </w:t>
            </w:r>
          </w:p>
        </w:tc>
      </w:tr>
      <w:tr w:rsidR="00B17950" w14:paraId="13D658D4" w14:textId="77777777" w:rsidTr="00BE6E22">
        <w:trPr>
          <w:trHeight w:val="6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1E86CF72" w14:textId="77777777" w:rsidR="00B17950" w:rsidRPr="00B17950" w:rsidRDefault="00B17950" w:rsidP="00BE6E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Harmonogram realizace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1A16" w14:textId="4E7C9DCB" w:rsidR="000342B9" w:rsidRPr="00A67CC5" w:rsidRDefault="00736891" w:rsidP="00BE6E22">
            <w:pPr>
              <w:jc w:val="both"/>
              <w:rPr>
                <w:rFonts w:ascii="Arial" w:hAnsi="Arial" w:cs="Arial"/>
              </w:rPr>
            </w:pPr>
            <w:r w:rsidRPr="00A67CC5">
              <w:rPr>
                <w:rFonts w:ascii="Arial" w:hAnsi="Arial" w:cs="Arial"/>
              </w:rPr>
              <w:t>Probíhají stavební práce, dokončení stavebních úprav 06/2022.</w:t>
            </w:r>
          </w:p>
          <w:p w14:paraId="54E29761" w14:textId="77777777" w:rsidR="00B17950" w:rsidRPr="00A67CC5" w:rsidRDefault="00B17950" w:rsidP="00BE6E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17950" w14:paraId="4C7D6B1F" w14:textId="77777777" w:rsidTr="00BE6E22">
        <w:trPr>
          <w:trHeight w:val="125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11A88C5" w14:textId="77777777" w:rsidR="00B17950" w:rsidRPr="00B17950" w:rsidRDefault="00B17950" w:rsidP="00BE6E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Stavební řízení: číslo</w:t>
            </w:r>
          </w:p>
          <w:p w14:paraId="11FDB98C" w14:textId="77777777" w:rsidR="00B17950" w:rsidRPr="00B17950" w:rsidRDefault="00B17950" w:rsidP="00BE6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(stavební povolení (SP), ohlášení stavby (OS), souhlas stavebního úřadu bez SP a OS atd.)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EA61" w14:textId="26738E97" w:rsidR="000342B9" w:rsidRPr="00A67CC5" w:rsidRDefault="005B5816" w:rsidP="00BE6E22">
            <w:pPr>
              <w:jc w:val="both"/>
              <w:rPr>
                <w:rFonts w:ascii="Arial" w:hAnsi="Arial" w:cs="Arial"/>
              </w:rPr>
            </w:pPr>
            <w:r w:rsidRPr="00A67CC5">
              <w:rPr>
                <w:rFonts w:ascii="Arial" w:hAnsi="Arial" w:cs="Arial"/>
              </w:rPr>
              <w:t xml:space="preserve">Bylo vydáno </w:t>
            </w:r>
            <w:r w:rsidR="00736891" w:rsidRPr="00A67CC5">
              <w:rPr>
                <w:rFonts w:ascii="Arial" w:hAnsi="Arial" w:cs="Arial"/>
              </w:rPr>
              <w:t>SP č.j. SMOL/223887/2020/OS/PS/</w:t>
            </w:r>
            <w:proofErr w:type="spellStart"/>
            <w:r w:rsidR="00736891" w:rsidRPr="00A67CC5">
              <w:rPr>
                <w:rFonts w:ascii="Arial" w:hAnsi="Arial" w:cs="Arial"/>
              </w:rPr>
              <w:t>Fil</w:t>
            </w:r>
            <w:proofErr w:type="spellEnd"/>
          </w:p>
          <w:p w14:paraId="70035FC1" w14:textId="77777777" w:rsidR="00B17950" w:rsidRPr="00A67CC5" w:rsidRDefault="00B17950" w:rsidP="00BE6E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F7AE3D3" w14:textId="1882D831" w:rsidR="00F7499D" w:rsidRDefault="00F7499D" w:rsidP="00157E96">
      <w:pPr>
        <w:jc w:val="both"/>
        <w:rPr>
          <w:rFonts w:ascii="Times New Roman" w:hAnsi="Times New Roman"/>
          <w:b/>
          <w:sz w:val="24"/>
          <w:szCs w:val="24"/>
        </w:rPr>
      </w:pPr>
    </w:p>
    <w:p w14:paraId="6EAC8EAA" w14:textId="77777777" w:rsidR="00F7499D" w:rsidRDefault="00F7499D" w:rsidP="00157E96">
      <w:pPr>
        <w:jc w:val="both"/>
        <w:rPr>
          <w:rFonts w:ascii="Times New Roman" w:hAnsi="Times New Roman"/>
          <w:b/>
          <w:sz w:val="24"/>
          <w:szCs w:val="24"/>
        </w:rPr>
      </w:pPr>
    </w:p>
    <w:p w14:paraId="028A7678" w14:textId="42831D36" w:rsidR="00157E96" w:rsidRPr="00157E96" w:rsidRDefault="00176A44" w:rsidP="00157E9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57E96">
        <w:rPr>
          <w:rFonts w:ascii="Times New Roman" w:hAnsi="Times New Roman"/>
          <w:b/>
          <w:sz w:val="24"/>
          <w:szCs w:val="24"/>
        </w:rPr>
        <w:t xml:space="preserve">V případě </w:t>
      </w:r>
      <w:r w:rsidR="002D0934" w:rsidRPr="00157E96">
        <w:rPr>
          <w:rFonts w:ascii="Times New Roman" w:hAnsi="Times New Roman"/>
          <w:b/>
          <w:sz w:val="24"/>
          <w:szCs w:val="24"/>
        </w:rPr>
        <w:t xml:space="preserve">projektů v rámci 99. výzvy – cílová skupina osoby s duševním onemocněním – doplňují informace k zaměření projektu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76A44" w:rsidRPr="00176A44" w14:paraId="64F9F43C" w14:textId="77777777" w:rsidTr="00D50134">
        <w:trPr>
          <w:trHeight w:val="39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DAEA" w14:textId="46754990" w:rsidR="00176A44" w:rsidRPr="00176A44" w:rsidRDefault="00D50134" w:rsidP="00176A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NERELEVANTNÍ</w:t>
            </w:r>
          </w:p>
        </w:tc>
      </w:tr>
    </w:tbl>
    <w:p w14:paraId="641B8899" w14:textId="77777777" w:rsidR="00B278B4" w:rsidRDefault="00B278B4">
      <w:pPr>
        <w:rPr>
          <w:rFonts w:ascii="Times New Roman" w:hAnsi="Times New Roman"/>
          <w:b/>
          <w:bCs/>
          <w:sz w:val="24"/>
          <w:szCs w:val="24"/>
        </w:rPr>
      </w:pPr>
    </w:p>
    <w:p w14:paraId="0F543784" w14:textId="77777777" w:rsidR="00176A44" w:rsidRDefault="00176A44">
      <w:pPr>
        <w:rPr>
          <w:rFonts w:ascii="Times New Roman" w:hAnsi="Times New Roman"/>
          <w:b/>
          <w:bCs/>
          <w:sz w:val="24"/>
          <w:szCs w:val="24"/>
        </w:rPr>
      </w:pPr>
    </w:p>
    <w:p w14:paraId="2CE285F1" w14:textId="77777777" w:rsidR="00B278B4" w:rsidRDefault="00B278B4">
      <w:pPr>
        <w:rPr>
          <w:rFonts w:ascii="Times New Roman" w:hAnsi="Times New Roman"/>
          <w:b/>
          <w:bCs/>
          <w:sz w:val="24"/>
          <w:szCs w:val="24"/>
        </w:rPr>
      </w:pPr>
    </w:p>
    <w:p w14:paraId="093930DE" w14:textId="77777777" w:rsidR="00B17950" w:rsidRDefault="00B17950" w:rsidP="00B179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</w:t>
      </w:r>
      <w:r w:rsidR="00157E96">
        <w:rPr>
          <w:rFonts w:ascii="Times New Roman" w:hAnsi="Times New Roman"/>
          <w:sz w:val="24"/>
          <w:szCs w:val="24"/>
        </w:rPr>
        <w:t xml:space="preserve"> Olomouci </w:t>
      </w:r>
      <w:r>
        <w:rPr>
          <w:rFonts w:ascii="Times New Roman" w:hAnsi="Times New Roman"/>
          <w:sz w:val="24"/>
          <w:szCs w:val="24"/>
        </w:rPr>
        <w:t>dne……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2145E9B" w14:textId="77777777" w:rsidR="00B17950" w:rsidRDefault="00B17950" w:rsidP="00B17950">
      <w:pPr>
        <w:ind w:left="566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……………………………</w:t>
      </w:r>
    </w:p>
    <w:p w14:paraId="127E55B9" w14:textId="77777777" w:rsidR="00B17950" w:rsidRPr="00B17950" w:rsidRDefault="00B17950" w:rsidP="00B17950">
      <w:pPr>
        <w:ind w:left="5664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Statutární zástupce</w:t>
      </w:r>
    </w:p>
    <w:sectPr w:rsidR="00B17950" w:rsidRPr="00B17950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9A5C6" w14:textId="77777777" w:rsidR="005143E7" w:rsidRDefault="005143E7" w:rsidP="000B1C8F">
      <w:pPr>
        <w:spacing w:after="0" w:line="240" w:lineRule="auto"/>
      </w:pPr>
      <w:r>
        <w:separator/>
      </w:r>
    </w:p>
  </w:endnote>
  <w:endnote w:type="continuationSeparator" w:id="0">
    <w:p w14:paraId="4043BF11" w14:textId="77777777" w:rsidR="005143E7" w:rsidRDefault="005143E7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2995012"/>
      <w:docPartObj>
        <w:docPartGallery w:val="Page Numbers (Bottom of Page)"/>
        <w:docPartUnique/>
      </w:docPartObj>
    </w:sdtPr>
    <w:sdtEndPr/>
    <w:sdtContent>
      <w:p w14:paraId="5C38D4C4" w14:textId="77777777" w:rsidR="000B1C8F" w:rsidRDefault="00474208">
        <w:pPr>
          <w:pStyle w:val="Zpat"/>
          <w:jc w:val="right"/>
        </w:pPr>
        <w:r>
          <w:fldChar w:fldCharType="begin"/>
        </w:r>
        <w:r w:rsidR="000B1C8F">
          <w:instrText>PAGE   \* MERGEFORMAT</w:instrText>
        </w:r>
        <w:r>
          <w:fldChar w:fldCharType="separate"/>
        </w:r>
        <w:r w:rsidR="00D87957">
          <w:rPr>
            <w:noProof/>
          </w:rPr>
          <w:t>4</w:t>
        </w:r>
        <w:r>
          <w:fldChar w:fldCharType="end"/>
        </w:r>
      </w:p>
    </w:sdtContent>
  </w:sdt>
  <w:p w14:paraId="0B474EBB" w14:textId="77777777" w:rsidR="000B1C8F" w:rsidRDefault="000B1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2E26C" w14:textId="77777777" w:rsidR="005143E7" w:rsidRDefault="005143E7" w:rsidP="000B1C8F">
      <w:pPr>
        <w:spacing w:after="0" w:line="240" w:lineRule="auto"/>
      </w:pPr>
      <w:r>
        <w:separator/>
      </w:r>
    </w:p>
  </w:footnote>
  <w:footnote w:type="continuationSeparator" w:id="0">
    <w:p w14:paraId="06817433" w14:textId="77777777" w:rsidR="005143E7" w:rsidRDefault="005143E7" w:rsidP="000B1C8F">
      <w:pPr>
        <w:spacing w:after="0" w:line="240" w:lineRule="auto"/>
      </w:pPr>
      <w:r>
        <w:continuationSeparator/>
      </w:r>
    </w:p>
  </w:footnote>
  <w:footnote w:id="1">
    <w:p w14:paraId="3D91FE29" w14:textId="77777777" w:rsidR="00157E96" w:rsidRDefault="00157E96" w:rsidP="00157E9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 výzvy č. 98: aktivita Urgentní příjem typu 1 / Urgentní příjem typu 2</w:t>
      </w:r>
    </w:p>
    <w:p w14:paraId="24D048A2" w14:textId="77777777" w:rsidR="00157E96" w:rsidRDefault="00157E96" w:rsidP="00157E96">
      <w:pPr>
        <w:pStyle w:val="Textpoznpodarou"/>
        <w:jc w:val="both"/>
      </w:pPr>
      <w:r>
        <w:tab/>
        <w:t xml:space="preserve">U výzvy č. 99: cílová skupina: </w:t>
      </w:r>
      <w:r w:rsidRPr="008B7CC7">
        <w:t>onkologičtí pacienti</w:t>
      </w:r>
      <w:r>
        <w:t xml:space="preserve"> / cílová skupina: </w:t>
      </w:r>
      <w:r w:rsidRPr="008B7CC7">
        <w:t>pacienti s kardiovaskulárními onemocněními</w:t>
      </w:r>
      <w:r>
        <w:t xml:space="preserve">/ cílová skupina: </w:t>
      </w:r>
      <w:r w:rsidRPr="008B7CC7">
        <w:t>pacienti se zvláště závažnou obezitou</w:t>
      </w:r>
      <w:r>
        <w:t xml:space="preserve"> / cílová skupina: </w:t>
      </w:r>
      <w:r w:rsidRPr="008B7CC7">
        <w:t>pacienti, jejichž zdravotní stav vyžaduje doléčení v lůžkovém zdravotnickém zařízení</w:t>
      </w:r>
      <w:r>
        <w:t xml:space="preserve"> / cílová skupina: </w:t>
      </w:r>
      <w:r w:rsidRPr="008B7CC7">
        <w:t>osoby s duševním onemocněním</w:t>
      </w:r>
    </w:p>
    <w:p w14:paraId="657F2B3E" w14:textId="77777777" w:rsidR="00157E96" w:rsidRDefault="00157E96" w:rsidP="00157E96">
      <w:pPr>
        <w:pStyle w:val="Textpoznpodarou"/>
        <w:jc w:val="both"/>
      </w:pPr>
      <w:r>
        <w:tab/>
        <w:t xml:space="preserve">U výzvy č. 100: aktivita Rozvoj laboratorních kapacit nemocnic / </w:t>
      </w:r>
      <w:r w:rsidRPr="008B7CC7">
        <w:t xml:space="preserve">Rozvoj </w:t>
      </w:r>
      <w:proofErr w:type="spellStart"/>
      <w:r w:rsidRPr="008B7CC7">
        <w:t>infektologických</w:t>
      </w:r>
      <w:proofErr w:type="spellEnd"/>
      <w:r w:rsidRPr="008B7CC7">
        <w:t xml:space="preserve"> pracovišť všeobecných nemocnic</w:t>
      </w:r>
    </w:p>
    <w:p w14:paraId="5AAAD2CC" w14:textId="77777777" w:rsidR="00157E96" w:rsidRPr="00700701" w:rsidRDefault="00157E96" w:rsidP="00157E96">
      <w:pPr>
        <w:pStyle w:val="Textpoznpodarou"/>
        <w:jc w:val="both"/>
      </w:pPr>
      <w:r>
        <w:tab/>
        <w:t xml:space="preserve">U výzvy č. 102: aktivita Rozvoj laboratorních kapacit zdravotních ústavů / </w:t>
      </w:r>
      <w:r w:rsidRPr="00584C65">
        <w:t>Rozvoj infrastruktury krajských hygienických stanic</w:t>
      </w:r>
    </w:p>
    <w:p w14:paraId="6665BDD0" w14:textId="77777777" w:rsidR="00157E96" w:rsidRDefault="00157E96" w:rsidP="00157E96">
      <w:pPr>
        <w:pStyle w:val="Textpoznpodarou"/>
        <w:ind w:left="7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13A5A" w14:textId="77777777" w:rsidR="000B1C8F" w:rsidRDefault="007E758C" w:rsidP="000B1C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4ACF4AC" wp14:editId="4A331CC3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400300" cy="504190"/>
          <wp:effectExtent l="0" t="0" r="0" b="0"/>
          <wp:wrapSquare wrapText="bothSides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435" cy="511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C8F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5E33A1C" wp14:editId="193912C6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429256" cy="50292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CR_min_CMYK_dlouh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5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63C996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57CDC"/>
    <w:multiLevelType w:val="hybridMultilevel"/>
    <w:tmpl w:val="967C9F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25211"/>
    <w:multiLevelType w:val="hybridMultilevel"/>
    <w:tmpl w:val="967C9F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5685A"/>
    <w:multiLevelType w:val="hybridMultilevel"/>
    <w:tmpl w:val="2B4C5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91944"/>
    <w:multiLevelType w:val="hybridMultilevel"/>
    <w:tmpl w:val="CE6225AC"/>
    <w:lvl w:ilvl="0" w:tplc="875ECA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4"/>
  </w:num>
  <w:num w:numId="5">
    <w:abstractNumId w:val="5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B8"/>
    <w:rsid w:val="000342B9"/>
    <w:rsid w:val="00037132"/>
    <w:rsid w:val="00047E8B"/>
    <w:rsid w:val="00064637"/>
    <w:rsid w:val="00074CD4"/>
    <w:rsid w:val="000B1C8F"/>
    <w:rsid w:val="00157E96"/>
    <w:rsid w:val="00176A44"/>
    <w:rsid w:val="001954BC"/>
    <w:rsid w:val="001C081A"/>
    <w:rsid w:val="001C2B8B"/>
    <w:rsid w:val="00205B9E"/>
    <w:rsid w:val="0022531F"/>
    <w:rsid w:val="0025559D"/>
    <w:rsid w:val="00271556"/>
    <w:rsid w:val="00277850"/>
    <w:rsid w:val="002D0934"/>
    <w:rsid w:val="002D2BFA"/>
    <w:rsid w:val="002F348A"/>
    <w:rsid w:val="0031696D"/>
    <w:rsid w:val="0035529E"/>
    <w:rsid w:val="00395366"/>
    <w:rsid w:val="003E494B"/>
    <w:rsid w:val="00404A52"/>
    <w:rsid w:val="00454EF3"/>
    <w:rsid w:val="00474208"/>
    <w:rsid w:val="004B17D7"/>
    <w:rsid w:val="00505DF8"/>
    <w:rsid w:val="005143E7"/>
    <w:rsid w:val="00517F85"/>
    <w:rsid w:val="005565BD"/>
    <w:rsid w:val="0058119B"/>
    <w:rsid w:val="00584C65"/>
    <w:rsid w:val="005B3C6D"/>
    <w:rsid w:val="005B4F78"/>
    <w:rsid w:val="005B5816"/>
    <w:rsid w:val="005B61FB"/>
    <w:rsid w:val="005C2ECD"/>
    <w:rsid w:val="005D1A68"/>
    <w:rsid w:val="00603890"/>
    <w:rsid w:val="00612255"/>
    <w:rsid w:val="00617884"/>
    <w:rsid w:val="006246F7"/>
    <w:rsid w:val="00636CA4"/>
    <w:rsid w:val="0064545F"/>
    <w:rsid w:val="006B72E3"/>
    <w:rsid w:val="006D456C"/>
    <w:rsid w:val="006D4779"/>
    <w:rsid w:val="006E3F22"/>
    <w:rsid w:val="006E5A82"/>
    <w:rsid w:val="006F105C"/>
    <w:rsid w:val="006F26B4"/>
    <w:rsid w:val="00700701"/>
    <w:rsid w:val="00710F7D"/>
    <w:rsid w:val="00736891"/>
    <w:rsid w:val="00740D89"/>
    <w:rsid w:val="00764595"/>
    <w:rsid w:val="00770753"/>
    <w:rsid w:val="00776F32"/>
    <w:rsid w:val="00791C0B"/>
    <w:rsid w:val="007C63FF"/>
    <w:rsid w:val="007D2DB8"/>
    <w:rsid w:val="007D403D"/>
    <w:rsid w:val="007E305E"/>
    <w:rsid w:val="007E65E3"/>
    <w:rsid w:val="007E758C"/>
    <w:rsid w:val="007F0B50"/>
    <w:rsid w:val="008045ED"/>
    <w:rsid w:val="008261B8"/>
    <w:rsid w:val="0085310F"/>
    <w:rsid w:val="0086611F"/>
    <w:rsid w:val="00866E1C"/>
    <w:rsid w:val="00871908"/>
    <w:rsid w:val="008A1FCC"/>
    <w:rsid w:val="008B7CC7"/>
    <w:rsid w:val="008D1AAC"/>
    <w:rsid w:val="008D5574"/>
    <w:rsid w:val="00915EEC"/>
    <w:rsid w:val="00925C0F"/>
    <w:rsid w:val="0097602E"/>
    <w:rsid w:val="009C7BA9"/>
    <w:rsid w:val="00A03E89"/>
    <w:rsid w:val="00A37C8E"/>
    <w:rsid w:val="00A42FA3"/>
    <w:rsid w:val="00A67CC5"/>
    <w:rsid w:val="00A71720"/>
    <w:rsid w:val="00A71F22"/>
    <w:rsid w:val="00A85C56"/>
    <w:rsid w:val="00A95416"/>
    <w:rsid w:val="00AA31B4"/>
    <w:rsid w:val="00AA77D0"/>
    <w:rsid w:val="00AB03B3"/>
    <w:rsid w:val="00AB1479"/>
    <w:rsid w:val="00AF417B"/>
    <w:rsid w:val="00B17950"/>
    <w:rsid w:val="00B26FED"/>
    <w:rsid w:val="00B278B4"/>
    <w:rsid w:val="00B636EA"/>
    <w:rsid w:val="00B71AE0"/>
    <w:rsid w:val="00BD7DA7"/>
    <w:rsid w:val="00BE6E22"/>
    <w:rsid w:val="00C12E97"/>
    <w:rsid w:val="00C22108"/>
    <w:rsid w:val="00C6155D"/>
    <w:rsid w:val="00C65F25"/>
    <w:rsid w:val="00CC0F75"/>
    <w:rsid w:val="00CC336D"/>
    <w:rsid w:val="00CE5C16"/>
    <w:rsid w:val="00CF358B"/>
    <w:rsid w:val="00D40414"/>
    <w:rsid w:val="00D50134"/>
    <w:rsid w:val="00D60848"/>
    <w:rsid w:val="00D87957"/>
    <w:rsid w:val="00DA7359"/>
    <w:rsid w:val="00DF724F"/>
    <w:rsid w:val="00E17D44"/>
    <w:rsid w:val="00E42206"/>
    <w:rsid w:val="00E4607A"/>
    <w:rsid w:val="00E5132F"/>
    <w:rsid w:val="00E6607F"/>
    <w:rsid w:val="00E75731"/>
    <w:rsid w:val="00E76C77"/>
    <w:rsid w:val="00E939C7"/>
    <w:rsid w:val="00EA536E"/>
    <w:rsid w:val="00EC39B5"/>
    <w:rsid w:val="00EE2F65"/>
    <w:rsid w:val="00EF26ED"/>
    <w:rsid w:val="00EF7ADD"/>
    <w:rsid w:val="00F5754C"/>
    <w:rsid w:val="00F64F8F"/>
    <w:rsid w:val="00F7499D"/>
    <w:rsid w:val="00F82EB7"/>
    <w:rsid w:val="00F9056B"/>
    <w:rsid w:val="00FD1AEE"/>
    <w:rsid w:val="00FE13CA"/>
    <w:rsid w:val="00FE574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92432"/>
  <w15:docId w15:val="{BB793E97-7296-405F-806C-1DDE95C8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  <w:style w:type="paragraph" w:styleId="Seznamsodrkami">
    <w:name w:val="List Bullet"/>
    <w:basedOn w:val="Normln"/>
    <w:uiPriority w:val="99"/>
    <w:unhideWhenUsed/>
    <w:rsid w:val="0025559D"/>
    <w:pPr>
      <w:numPr>
        <w:numId w:val="17"/>
      </w:numPr>
      <w:contextualSpacing/>
    </w:pPr>
  </w:style>
  <w:style w:type="table" w:styleId="Mkatabulky">
    <w:name w:val="Table Grid"/>
    <w:basedOn w:val="Normlntabulka"/>
    <w:uiPriority w:val="39"/>
    <w:rsid w:val="00DF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A560-19D0-46D7-B9ED-3A2E4382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1305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Saibtová Iva Ing.</dc:creator>
  <cp:lastModifiedBy>Neudörflerová Jarmila, Ing.</cp:lastModifiedBy>
  <cp:revision>7</cp:revision>
  <cp:lastPrinted>2021-03-12T13:47:00Z</cp:lastPrinted>
  <dcterms:created xsi:type="dcterms:W3CDTF">2021-03-12T13:01:00Z</dcterms:created>
  <dcterms:modified xsi:type="dcterms:W3CDTF">2021-03-12T13:17:00Z</dcterms:modified>
</cp:coreProperties>
</file>