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8750" w14:textId="77777777" w:rsidR="00D21795" w:rsidRPr="005974A9" w:rsidRDefault="00D21795" w:rsidP="00D21795">
      <w:pPr>
        <w:pStyle w:val="Odstavecseseznamem"/>
        <w:numPr>
          <w:ilvl w:val="0"/>
          <w:numId w:val="3"/>
        </w:numPr>
      </w:pPr>
      <w:r w:rsidRPr="00A06904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1" locked="0" layoutInCell="1" allowOverlap="1" wp14:anchorId="7C09C247" wp14:editId="1D6F232B">
            <wp:simplePos x="0" y="0"/>
            <wp:positionH relativeFrom="margin">
              <wp:posOffset>0</wp:posOffset>
            </wp:positionH>
            <wp:positionV relativeFrom="topMargin">
              <wp:posOffset>142240</wp:posOffset>
            </wp:positionV>
            <wp:extent cx="1875234" cy="714375"/>
            <wp:effectExtent l="0" t="0" r="0" b="0"/>
            <wp:wrapNone/>
            <wp:docPr id="3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3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19DC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analýze k projektu v rámci programu REACT-EU</w:t>
      </w:r>
    </w:p>
    <w:p w14:paraId="2DDEFB55" w14:textId="5F0B7548" w:rsidR="00280352" w:rsidRPr="00280352" w:rsidRDefault="00671D50" w:rsidP="00280352">
      <w:pPr>
        <w:ind w:left="1410" w:hanging="1410"/>
        <w:rPr>
          <w:rFonts w:ascii="Calibri" w:eastAsia="Times New Roman" w:hAnsi="Calibri" w:cs="Calibri"/>
          <w:b/>
          <w:bCs/>
          <w:color w:val="000000"/>
          <w:lang w:eastAsia="cs-CZ"/>
        </w:rPr>
      </w:pPr>
      <w:r w:rsidRPr="00671D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Projekt:</w:t>
      </w:r>
      <w:r w:rsidRPr="00671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ab/>
      </w:r>
      <w:r w:rsidR="008D1D7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Modernizace a obnova laboratorního komplementu ve FN</w:t>
      </w:r>
      <w:r w:rsidR="00B17E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Olomouc</w:t>
      </w:r>
    </w:p>
    <w:p w14:paraId="6623FB95" w14:textId="5B1666DF" w:rsidR="00A06904" w:rsidRDefault="00A06904" w:rsidP="00280352">
      <w:pPr>
        <w:spacing w:after="0" w:line="240" w:lineRule="auto"/>
      </w:pPr>
    </w:p>
    <w:p w14:paraId="54032883" w14:textId="4A6E98C7" w:rsidR="005446E3" w:rsidRPr="00A06904" w:rsidRDefault="00671D50" w:rsidP="00F8497B">
      <w:pPr>
        <w:rPr>
          <w:rFonts w:cstheme="minorHAnsi"/>
          <w:b/>
          <w:bCs/>
          <w:sz w:val="32"/>
          <w:szCs w:val="32"/>
          <w:u w:val="single"/>
        </w:rPr>
      </w:pPr>
      <w:r w:rsidRPr="00A06904">
        <w:rPr>
          <w:rFonts w:cstheme="minorHAnsi"/>
          <w:b/>
          <w:bCs/>
          <w:sz w:val="32"/>
          <w:szCs w:val="32"/>
          <w:u w:val="single"/>
        </w:rPr>
        <w:t>FINANČNÍ ANALÝZA</w:t>
      </w:r>
    </w:p>
    <w:p w14:paraId="138AAA14" w14:textId="5608E2C6" w:rsidR="00F8497B" w:rsidRPr="00F8497B" w:rsidRDefault="00F8497B" w:rsidP="00085A68">
      <w:pPr>
        <w:jc w:val="both"/>
        <w:rPr>
          <w:rFonts w:eastAsia="Calibri" w:cstheme="minorHAnsi"/>
          <w:b/>
          <w:bCs/>
          <w:sz w:val="24"/>
          <w:szCs w:val="24"/>
        </w:rPr>
      </w:pPr>
      <w:r w:rsidRPr="00F8497B">
        <w:rPr>
          <w:rFonts w:eastAsia="Calibri" w:cstheme="minorHAnsi"/>
          <w:b/>
          <w:bCs/>
          <w:sz w:val="24"/>
          <w:szCs w:val="24"/>
        </w:rPr>
        <w:t>Položkový rozpočet výdajů</w:t>
      </w:r>
    </w:p>
    <w:p w14:paraId="004FAE30" w14:textId="25AFA911" w:rsidR="004A7D3A" w:rsidRDefault="00A06904" w:rsidP="00085A68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D47422">
        <w:rPr>
          <w:rFonts w:eastAsia="Calibri" w:cstheme="minorHAnsi"/>
          <w:color w:val="000000" w:themeColor="text1"/>
          <w:sz w:val="24"/>
          <w:szCs w:val="24"/>
        </w:rPr>
        <w:t xml:space="preserve">Celkové způsobilé výdaje projektu jsou vyčísleny na </w:t>
      </w:r>
      <w:r w:rsidR="00CE0889">
        <w:rPr>
          <w:rFonts w:eastAsia="Calibri" w:cstheme="minorHAnsi"/>
          <w:color w:val="000000" w:themeColor="text1"/>
          <w:sz w:val="24"/>
          <w:szCs w:val="24"/>
        </w:rPr>
        <w:t>60</w:t>
      </w:r>
      <w:r w:rsidR="00280352" w:rsidRPr="00D47422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CE0889">
        <w:rPr>
          <w:rFonts w:eastAsia="Calibri" w:cstheme="minorHAnsi"/>
          <w:color w:val="000000" w:themeColor="text1"/>
          <w:sz w:val="24"/>
          <w:szCs w:val="24"/>
        </w:rPr>
        <w:t>000</w:t>
      </w:r>
      <w:r w:rsidR="00280352" w:rsidRPr="00D47422">
        <w:rPr>
          <w:rFonts w:eastAsia="Calibri" w:cstheme="minorHAnsi"/>
          <w:color w:val="000000" w:themeColor="text1"/>
          <w:sz w:val="24"/>
          <w:szCs w:val="24"/>
        </w:rPr>
        <w:t> </w:t>
      </w:r>
      <w:r w:rsidR="005E1A63">
        <w:rPr>
          <w:rFonts w:eastAsia="Calibri" w:cstheme="minorHAnsi"/>
          <w:color w:val="000000" w:themeColor="text1"/>
          <w:sz w:val="24"/>
          <w:szCs w:val="24"/>
        </w:rPr>
        <w:t>0</w:t>
      </w:r>
      <w:r w:rsidR="00280352" w:rsidRPr="00D47422">
        <w:rPr>
          <w:rFonts w:eastAsia="Calibri" w:cstheme="minorHAnsi"/>
          <w:color w:val="000000" w:themeColor="text1"/>
          <w:sz w:val="24"/>
          <w:szCs w:val="24"/>
        </w:rPr>
        <w:t>0</w:t>
      </w:r>
      <w:r w:rsidR="00CE0889">
        <w:rPr>
          <w:rFonts w:eastAsia="Calibri" w:cstheme="minorHAnsi"/>
          <w:color w:val="000000" w:themeColor="text1"/>
          <w:sz w:val="24"/>
          <w:szCs w:val="24"/>
        </w:rPr>
        <w:t>0</w:t>
      </w:r>
      <w:r w:rsidR="00280352" w:rsidRPr="00D47422">
        <w:rPr>
          <w:rFonts w:eastAsia="Calibri" w:cstheme="minorHAnsi"/>
          <w:color w:val="000000" w:themeColor="text1"/>
          <w:sz w:val="24"/>
          <w:szCs w:val="24"/>
        </w:rPr>
        <w:t xml:space="preserve">,- Kč </w:t>
      </w:r>
      <w:r w:rsidRPr="00D47422">
        <w:rPr>
          <w:rFonts w:eastAsia="Calibri" w:cstheme="minorHAnsi"/>
          <w:color w:val="000000" w:themeColor="text1"/>
          <w:sz w:val="24"/>
          <w:szCs w:val="24"/>
        </w:rPr>
        <w:t>včetně DPH (DPH je způsobilým nákladem)</w:t>
      </w:r>
      <w:r w:rsidR="00280352" w:rsidRPr="00D47422">
        <w:rPr>
          <w:rFonts w:eastAsia="Calibri" w:cstheme="minorHAnsi"/>
          <w:color w:val="000000" w:themeColor="text1"/>
          <w:sz w:val="24"/>
          <w:szCs w:val="24"/>
        </w:rPr>
        <w:t>, z toho je 5</w:t>
      </w:r>
      <w:r w:rsidR="006E68EA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80352" w:rsidRPr="00D47422">
        <w:rPr>
          <w:rFonts w:eastAsia="Calibri" w:cstheme="minorHAnsi"/>
          <w:color w:val="000000" w:themeColor="text1"/>
          <w:sz w:val="24"/>
          <w:szCs w:val="24"/>
        </w:rPr>
        <w:t xml:space="preserve">000,- Kč povinná publicita projektu. </w:t>
      </w:r>
      <w:r w:rsidRPr="00D47422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CE0889">
        <w:rPr>
          <w:rFonts w:eastAsia="Calibri" w:cstheme="minorHAnsi"/>
          <w:color w:val="000000" w:themeColor="text1"/>
          <w:sz w:val="24"/>
          <w:szCs w:val="24"/>
        </w:rPr>
        <w:t xml:space="preserve">Výdaje na zdravot. techniku nad limit </w:t>
      </w:r>
      <w:r w:rsidR="00FF3315">
        <w:rPr>
          <w:rFonts w:eastAsia="Calibri" w:cstheme="minorHAnsi"/>
          <w:color w:val="000000" w:themeColor="text1"/>
          <w:sz w:val="24"/>
          <w:szCs w:val="24"/>
        </w:rPr>
        <w:t xml:space="preserve">(finančně nezpůsobilé výdaje) </w:t>
      </w:r>
      <w:r w:rsidR="00CE0889">
        <w:rPr>
          <w:rFonts w:eastAsia="Calibri" w:cstheme="minorHAnsi"/>
          <w:color w:val="000000" w:themeColor="text1"/>
          <w:sz w:val="24"/>
          <w:szCs w:val="24"/>
        </w:rPr>
        <w:t>jsou ve výši 1 723 09</w:t>
      </w:r>
      <w:r w:rsidR="00014D42">
        <w:rPr>
          <w:rFonts w:eastAsia="Calibri" w:cstheme="minorHAnsi"/>
          <w:color w:val="000000" w:themeColor="text1"/>
          <w:sz w:val="24"/>
          <w:szCs w:val="24"/>
        </w:rPr>
        <w:t>8</w:t>
      </w:r>
      <w:r w:rsidR="00CE0889">
        <w:rPr>
          <w:rFonts w:eastAsia="Calibri" w:cstheme="minorHAnsi"/>
          <w:color w:val="000000" w:themeColor="text1"/>
          <w:sz w:val="24"/>
          <w:szCs w:val="24"/>
        </w:rPr>
        <w:t xml:space="preserve"> Kč.  </w:t>
      </w:r>
      <w:r w:rsidRPr="00D47422">
        <w:rPr>
          <w:rFonts w:eastAsia="Calibri" w:cstheme="minorHAnsi"/>
          <w:color w:val="000000" w:themeColor="text1"/>
          <w:sz w:val="24"/>
          <w:szCs w:val="24"/>
        </w:rPr>
        <w:t>Veškeré výdaje směřují do hlavních aktivit</w:t>
      </w:r>
      <w:r w:rsidR="00AA5995" w:rsidRPr="00D47422">
        <w:rPr>
          <w:rFonts w:eastAsia="Calibri" w:cstheme="minorHAnsi"/>
          <w:color w:val="000000" w:themeColor="text1"/>
          <w:sz w:val="24"/>
          <w:szCs w:val="24"/>
        </w:rPr>
        <w:t xml:space="preserve"> vyjma publicity</w:t>
      </w:r>
      <w:r w:rsidRPr="00D47422">
        <w:rPr>
          <w:rFonts w:eastAsia="Calibri" w:cstheme="minorHAnsi"/>
          <w:color w:val="000000" w:themeColor="text1"/>
          <w:sz w:val="24"/>
          <w:szCs w:val="24"/>
        </w:rPr>
        <w:t xml:space="preserve"> jsou podloženy průzkumem trhu odpovídající cenám v místě a čase obvyklým. </w:t>
      </w:r>
    </w:p>
    <w:p w14:paraId="49DFADD4" w14:textId="77777777" w:rsidR="004A7D3A" w:rsidRDefault="004A7D3A" w:rsidP="00085A68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tbl>
      <w:tblPr>
        <w:tblW w:w="1030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000"/>
        <w:gridCol w:w="1260"/>
        <w:gridCol w:w="820"/>
        <w:gridCol w:w="1900"/>
        <w:gridCol w:w="1600"/>
      </w:tblGrid>
      <w:tr w:rsidR="00067648" w:rsidRPr="00067648" w14:paraId="768765EA" w14:textId="77777777" w:rsidTr="00067648">
        <w:trPr>
          <w:trHeight w:val="12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CCE3DE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0" w:name="RANGE!H4:M25"/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Kód dle MZČR</w:t>
            </w:r>
            <w:bookmarkEnd w:id="0"/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74E8C6D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Položky rozpočtu / Název dle MZČR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B6DDDBA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Aktivita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E0283F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vAlign w:val="center"/>
            <w:hideMark/>
          </w:tcPr>
          <w:p w14:paraId="6274E681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Cena celkem vč. DPH (věcně způsobilé výdaje)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39BBD92D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Cena celkem vč. DPH (věcně způsobilé výdaje, finančně nezpůsobilé výdaje) </w:t>
            </w:r>
          </w:p>
        </w:tc>
      </w:tr>
      <w:tr w:rsidR="00067648" w:rsidRPr="00067648" w14:paraId="6B7A1999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C8A7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983D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Myčky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9BD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91FD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840CC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665 500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A9A31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2E58D292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ED94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2F4A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Chladová či mrazová komora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12A2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A84B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21E1D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1 363 670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A0259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5D35303C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F465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99DD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Inkubátory, Termostaty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7E97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2F64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8BC36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1 334 677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935E4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536419D5" w14:textId="77777777" w:rsidTr="00067648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7C7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3267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Mikroskop (včetně modulu pro digitální záznam a zpracování obrazu)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95F4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60EB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08D0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2 926 769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6ED8D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3F0DD14D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D187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F705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Centrifuga a </w:t>
            </w:r>
            <w:proofErr w:type="spellStart"/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mikrocentrifugy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F86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E72D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0679E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2 166 863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3C9B4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3AAD83F0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D1C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0F40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Zalévací parafinová linka na histologii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C6F2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EA56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FB677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6 025 800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7C92D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360D3F42" w14:textId="77777777" w:rsidTr="00067648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57B2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0269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Automat pro zpracování tkání (parafinový proces)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3935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F88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7A6F8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6 037 900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D6DE1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440EC653" w14:textId="77777777" w:rsidTr="00067648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9DBF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68E7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Barvící a montovací automat pro zpracování histologických preparátů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2874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F5F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93233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623 150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79B54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0164C6B9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BB5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7228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Automatický biochemický analyzátor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333C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624F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A3E8D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461 615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E767E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6D7AC149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5FEE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F432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Analyzátor krevních elementů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F320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E35D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6229E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3 005 961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ACF97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1 723 098 Kč </w:t>
            </w:r>
          </w:p>
        </w:tc>
      </w:tr>
      <w:tr w:rsidR="00067648" w:rsidRPr="00067648" w14:paraId="467472A8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58F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F221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ELISA analyzátor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91CA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B5E6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7DEEC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2 554 921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FB737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3AB44CF3" w14:textId="77777777" w:rsidTr="00067648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7378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D035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Systém pro automatické vyhledávání a analýza metafází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6C7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54B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1319C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4 450 221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8EC76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6429F8CB" w14:textId="77777777" w:rsidTr="00067648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733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9FF6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Analyzátory automatické mikrobiologické nebo </w:t>
            </w:r>
            <w:proofErr w:type="spellStart"/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bakteorologické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7170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C40E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B3C47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12 651 639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45EEA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1B6EB1E5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7005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355A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izolátor nukleových kyselin (automat)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86C1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5169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104EF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658 845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70BDA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0F69DD44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4FE0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E1E6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Bioanalyzér</w:t>
            </w:r>
            <w:proofErr w:type="spellEnd"/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 určení kvality DNA/RNA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FDC3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F28A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163AA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4 217 919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927D4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379094A8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26BC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DA80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PCR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6965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1C23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B3963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507 159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58086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488F1B2D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429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0EA5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RealTime</w:t>
            </w:r>
            <w:proofErr w:type="spellEnd"/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C368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4319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4F983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2 831 400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4F1DB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2F35D7C4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652A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D19B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DroppletDigital</w:t>
            </w:r>
            <w:proofErr w:type="spellEnd"/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PCR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D683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4A10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825ED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6 164 261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3ADF8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5F1BC298" w14:textId="77777777" w:rsidTr="00067648">
        <w:trPr>
          <w:trHeight w:val="4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376B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ED11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Laminární box pro práci s nukleovými kyselinami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A647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A70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DD997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1 346 730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16AD2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7ADAB31A" w14:textId="77777777" w:rsidTr="00067648">
        <w:trPr>
          <w:trHeight w:val="25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25EC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AD5F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Publicita projektu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8CC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vedlejší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E84C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C6B73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             5 000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2EB54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67648" w:rsidRPr="00067648" w14:paraId="60F749A8" w14:textId="77777777" w:rsidTr="00067648">
        <w:trPr>
          <w:trHeight w:val="2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315F87D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EA999E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1423CD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2AE74C5" w14:textId="77777777" w:rsidR="00067648" w:rsidRPr="00067648" w:rsidRDefault="00067648" w:rsidP="000676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39C288CD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     60 000 000 Kč 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7706F523" w14:textId="77777777" w:rsidR="00067648" w:rsidRPr="00067648" w:rsidRDefault="00067648" w:rsidP="000676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6764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     1 723 098 Kč </w:t>
            </w:r>
          </w:p>
        </w:tc>
      </w:tr>
    </w:tbl>
    <w:p w14:paraId="3B53D394" w14:textId="01CA4425" w:rsidR="00E4196D" w:rsidRDefault="00E4196D" w:rsidP="00014D42">
      <w:pPr>
        <w:ind w:left="-284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0CC775C5" w14:textId="0CD22F76" w:rsidR="00E4196D" w:rsidRDefault="00E4196D" w:rsidP="00085A68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76736D19" w14:textId="46D8D004" w:rsidR="00014D42" w:rsidRDefault="00014D42" w:rsidP="00085A68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06B0F91B" w14:textId="4E513781" w:rsidR="00014D42" w:rsidRDefault="00014D42" w:rsidP="00085A68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1CCB40A2" w14:textId="3C7B487D" w:rsidR="00014D42" w:rsidRDefault="00014D42" w:rsidP="00085A68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6098C1BE" w14:textId="77777777" w:rsidR="00014D42" w:rsidRDefault="00014D42" w:rsidP="00085A68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48F318D7" w14:textId="77777777" w:rsidR="00CE3C0A" w:rsidRPr="00D47422" w:rsidRDefault="00CE3C0A" w:rsidP="00085A68">
      <w:pPr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14:paraId="31B67222" w14:textId="7C895845" w:rsidR="00F8497B" w:rsidRPr="00F8497B" w:rsidRDefault="00F8497B" w:rsidP="00834984">
      <w:pPr>
        <w:jc w:val="both"/>
        <w:rPr>
          <w:rFonts w:cstheme="minorHAnsi"/>
          <w:b/>
          <w:bCs/>
          <w:sz w:val="24"/>
          <w:szCs w:val="24"/>
        </w:rPr>
      </w:pPr>
      <w:r w:rsidRPr="00F8497B">
        <w:rPr>
          <w:rFonts w:cstheme="minorHAnsi"/>
          <w:b/>
          <w:bCs/>
          <w:sz w:val="24"/>
          <w:szCs w:val="24"/>
        </w:rPr>
        <w:t>Výdaje projektu</w:t>
      </w:r>
    </w:p>
    <w:p w14:paraId="7D2BBB80" w14:textId="2412086F" w:rsidR="00671D50" w:rsidRPr="00D47422" w:rsidRDefault="00683870" w:rsidP="00834984">
      <w:pPr>
        <w:jc w:val="both"/>
        <w:rPr>
          <w:rFonts w:cstheme="minorHAnsi"/>
          <w:sz w:val="24"/>
          <w:szCs w:val="24"/>
        </w:rPr>
      </w:pPr>
      <w:r w:rsidRPr="00D47422">
        <w:rPr>
          <w:rFonts w:cstheme="minorHAnsi"/>
          <w:sz w:val="24"/>
          <w:szCs w:val="24"/>
        </w:rPr>
        <w:t>Finanční analýza je postavena na rozdílové metodě cash-</w:t>
      </w:r>
      <w:proofErr w:type="spellStart"/>
      <w:r w:rsidRPr="00D47422">
        <w:rPr>
          <w:rFonts w:cstheme="minorHAnsi"/>
          <w:sz w:val="24"/>
          <w:szCs w:val="24"/>
        </w:rPr>
        <w:t>flow</w:t>
      </w:r>
      <w:proofErr w:type="spellEnd"/>
      <w:r w:rsidRPr="00D47422">
        <w:rPr>
          <w:rFonts w:cstheme="minorHAnsi"/>
          <w:sz w:val="24"/>
          <w:szCs w:val="24"/>
        </w:rPr>
        <w:t xml:space="preserve"> mezi nulovou a investiční variantou investic, jejich zdrojů financování, provozních nákladů a provozních výnosů.</w:t>
      </w:r>
    </w:p>
    <w:p w14:paraId="730D43FE" w14:textId="1659991E" w:rsidR="00AA5995" w:rsidRDefault="006F4213" w:rsidP="00AA599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63D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Nulová</w:t>
      </w:r>
      <w:r w:rsidR="00515DBB" w:rsidRPr="001A63D3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515DBB" w:rsidRPr="001A63D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varianta</w:t>
      </w:r>
      <w:r w:rsidR="00CE3C0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BA6FCD" w:rsidRPr="001A63D3">
        <w:rPr>
          <w:rFonts w:cstheme="minorHAnsi"/>
          <w:color w:val="000000" w:themeColor="text1"/>
          <w:sz w:val="24"/>
          <w:szCs w:val="24"/>
          <w:u w:val="single"/>
        </w:rPr>
        <w:t>:</w:t>
      </w:r>
      <w:proofErr w:type="gramEnd"/>
      <w:r w:rsidR="00BA6FCD" w:rsidRPr="001A63D3">
        <w:rPr>
          <w:rFonts w:cstheme="minorHAnsi"/>
          <w:color w:val="000000" w:themeColor="text1"/>
          <w:sz w:val="24"/>
          <w:szCs w:val="24"/>
        </w:rPr>
        <w:t xml:space="preserve"> </w:t>
      </w:r>
      <w:r w:rsidRPr="001A63D3">
        <w:rPr>
          <w:rFonts w:cstheme="minorHAnsi"/>
          <w:color w:val="000000" w:themeColor="text1"/>
          <w:sz w:val="24"/>
          <w:szCs w:val="24"/>
        </w:rPr>
        <w:t xml:space="preserve">předpokládá </w:t>
      </w:r>
      <w:r w:rsidR="003F1BAB" w:rsidRPr="001A63D3">
        <w:rPr>
          <w:rFonts w:cstheme="minorHAnsi"/>
          <w:color w:val="000000" w:themeColor="text1"/>
          <w:sz w:val="24"/>
          <w:szCs w:val="24"/>
        </w:rPr>
        <w:t>neodkladné</w:t>
      </w:r>
      <w:r w:rsidR="00AA5995">
        <w:rPr>
          <w:rFonts w:cstheme="minorHAnsi"/>
          <w:color w:val="000000" w:themeColor="text1"/>
          <w:sz w:val="24"/>
          <w:szCs w:val="24"/>
        </w:rPr>
        <w:t xml:space="preserve">, plánované </w:t>
      </w:r>
      <w:r w:rsidR="00AA5995" w:rsidRPr="00770FC6">
        <w:rPr>
          <w:rFonts w:cstheme="minorHAnsi"/>
          <w:sz w:val="24"/>
          <w:szCs w:val="24"/>
        </w:rPr>
        <w:t>investice</w:t>
      </w:r>
      <w:r w:rsidR="00AA5995">
        <w:rPr>
          <w:rFonts w:cstheme="minorHAnsi"/>
          <w:sz w:val="24"/>
          <w:szCs w:val="24"/>
        </w:rPr>
        <w:t xml:space="preserve"> (zejména běžná obnova) dle reálných možností vlastních investičních zdrojů</w:t>
      </w:r>
      <w:r w:rsidR="00AA5995" w:rsidRPr="00770FC6">
        <w:rPr>
          <w:rFonts w:cstheme="minorHAnsi"/>
          <w:sz w:val="24"/>
          <w:szCs w:val="24"/>
        </w:rPr>
        <w:t xml:space="preserve"> </w:t>
      </w:r>
      <w:r w:rsidR="00AA5995">
        <w:rPr>
          <w:rFonts w:cstheme="minorHAnsi"/>
          <w:sz w:val="24"/>
          <w:szCs w:val="24"/>
        </w:rPr>
        <w:t>s přihlédnutím</w:t>
      </w:r>
      <w:r w:rsidR="00AA5995" w:rsidRPr="00770FC6">
        <w:rPr>
          <w:rFonts w:cstheme="minorHAnsi"/>
          <w:sz w:val="24"/>
          <w:szCs w:val="24"/>
        </w:rPr>
        <w:t xml:space="preserve"> </w:t>
      </w:r>
      <w:r w:rsidR="00AA5995">
        <w:rPr>
          <w:rFonts w:cstheme="minorHAnsi"/>
          <w:sz w:val="24"/>
          <w:szCs w:val="24"/>
        </w:rPr>
        <w:t xml:space="preserve">ke </w:t>
      </w:r>
      <w:r w:rsidR="00AA5995" w:rsidRPr="00770FC6">
        <w:rPr>
          <w:rFonts w:cstheme="minorHAnsi"/>
          <w:sz w:val="24"/>
          <w:szCs w:val="24"/>
        </w:rPr>
        <w:t>zvýšený</w:t>
      </w:r>
      <w:r w:rsidR="00AA5995">
        <w:rPr>
          <w:rFonts w:cstheme="minorHAnsi"/>
          <w:sz w:val="24"/>
          <w:szCs w:val="24"/>
        </w:rPr>
        <w:t>m</w:t>
      </w:r>
      <w:r w:rsidR="00AA5995" w:rsidRPr="00770FC6">
        <w:rPr>
          <w:rFonts w:cstheme="minorHAnsi"/>
          <w:sz w:val="24"/>
          <w:szCs w:val="24"/>
        </w:rPr>
        <w:t xml:space="preserve"> </w:t>
      </w:r>
      <w:r w:rsidR="00AA5995">
        <w:rPr>
          <w:rFonts w:cstheme="minorHAnsi"/>
          <w:sz w:val="24"/>
          <w:szCs w:val="24"/>
        </w:rPr>
        <w:t xml:space="preserve">provozním </w:t>
      </w:r>
      <w:r w:rsidR="00AA5995" w:rsidRPr="00770FC6">
        <w:rPr>
          <w:rFonts w:cstheme="minorHAnsi"/>
          <w:sz w:val="24"/>
          <w:szCs w:val="24"/>
        </w:rPr>
        <w:t>nákladů</w:t>
      </w:r>
      <w:r w:rsidR="00AA5995">
        <w:rPr>
          <w:rFonts w:cstheme="minorHAnsi"/>
          <w:sz w:val="24"/>
          <w:szCs w:val="24"/>
        </w:rPr>
        <w:t>m</w:t>
      </w:r>
      <w:r w:rsidR="00AA5995" w:rsidRPr="00770FC6">
        <w:rPr>
          <w:rFonts w:cstheme="minorHAnsi"/>
          <w:sz w:val="24"/>
          <w:szCs w:val="24"/>
        </w:rPr>
        <w:t xml:space="preserve"> </w:t>
      </w:r>
      <w:r w:rsidR="00AA5995">
        <w:rPr>
          <w:rFonts w:cstheme="minorHAnsi"/>
          <w:sz w:val="24"/>
          <w:szCs w:val="24"/>
        </w:rPr>
        <w:t>souvisejících s realizací pozdější obnovy ve srovnání s investiční variantou.</w:t>
      </w:r>
      <w:r w:rsidR="0055781C">
        <w:rPr>
          <w:rFonts w:cstheme="minorHAnsi"/>
          <w:sz w:val="24"/>
          <w:szCs w:val="24"/>
        </w:rPr>
        <w:t xml:space="preserve"> </w:t>
      </w:r>
    </w:p>
    <w:p w14:paraId="4DCA8BE1" w14:textId="77777777" w:rsidR="00AA5995" w:rsidRDefault="00AA5995" w:rsidP="00515DBB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0BFFC285" w14:textId="5FFFFB35" w:rsidR="00BA6FCD" w:rsidRPr="00D47422" w:rsidRDefault="00BA6FCD" w:rsidP="003E62D9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 xml:space="preserve">Investiční náklady v nulové </w:t>
      </w:r>
      <w:proofErr w:type="gramStart"/>
      <w:r w:rsidRPr="00D47422">
        <w:rPr>
          <w:rFonts w:cstheme="minorHAnsi"/>
          <w:color w:val="000000" w:themeColor="text1"/>
          <w:sz w:val="24"/>
          <w:szCs w:val="24"/>
        </w:rPr>
        <w:t>variantě :</w:t>
      </w:r>
      <w:proofErr w:type="gramEnd"/>
      <w:r w:rsidR="00961855">
        <w:rPr>
          <w:rFonts w:cstheme="minorHAnsi"/>
          <w:color w:val="000000" w:themeColor="text1"/>
          <w:sz w:val="24"/>
          <w:szCs w:val="24"/>
        </w:rPr>
        <w:tab/>
      </w:r>
      <w:r w:rsidR="004A7D3A">
        <w:rPr>
          <w:rFonts w:cstheme="minorHAnsi"/>
          <w:color w:val="000000" w:themeColor="text1"/>
          <w:sz w:val="24"/>
          <w:szCs w:val="24"/>
        </w:rPr>
        <w:t>42 487 37</w:t>
      </w:r>
      <w:r w:rsidR="00014D42">
        <w:rPr>
          <w:rFonts w:cstheme="minorHAnsi"/>
          <w:color w:val="000000" w:themeColor="text1"/>
          <w:sz w:val="24"/>
          <w:szCs w:val="24"/>
        </w:rPr>
        <w:t>4</w:t>
      </w:r>
      <w:r w:rsidR="003E62D9" w:rsidRPr="00D47422">
        <w:rPr>
          <w:rFonts w:cstheme="minorHAnsi"/>
          <w:color w:val="000000" w:themeColor="text1"/>
          <w:sz w:val="24"/>
          <w:szCs w:val="24"/>
        </w:rPr>
        <w:t>,-Kč</w:t>
      </w:r>
    </w:p>
    <w:p w14:paraId="4964FD8F" w14:textId="4DA0997E" w:rsidR="00BA6FCD" w:rsidRPr="00D47422" w:rsidRDefault="00BA6FCD" w:rsidP="003E62D9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 xml:space="preserve">Provozní náklady v nulové </w:t>
      </w:r>
      <w:proofErr w:type="gramStart"/>
      <w:r w:rsidRPr="00D47422">
        <w:rPr>
          <w:rFonts w:cstheme="minorHAnsi"/>
          <w:color w:val="000000" w:themeColor="text1"/>
          <w:sz w:val="24"/>
          <w:szCs w:val="24"/>
        </w:rPr>
        <w:t>variantě :</w:t>
      </w:r>
      <w:proofErr w:type="gramEnd"/>
      <w:r w:rsidR="00961855">
        <w:rPr>
          <w:rFonts w:cstheme="minorHAnsi"/>
          <w:color w:val="000000" w:themeColor="text1"/>
          <w:sz w:val="24"/>
          <w:szCs w:val="24"/>
        </w:rPr>
        <w:tab/>
      </w:r>
      <w:r w:rsidR="00961855">
        <w:rPr>
          <w:rFonts w:cstheme="minorHAnsi"/>
          <w:color w:val="000000" w:themeColor="text1"/>
          <w:sz w:val="24"/>
          <w:szCs w:val="24"/>
        </w:rPr>
        <w:tab/>
      </w:r>
      <w:r w:rsidR="004A7D3A">
        <w:rPr>
          <w:rFonts w:cstheme="minorHAnsi"/>
          <w:color w:val="000000" w:themeColor="text1"/>
          <w:sz w:val="24"/>
          <w:szCs w:val="24"/>
        </w:rPr>
        <w:t xml:space="preserve">  5</w:t>
      </w:r>
      <w:r w:rsidRPr="00D47422">
        <w:rPr>
          <w:rFonts w:cstheme="minorHAnsi"/>
          <w:color w:val="000000" w:themeColor="text1"/>
          <w:sz w:val="24"/>
          <w:szCs w:val="24"/>
        </w:rPr>
        <w:t xml:space="preserve"> </w:t>
      </w:r>
      <w:r w:rsidR="004A7D3A">
        <w:rPr>
          <w:rFonts w:cstheme="minorHAnsi"/>
          <w:color w:val="000000" w:themeColor="text1"/>
          <w:sz w:val="24"/>
          <w:szCs w:val="24"/>
        </w:rPr>
        <w:t>647</w:t>
      </w:r>
      <w:r w:rsidRPr="00D47422">
        <w:rPr>
          <w:rFonts w:cstheme="minorHAnsi"/>
          <w:color w:val="000000" w:themeColor="text1"/>
          <w:sz w:val="24"/>
          <w:szCs w:val="24"/>
        </w:rPr>
        <w:t> </w:t>
      </w:r>
      <w:r w:rsidR="005E1A63">
        <w:rPr>
          <w:rFonts w:cstheme="minorHAnsi"/>
          <w:color w:val="000000" w:themeColor="text1"/>
          <w:sz w:val="24"/>
          <w:szCs w:val="24"/>
        </w:rPr>
        <w:t>13</w:t>
      </w:r>
      <w:r w:rsidR="004A7D3A">
        <w:rPr>
          <w:rFonts w:cstheme="minorHAnsi"/>
          <w:color w:val="000000" w:themeColor="text1"/>
          <w:sz w:val="24"/>
          <w:szCs w:val="24"/>
        </w:rPr>
        <w:t>8</w:t>
      </w:r>
      <w:r w:rsidRPr="00D47422">
        <w:rPr>
          <w:rFonts w:cstheme="minorHAnsi"/>
          <w:color w:val="000000" w:themeColor="text1"/>
          <w:sz w:val="24"/>
          <w:szCs w:val="24"/>
        </w:rPr>
        <w:t>,- Kč</w:t>
      </w:r>
    </w:p>
    <w:p w14:paraId="3D7B8FB2" w14:textId="5E4AF6BB" w:rsidR="00AA5995" w:rsidRPr="00D47422" w:rsidRDefault="00AA5995" w:rsidP="003E62D9">
      <w:pPr>
        <w:spacing w:after="0"/>
        <w:jc w:val="both"/>
        <w:rPr>
          <w:rFonts w:cstheme="minorHAnsi"/>
          <w:sz w:val="24"/>
          <w:szCs w:val="24"/>
        </w:rPr>
      </w:pPr>
      <w:r w:rsidRPr="00D47422">
        <w:rPr>
          <w:rFonts w:cstheme="minorHAnsi"/>
          <w:sz w:val="24"/>
          <w:szCs w:val="24"/>
        </w:rPr>
        <w:t>Tato varianta předpokládá krytí výše uvedených výdajů z vlastních zdrojů FNOL.</w:t>
      </w:r>
    </w:p>
    <w:p w14:paraId="7CE8433D" w14:textId="77777777" w:rsidR="003E62D9" w:rsidRPr="004D58F5" w:rsidRDefault="003E62D9" w:rsidP="003E62D9">
      <w:pPr>
        <w:spacing w:after="0"/>
        <w:jc w:val="both"/>
        <w:rPr>
          <w:rFonts w:cstheme="minorHAnsi"/>
          <w:sz w:val="24"/>
          <w:szCs w:val="24"/>
        </w:rPr>
      </w:pPr>
    </w:p>
    <w:p w14:paraId="68D962D8" w14:textId="1AF09245" w:rsidR="00E60B51" w:rsidRDefault="00515DBB" w:rsidP="00E60B51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1A63D3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Investiční </w:t>
      </w:r>
      <w:proofErr w:type="gramStart"/>
      <w:r w:rsidRPr="001A63D3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varianta</w:t>
      </w:r>
      <w:r w:rsidR="00CE3C0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1A63D3">
        <w:rPr>
          <w:rFonts w:cstheme="minorHAnsi"/>
          <w:color w:val="000000" w:themeColor="text1"/>
          <w:sz w:val="24"/>
          <w:szCs w:val="24"/>
          <w:u w:val="single"/>
        </w:rPr>
        <w:t>:</w:t>
      </w:r>
      <w:proofErr w:type="gramEnd"/>
      <w:r w:rsidRPr="001A63D3">
        <w:rPr>
          <w:rFonts w:cstheme="minorHAnsi"/>
          <w:color w:val="000000" w:themeColor="text1"/>
          <w:sz w:val="24"/>
          <w:szCs w:val="24"/>
        </w:rPr>
        <w:t xml:space="preserve"> </w:t>
      </w:r>
      <w:r w:rsidR="00AA5995" w:rsidRPr="00D47422">
        <w:rPr>
          <w:rFonts w:cstheme="minorHAnsi"/>
          <w:sz w:val="24"/>
          <w:szCs w:val="24"/>
        </w:rPr>
        <w:t xml:space="preserve">vychází z časového harmonogramu projektu realizace investic, přičemž zohledňuje </w:t>
      </w:r>
      <w:r w:rsidR="00E60B51" w:rsidRPr="00E60B51">
        <w:rPr>
          <w:rFonts w:cstheme="minorHAnsi"/>
          <w:color w:val="000000" w:themeColor="text1"/>
          <w:sz w:val="24"/>
          <w:szCs w:val="24"/>
        </w:rPr>
        <w:t>zvýšen</w:t>
      </w:r>
      <w:r w:rsidR="00E60B51">
        <w:rPr>
          <w:rFonts w:cstheme="minorHAnsi"/>
          <w:color w:val="000000" w:themeColor="text1"/>
          <w:sz w:val="24"/>
          <w:szCs w:val="24"/>
        </w:rPr>
        <w:t>é</w:t>
      </w:r>
      <w:r w:rsidR="00E60B51" w:rsidRPr="00E60B51">
        <w:rPr>
          <w:rFonts w:cstheme="minorHAnsi"/>
          <w:color w:val="000000" w:themeColor="text1"/>
          <w:sz w:val="24"/>
          <w:szCs w:val="24"/>
        </w:rPr>
        <w:t xml:space="preserve"> materiálové náklady, zvýšení nákladů na servis a údržbu nových přístrojů, vyvolaný nárůst režijních náklad</w:t>
      </w:r>
      <w:r w:rsidR="004A7D3A">
        <w:rPr>
          <w:rFonts w:cstheme="minorHAnsi"/>
          <w:color w:val="000000" w:themeColor="text1"/>
          <w:sz w:val="24"/>
          <w:szCs w:val="24"/>
        </w:rPr>
        <w:t>ů a</w:t>
      </w:r>
      <w:r w:rsidR="00E60B51" w:rsidRPr="00E60B51">
        <w:rPr>
          <w:rFonts w:cstheme="minorHAnsi"/>
          <w:color w:val="000000" w:themeColor="text1"/>
          <w:sz w:val="24"/>
          <w:szCs w:val="24"/>
        </w:rPr>
        <w:t xml:space="preserve"> nutné reinvestice</w:t>
      </w:r>
      <w:r w:rsidR="004A7D3A">
        <w:rPr>
          <w:rFonts w:cstheme="minorHAnsi"/>
          <w:color w:val="000000" w:themeColor="text1"/>
          <w:sz w:val="24"/>
          <w:szCs w:val="24"/>
        </w:rPr>
        <w:t>.</w:t>
      </w:r>
    </w:p>
    <w:p w14:paraId="1C69D3CB" w14:textId="0050B849" w:rsidR="00DE09F7" w:rsidRDefault="00DE09F7" w:rsidP="00DE09F7">
      <w:pPr>
        <w:spacing w:after="0"/>
        <w:jc w:val="both"/>
        <w:rPr>
          <w:rFonts w:cs="Arial"/>
          <w:sz w:val="24"/>
          <w:szCs w:val="24"/>
        </w:rPr>
      </w:pPr>
      <w:bookmarkStart w:id="1" w:name="_Hlk71528541"/>
      <w:r>
        <w:rPr>
          <w:rFonts w:cs="Arial"/>
          <w:sz w:val="24"/>
          <w:szCs w:val="24"/>
        </w:rPr>
        <w:t>Vzhledem k životnosti přístrojů jsou v letech 2029-2030 v provozních nákladech projektu kalkulovány reinvestice přístrojů.</w:t>
      </w:r>
    </w:p>
    <w:bookmarkEnd w:id="1"/>
    <w:p w14:paraId="7BD0972D" w14:textId="77777777" w:rsidR="0055781C" w:rsidRDefault="0055781C" w:rsidP="008E7D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101E0D1E" w14:textId="2972B7BD" w:rsidR="00515DBB" w:rsidRPr="00D47422" w:rsidRDefault="00515DBB" w:rsidP="008E7D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 xml:space="preserve">Investiční náklady v investiční </w:t>
      </w:r>
      <w:proofErr w:type="gramStart"/>
      <w:r w:rsidRPr="00D47422">
        <w:rPr>
          <w:rFonts w:cstheme="minorHAnsi"/>
          <w:color w:val="000000" w:themeColor="text1"/>
          <w:sz w:val="24"/>
          <w:szCs w:val="24"/>
        </w:rPr>
        <w:t>variantě :</w:t>
      </w:r>
      <w:proofErr w:type="gramEnd"/>
      <w:r w:rsidR="00961855">
        <w:rPr>
          <w:rFonts w:cstheme="minorHAnsi"/>
          <w:color w:val="000000" w:themeColor="text1"/>
          <w:sz w:val="24"/>
          <w:szCs w:val="24"/>
        </w:rPr>
        <w:tab/>
      </w:r>
      <w:r w:rsidR="004A7D3A">
        <w:rPr>
          <w:rFonts w:cstheme="minorHAnsi"/>
          <w:color w:val="000000" w:themeColor="text1"/>
          <w:sz w:val="24"/>
          <w:szCs w:val="24"/>
        </w:rPr>
        <w:t>61 718 09</w:t>
      </w:r>
      <w:r w:rsidR="00014D42">
        <w:rPr>
          <w:rFonts w:cstheme="minorHAnsi"/>
          <w:color w:val="000000" w:themeColor="text1"/>
          <w:sz w:val="24"/>
          <w:szCs w:val="24"/>
        </w:rPr>
        <w:t>8</w:t>
      </w:r>
      <w:r w:rsidRPr="00D47422">
        <w:rPr>
          <w:rFonts w:cstheme="minorHAnsi"/>
          <w:color w:val="000000" w:themeColor="text1"/>
          <w:sz w:val="24"/>
          <w:szCs w:val="24"/>
        </w:rPr>
        <w:t>,- Kč</w:t>
      </w:r>
    </w:p>
    <w:p w14:paraId="4B9EF79D" w14:textId="25F7805B" w:rsidR="00AB1803" w:rsidRDefault="00B20FA0" w:rsidP="008E7D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proofErr w:type="gramStart"/>
      <w:r w:rsidRPr="00D47422">
        <w:rPr>
          <w:rFonts w:cstheme="minorHAnsi"/>
          <w:color w:val="000000" w:themeColor="text1"/>
          <w:sz w:val="24"/>
          <w:szCs w:val="24"/>
        </w:rPr>
        <w:t>Publicita :</w:t>
      </w:r>
      <w:proofErr w:type="gramEnd"/>
      <w:r w:rsidR="00961855">
        <w:rPr>
          <w:rFonts w:cstheme="minorHAnsi"/>
          <w:color w:val="000000" w:themeColor="text1"/>
          <w:sz w:val="24"/>
          <w:szCs w:val="24"/>
        </w:rPr>
        <w:tab/>
      </w:r>
      <w:r w:rsidR="00961855">
        <w:rPr>
          <w:rFonts w:cstheme="minorHAnsi"/>
          <w:color w:val="000000" w:themeColor="text1"/>
          <w:sz w:val="24"/>
          <w:szCs w:val="24"/>
        </w:rPr>
        <w:tab/>
      </w:r>
      <w:r w:rsidR="00961855">
        <w:rPr>
          <w:rFonts w:cstheme="minorHAnsi"/>
          <w:color w:val="000000" w:themeColor="text1"/>
          <w:sz w:val="24"/>
          <w:szCs w:val="24"/>
        </w:rPr>
        <w:tab/>
      </w:r>
      <w:r w:rsidR="00CE3C0A">
        <w:rPr>
          <w:rFonts w:cstheme="minorHAnsi"/>
          <w:color w:val="000000" w:themeColor="text1"/>
          <w:sz w:val="24"/>
          <w:szCs w:val="24"/>
        </w:rPr>
        <w:tab/>
      </w:r>
      <w:r w:rsidR="00CE3C0A">
        <w:rPr>
          <w:rFonts w:cstheme="minorHAnsi"/>
          <w:color w:val="000000" w:themeColor="text1"/>
          <w:sz w:val="24"/>
          <w:szCs w:val="24"/>
        </w:rPr>
        <w:tab/>
        <w:t xml:space="preserve">          </w:t>
      </w:r>
      <w:r w:rsidRPr="00D47422">
        <w:rPr>
          <w:rFonts w:cstheme="minorHAnsi"/>
          <w:color w:val="000000" w:themeColor="text1"/>
          <w:sz w:val="24"/>
          <w:szCs w:val="24"/>
        </w:rPr>
        <w:t>5 000,- Kč</w:t>
      </w:r>
    </w:p>
    <w:p w14:paraId="2DF8A85C" w14:textId="55C1E51C" w:rsidR="00B20FA0" w:rsidRPr="00D47422" w:rsidRDefault="00AB1803" w:rsidP="008E7D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Investiční náklady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celkem :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961855">
        <w:rPr>
          <w:rFonts w:cstheme="minorHAnsi"/>
          <w:color w:val="000000" w:themeColor="text1"/>
          <w:sz w:val="24"/>
          <w:szCs w:val="24"/>
        </w:rPr>
        <w:tab/>
      </w:r>
      <w:r w:rsidR="00961855">
        <w:rPr>
          <w:rFonts w:cstheme="minorHAnsi"/>
          <w:color w:val="000000" w:themeColor="text1"/>
          <w:sz w:val="24"/>
          <w:szCs w:val="24"/>
        </w:rPr>
        <w:tab/>
      </w:r>
      <w:r w:rsidR="00961855">
        <w:rPr>
          <w:rFonts w:cstheme="minorHAnsi"/>
          <w:color w:val="000000" w:themeColor="text1"/>
          <w:sz w:val="24"/>
          <w:szCs w:val="24"/>
        </w:rPr>
        <w:tab/>
      </w:r>
      <w:r w:rsidR="004A7D3A">
        <w:rPr>
          <w:rFonts w:cstheme="minorHAnsi"/>
          <w:color w:val="000000" w:themeColor="text1"/>
          <w:sz w:val="24"/>
          <w:szCs w:val="24"/>
        </w:rPr>
        <w:t>61</w:t>
      </w:r>
      <w:r>
        <w:rPr>
          <w:rFonts w:cstheme="minorHAnsi"/>
          <w:color w:val="000000" w:themeColor="text1"/>
          <w:sz w:val="24"/>
          <w:szCs w:val="24"/>
        </w:rPr>
        <w:t> </w:t>
      </w:r>
      <w:r w:rsidR="004A7D3A">
        <w:rPr>
          <w:rFonts w:cstheme="minorHAnsi"/>
          <w:color w:val="000000" w:themeColor="text1"/>
          <w:sz w:val="24"/>
          <w:szCs w:val="24"/>
        </w:rPr>
        <w:t>723</w:t>
      </w:r>
      <w:r>
        <w:rPr>
          <w:rFonts w:cstheme="minorHAnsi"/>
          <w:color w:val="000000" w:themeColor="text1"/>
          <w:sz w:val="24"/>
          <w:szCs w:val="24"/>
        </w:rPr>
        <w:t> </w:t>
      </w:r>
      <w:r w:rsidR="004A7D3A">
        <w:rPr>
          <w:rFonts w:cstheme="minorHAnsi"/>
          <w:color w:val="000000" w:themeColor="text1"/>
          <w:sz w:val="24"/>
          <w:szCs w:val="24"/>
        </w:rPr>
        <w:t>09</w:t>
      </w:r>
      <w:r w:rsidR="00014D42">
        <w:rPr>
          <w:rFonts w:cstheme="minorHAnsi"/>
          <w:color w:val="000000" w:themeColor="text1"/>
          <w:sz w:val="24"/>
          <w:szCs w:val="24"/>
        </w:rPr>
        <w:t>8</w:t>
      </w:r>
      <w:r>
        <w:rPr>
          <w:rFonts w:cstheme="minorHAnsi"/>
          <w:color w:val="000000" w:themeColor="text1"/>
          <w:sz w:val="24"/>
          <w:szCs w:val="24"/>
        </w:rPr>
        <w:t>,- Kč</w:t>
      </w:r>
      <w:r w:rsidR="00B20FA0" w:rsidRPr="00D47422">
        <w:rPr>
          <w:rFonts w:cstheme="minorHAnsi"/>
          <w:color w:val="000000" w:themeColor="text1"/>
          <w:sz w:val="24"/>
          <w:szCs w:val="24"/>
        </w:rPr>
        <w:tab/>
      </w:r>
    </w:p>
    <w:p w14:paraId="18263009" w14:textId="4EFB2643" w:rsidR="003E62D9" w:rsidRPr="00D47422" w:rsidRDefault="00515DBB" w:rsidP="003E62D9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 xml:space="preserve">Provozní náklady v investiční </w:t>
      </w:r>
      <w:proofErr w:type="gramStart"/>
      <w:r w:rsidRPr="00D47422">
        <w:rPr>
          <w:rFonts w:cstheme="minorHAnsi"/>
          <w:color w:val="000000" w:themeColor="text1"/>
          <w:sz w:val="24"/>
          <w:szCs w:val="24"/>
        </w:rPr>
        <w:t>variantě :</w:t>
      </w:r>
      <w:proofErr w:type="gramEnd"/>
      <w:r w:rsidR="00961855">
        <w:rPr>
          <w:rFonts w:cstheme="minorHAnsi"/>
          <w:color w:val="000000" w:themeColor="text1"/>
          <w:sz w:val="24"/>
          <w:szCs w:val="24"/>
        </w:rPr>
        <w:tab/>
      </w:r>
      <w:r w:rsidR="004A7D3A">
        <w:rPr>
          <w:rFonts w:cstheme="minorHAnsi"/>
          <w:color w:val="000000" w:themeColor="text1"/>
          <w:sz w:val="24"/>
          <w:szCs w:val="24"/>
        </w:rPr>
        <w:t>62 290 40</w:t>
      </w:r>
      <w:r w:rsidR="00014D42">
        <w:rPr>
          <w:rFonts w:cstheme="minorHAnsi"/>
          <w:color w:val="000000" w:themeColor="text1"/>
          <w:sz w:val="24"/>
          <w:szCs w:val="24"/>
        </w:rPr>
        <w:t>4</w:t>
      </w:r>
      <w:r w:rsidR="003E62D9" w:rsidRPr="00D47422">
        <w:rPr>
          <w:rFonts w:cstheme="minorHAnsi"/>
          <w:color w:val="000000" w:themeColor="text1"/>
          <w:sz w:val="24"/>
          <w:szCs w:val="24"/>
        </w:rPr>
        <w:t>,- Kč</w:t>
      </w:r>
    </w:p>
    <w:p w14:paraId="5C9DE22F" w14:textId="77777777" w:rsidR="003E62D9" w:rsidRPr="00D47422" w:rsidRDefault="003E62D9" w:rsidP="008E7DC7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143ECAF2" w14:textId="77777777" w:rsidR="00961855" w:rsidRDefault="00515DBB" w:rsidP="00515DBB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 xml:space="preserve">Výdaje </w:t>
      </w:r>
      <w:r w:rsidR="006E0CDA" w:rsidRPr="00D47422">
        <w:rPr>
          <w:rFonts w:cstheme="minorHAnsi"/>
          <w:color w:val="000000" w:themeColor="text1"/>
          <w:sz w:val="24"/>
          <w:szCs w:val="24"/>
        </w:rPr>
        <w:t xml:space="preserve">na investiční náklady budou pokryty </w:t>
      </w:r>
      <w:proofErr w:type="gramStart"/>
      <w:r w:rsidR="00961855">
        <w:rPr>
          <w:rFonts w:cstheme="minorHAnsi"/>
          <w:color w:val="000000" w:themeColor="text1"/>
          <w:sz w:val="24"/>
          <w:szCs w:val="24"/>
        </w:rPr>
        <w:t>následovně :</w:t>
      </w:r>
      <w:proofErr w:type="gramEnd"/>
    </w:p>
    <w:p w14:paraId="3688484E" w14:textId="0E4D40A9" w:rsidR="00961855" w:rsidRDefault="00961855" w:rsidP="00DE3DA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Způsobilé výdaje (70%):</w:t>
      </w:r>
      <w:r>
        <w:rPr>
          <w:rFonts w:cstheme="minorHAnsi"/>
          <w:color w:val="000000" w:themeColor="text1"/>
          <w:sz w:val="24"/>
          <w:szCs w:val="24"/>
        </w:rPr>
        <w:tab/>
      </w:r>
      <w:r w:rsidR="00CA096D">
        <w:rPr>
          <w:rFonts w:cstheme="minorHAnsi"/>
          <w:color w:val="000000" w:themeColor="text1"/>
          <w:sz w:val="24"/>
          <w:szCs w:val="24"/>
        </w:rPr>
        <w:tab/>
      </w:r>
      <w:r w:rsidR="00CA096D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42 000 000,- Kč</w:t>
      </w:r>
      <w:r>
        <w:rPr>
          <w:rFonts w:cstheme="minorHAnsi"/>
          <w:color w:val="000000" w:themeColor="text1"/>
          <w:sz w:val="24"/>
          <w:szCs w:val="24"/>
        </w:rPr>
        <w:tab/>
        <w:t xml:space="preserve">Evropský fond pro </w:t>
      </w:r>
      <w:proofErr w:type="spellStart"/>
      <w:proofErr w:type="gramStart"/>
      <w:r>
        <w:rPr>
          <w:rFonts w:cstheme="minorHAnsi"/>
          <w:color w:val="000000" w:themeColor="text1"/>
          <w:sz w:val="24"/>
          <w:szCs w:val="24"/>
        </w:rPr>
        <w:t>reg.rozvoj</w:t>
      </w:r>
      <w:proofErr w:type="spellEnd"/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03EB1065" w14:textId="3831CC18" w:rsidR="00DE3DAD" w:rsidRDefault="00DE3DAD" w:rsidP="00DE3DA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Způsobilé výdaje (10%):</w:t>
      </w:r>
      <w:proofErr w:type="gramStart"/>
      <w:r>
        <w:rPr>
          <w:rFonts w:cstheme="minorHAnsi"/>
          <w:color w:val="000000" w:themeColor="text1"/>
          <w:sz w:val="24"/>
          <w:szCs w:val="24"/>
        </w:rPr>
        <w:tab/>
        <w:t xml:space="preserve">  </w:t>
      </w:r>
      <w:r w:rsidR="00CA096D">
        <w:rPr>
          <w:rFonts w:cstheme="minorHAnsi"/>
          <w:color w:val="000000" w:themeColor="text1"/>
          <w:sz w:val="24"/>
          <w:szCs w:val="24"/>
        </w:rPr>
        <w:tab/>
      </w:r>
      <w:proofErr w:type="gramEnd"/>
      <w:r w:rsidR="00CA096D">
        <w:rPr>
          <w:rFonts w:cstheme="minorHAnsi"/>
          <w:color w:val="000000" w:themeColor="text1"/>
          <w:sz w:val="24"/>
          <w:szCs w:val="24"/>
        </w:rPr>
        <w:tab/>
        <w:t xml:space="preserve">  </w:t>
      </w:r>
      <w:r>
        <w:rPr>
          <w:rFonts w:cstheme="minorHAnsi"/>
          <w:color w:val="000000" w:themeColor="text1"/>
          <w:sz w:val="24"/>
          <w:szCs w:val="24"/>
        </w:rPr>
        <w:t>6 000 000,- Kč</w:t>
      </w:r>
      <w:r>
        <w:rPr>
          <w:rFonts w:cstheme="minorHAnsi"/>
          <w:color w:val="000000" w:themeColor="text1"/>
          <w:sz w:val="24"/>
          <w:szCs w:val="24"/>
        </w:rPr>
        <w:tab/>
        <w:t xml:space="preserve">Státní rozpočet  </w:t>
      </w:r>
    </w:p>
    <w:p w14:paraId="6BE0953B" w14:textId="0726B66C" w:rsidR="00DE3DAD" w:rsidRDefault="00DE3DAD" w:rsidP="00DE3DA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Způsobilé výdaje (</w:t>
      </w:r>
      <w:proofErr w:type="gramStart"/>
      <w:r>
        <w:rPr>
          <w:rFonts w:cstheme="minorHAnsi"/>
          <w:color w:val="000000" w:themeColor="text1"/>
          <w:sz w:val="24"/>
          <w:szCs w:val="24"/>
        </w:rPr>
        <w:t>20%</w:t>
      </w:r>
      <w:proofErr w:type="gramEnd"/>
      <w:r>
        <w:rPr>
          <w:rFonts w:cstheme="minorHAnsi"/>
          <w:color w:val="000000" w:themeColor="text1"/>
          <w:sz w:val="24"/>
          <w:szCs w:val="24"/>
        </w:rPr>
        <w:t>):</w:t>
      </w:r>
      <w:r>
        <w:rPr>
          <w:rFonts w:cstheme="minorHAnsi"/>
          <w:color w:val="000000" w:themeColor="text1"/>
          <w:sz w:val="24"/>
          <w:szCs w:val="24"/>
        </w:rPr>
        <w:tab/>
      </w:r>
      <w:r w:rsidR="00CA096D">
        <w:rPr>
          <w:rFonts w:cstheme="minorHAnsi"/>
          <w:color w:val="000000" w:themeColor="text1"/>
          <w:sz w:val="24"/>
          <w:szCs w:val="24"/>
        </w:rPr>
        <w:tab/>
      </w:r>
      <w:r w:rsidR="00CA096D"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>12 000 000,- Kč</w:t>
      </w:r>
      <w:r>
        <w:rPr>
          <w:rFonts w:cstheme="minorHAnsi"/>
          <w:color w:val="000000" w:themeColor="text1"/>
          <w:sz w:val="24"/>
          <w:szCs w:val="24"/>
        </w:rPr>
        <w:tab/>
        <w:t xml:space="preserve">Vlastní zdroje FNOL  </w:t>
      </w:r>
    </w:p>
    <w:p w14:paraId="21C9EE86" w14:textId="1F16F06C" w:rsidR="00DE3DAD" w:rsidRDefault="00DE3DAD" w:rsidP="00DE3DAD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Výdaje na </w:t>
      </w:r>
      <w:proofErr w:type="spellStart"/>
      <w:proofErr w:type="gramStart"/>
      <w:r>
        <w:rPr>
          <w:rFonts w:cstheme="minorHAnsi"/>
          <w:color w:val="000000" w:themeColor="text1"/>
          <w:sz w:val="24"/>
          <w:szCs w:val="24"/>
        </w:rPr>
        <w:t>zdrav.techniku</w:t>
      </w:r>
      <w:proofErr w:type="spellEnd"/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nad limit</w:t>
      </w:r>
      <w:r w:rsidR="007759A0">
        <w:rPr>
          <w:rFonts w:cstheme="minorHAnsi"/>
          <w:color w:val="000000" w:themeColor="text1"/>
          <w:sz w:val="24"/>
          <w:szCs w:val="24"/>
        </w:rPr>
        <w:t xml:space="preserve"> :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1 723 09</w:t>
      </w:r>
      <w:r w:rsidR="00014D42">
        <w:rPr>
          <w:rFonts w:cstheme="minorHAnsi"/>
          <w:color w:val="000000" w:themeColor="text1"/>
          <w:sz w:val="24"/>
          <w:szCs w:val="24"/>
        </w:rPr>
        <w:t>8</w:t>
      </w:r>
      <w:r>
        <w:rPr>
          <w:rFonts w:cstheme="minorHAnsi"/>
          <w:color w:val="000000" w:themeColor="text1"/>
          <w:sz w:val="24"/>
          <w:szCs w:val="24"/>
        </w:rPr>
        <w:t>,- Kč</w:t>
      </w:r>
      <w:r>
        <w:rPr>
          <w:rFonts w:cstheme="minorHAnsi"/>
          <w:color w:val="000000" w:themeColor="text1"/>
          <w:sz w:val="24"/>
          <w:szCs w:val="24"/>
        </w:rPr>
        <w:tab/>
        <w:t xml:space="preserve">Vlastní zdroje FNOL  </w:t>
      </w:r>
    </w:p>
    <w:p w14:paraId="574ADB24" w14:textId="5920983F" w:rsidR="007759A0" w:rsidRPr="007759A0" w:rsidRDefault="007759A0" w:rsidP="00DE3DAD">
      <w:pPr>
        <w:spacing w:after="0"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7759A0">
        <w:rPr>
          <w:rFonts w:cstheme="minorHAnsi"/>
          <w:i/>
          <w:iCs/>
          <w:color w:val="000000" w:themeColor="text1"/>
          <w:sz w:val="24"/>
          <w:szCs w:val="24"/>
        </w:rPr>
        <w:t>(finančně nezpůsobilé výdaje)</w:t>
      </w:r>
    </w:p>
    <w:p w14:paraId="3A24423E" w14:textId="282ACD5B" w:rsidR="00961855" w:rsidRDefault="00DE3DAD" w:rsidP="00515DBB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Výd</w:t>
      </w:r>
      <w:r w:rsidR="00A33A08">
        <w:rPr>
          <w:rFonts w:cstheme="minorHAnsi"/>
          <w:color w:val="000000" w:themeColor="text1"/>
          <w:sz w:val="24"/>
          <w:szCs w:val="24"/>
        </w:rPr>
        <w:t>a</w:t>
      </w:r>
      <w:r>
        <w:rPr>
          <w:rFonts w:cstheme="minorHAnsi"/>
          <w:color w:val="000000" w:themeColor="text1"/>
          <w:sz w:val="24"/>
          <w:szCs w:val="24"/>
        </w:rPr>
        <w:t xml:space="preserve">je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celkem :</w:t>
      </w:r>
      <w:proofErr w:type="gramEnd"/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>61 723 09</w:t>
      </w:r>
      <w:r w:rsidR="00014D42">
        <w:rPr>
          <w:rFonts w:cstheme="minorHAnsi"/>
          <w:color w:val="000000" w:themeColor="text1"/>
          <w:sz w:val="24"/>
          <w:szCs w:val="24"/>
        </w:rPr>
        <w:t>8</w:t>
      </w:r>
      <w:r>
        <w:rPr>
          <w:rFonts w:cstheme="minorHAnsi"/>
          <w:color w:val="000000" w:themeColor="text1"/>
          <w:sz w:val="24"/>
          <w:szCs w:val="24"/>
        </w:rPr>
        <w:t>,- Kč</w:t>
      </w:r>
    </w:p>
    <w:p w14:paraId="61376F6B" w14:textId="77777777" w:rsidR="00961855" w:rsidRDefault="00961855" w:rsidP="00515DBB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56FC15F4" w14:textId="635673FA" w:rsidR="00961855" w:rsidRDefault="00961855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06AC1C15" w14:textId="77777777" w:rsidR="004E1DC9" w:rsidRDefault="004E1DC9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1C905C64" w14:textId="69351775" w:rsidR="00CE3C0A" w:rsidRDefault="00CE3C0A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34D1C702" w14:textId="6ECC79F4" w:rsidR="00CE3C0A" w:rsidRDefault="00CE3C0A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356F8ADD" w14:textId="132F18A1" w:rsidR="00CE3C0A" w:rsidRDefault="00CE3C0A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10D091E3" w14:textId="2C796A30" w:rsidR="00CE3C0A" w:rsidRDefault="00CE3C0A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48EB7A2B" w14:textId="0CBAAF72" w:rsidR="00CE3C0A" w:rsidRDefault="00CE3C0A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70E96A80" w14:textId="45A79248" w:rsidR="00CE3C0A" w:rsidRDefault="00CE3C0A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48A3AFA5" w14:textId="4A961E77" w:rsidR="00CE3C0A" w:rsidRDefault="00CE3C0A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7C1B86AE" w14:textId="470ABE0B" w:rsidR="00CE3C0A" w:rsidRDefault="00CE3C0A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6DAA1862" w14:textId="31765A51" w:rsidR="00CE3C0A" w:rsidRDefault="00CE3C0A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2473B2DD" w14:textId="77777777" w:rsidR="00CE3C0A" w:rsidRPr="00515DBB" w:rsidRDefault="00CE3C0A" w:rsidP="00085A68">
      <w:pPr>
        <w:spacing w:after="0" w:line="240" w:lineRule="auto"/>
        <w:jc w:val="both"/>
        <w:rPr>
          <w:rFonts w:cstheme="minorHAnsi"/>
          <w:b/>
          <w:bCs/>
          <w:color w:val="0000FF"/>
          <w:sz w:val="24"/>
          <w:szCs w:val="24"/>
        </w:rPr>
      </w:pPr>
    </w:p>
    <w:p w14:paraId="229D24CA" w14:textId="7CE7C647" w:rsidR="00F8497B" w:rsidRDefault="00F8497B" w:rsidP="002E3A95">
      <w:pPr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6E0CDA">
        <w:rPr>
          <w:rFonts w:cstheme="minorHAnsi"/>
          <w:b/>
          <w:bCs/>
          <w:color w:val="000000" w:themeColor="text1"/>
          <w:sz w:val="24"/>
          <w:szCs w:val="24"/>
        </w:rPr>
        <w:t>Příjmy projektu</w:t>
      </w:r>
    </w:p>
    <w:p w14:paraId="62AE822F" w14:textId="2A7A4818" w:rsidR="00CA0869" w:rsidRPr="00D47422" w:rsidRDefault="00CA0869" w:rsidP="002E3A95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23144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Nulová </w:t>
      </w:r>
      <w:proofErr w:type="gramStart"/>
      <w:r w:rsidRPr="00D23144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varianta :</w:t>
      </w:r>
      <w:proofErr w:type="gramEnd"/>
      <w:r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AA5995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AA5995" w:rsidRPr="00D47422">
        <w:rPr>
          <w:rFonts w:cstheme="minorHAnsi"/>
          <w:color w:val="000000" w:themeColor="text1"/>
          <w:sz w:val="24"/>
          <w:szCs w:val="24"/>
        </w:rPr>
        <w:t>bez provozních výnosů</w:t>
      </w:r>
      <w:r w:rsidR="00471454">
        <w:rPr>
          <w:rFonts w:cstheme="minorHAnsi"/>
          <w:color w:val="000000" w:themeColor="text1"/>
          <w:sz w:val="24"/>
          <w:szCs w:val="24"/>
        </w:rPr>
        <w:t>, vyvolané provozní náklady budou kryty ze zdrojů FNOL (financování provozní ztráty).</w:t>
      </w:r>
    </w:p>
    <w:p w14:paraId="2D61C32D" w14:textId="7784FCA0" w:rsidR="00AA5995" w:rsidRPr="00D47422" w:rsidRDefault="00CA0869" w:rsidP="00CA0869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23144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Investiční </w:t>
      </w:r>
      <w:proofErr w:type="gramStart"/>
      <w:r w:rsidRPr="00D23144">
        <w:rPr>
          <w:rFonts w:cstheme="minorHAnsi"/>
          <w:b/>
          <w:bCs/>
          <w:color w:val="000000" w:themeColor="text1"/>
          <w:sz w:val="24"/>
          <w:szCs w:val="24"/>
          <w:u w:val="single"/>
        </w:rPr>
        <w:t>varianta :</w:t>
      </w:r>
      <w:proofErr w:type="gramEnd"/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  </w:t>
      </w:r>
      <w:r w:rsidR="00AA5995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AA5995">
        <w:rPr>
          <w:rFonts w:cstheme="minorHAnsi"/>
          <w:b/>
          <w:bCs/>
          <w:color w:val="000000" w:themeColor="text1"/>
          <w:sz w:val="24"/>
          <w:szCs w:val="24"/>
        </w:rPr>
        <w:tab/>
      </w:r>
      <w:r w:rsidR="00AA5995" w:rsidRPr="00D47422">
        <w:rPr>
          <w:rFonts w:cstheme="minorHAnsi"/>
          <w:sz w:val="24"/>
          <w:szCs w:val="24"/>
        </w:rPr>
        <w:t>provozní výnosy plynoucí z realizace nových investic po dobu referenčního období.</w:t>
      </w:r>
    </w:p>
    <w:p w14:paraId="031AC2AD" w14:textId="349CA4C7" w:rsidR="005C141B" w:rsidRPr="00CE3C0A" w:rsidRDefault="00CA0869" w:rsidP="00CA0869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D47422">
        <w:rPr>
          <w:rFonts w:cstheme="minorHAnsi"/>
          <w:color w:val="000000" w:themeColor="text1"/>
          <w:sz w:val="24"/>
          <w:szCs w:val="24"/>
        </w:rPr>
        <w:t>Provozní výnosy v investiční variantě:</w:t>
      </w:r>
      <w:r w:rsidR="00BF38A2">
        <w:rPr>
          <w:rFonts w:cstheme="minorHAnsi"/>
          <w:color w:val="000000" w:themeColor="text1"/>
          <w:sz w:val="24"/>
          <w:szCs w:val="24"/>
        </w:rPr>
        <w:tab/>
      </w:r>
      <w:r w:rsidR="00CE3C0A">
        <w:rPr>
          <w:rFonts w:cstheme="minorHAnsi"/>
          <w:color w:val="000000" w:themeColor="text1"/>
          <w:sz w:val="24"/>
          <w:szCs w:val="24"/>
        </w:rPr>
        <w:t>75</w:t>
      </w:r>
      <w:r w:rsidR="003E62D9" w:rsidRPr="00D47422">
        <w:rPr>
          <w:rFonts w:cstheme="minorHAnsi"/>
          <w:color w:val="000000" w:themeColor="text1"/>
          <w:sz w:val="24"/>
          <w:szCs w:val="24"/>
        </w:rPr>
        <w:t xml:space="preserve"> </w:t>
      </w:r>
      <w:r w:rsidR="00CE3C0A">
        <w:rPr>
          <w:rFonts w:cstheme="minorHAnsi"/>
          <w:color w:val="000000" w:themeColor="text1"/>
          <w:sz w:val="24"/>
          <w:szCs w:val="24"/>
        </w:rPr>
        <w:t>314</w:t>
      </w:r>
      <w:r w:rsidR="003E62D9" w:rsidRPr="00D47422">
        <w:rPr>
          <w:rFonts w:cstheme="minorHAnsi"/>
          <w:color w:val="000000" w:themeColor="text1"/>
          <w:sz w:val="24"/>
          <w:szCs w:val="24"/>
        </w:rPr>
        <w:t> </w:t>
      </w:r>
      <w:r w:rsidR="00CE3C0A">
        <w:rPr>
          <w:rFonts w:cstheme="minorHAnsi"/>
          <w:color w:val="000000" w:themeColor="text1"/>
          <w:sz w:val="24"/>
          <w:szCs w:val="24"/>
        </w:rPr>
        <w:t>86</w:t>
      </w:r>
      <w:r w:rsidR="007759A0">
        <w:rPr>
          <w:rFonts w:cstheme="minorHAnsi"/>
          <w:color w:val="000000" w:themeColor="text1"/>
          <w:sz w:val="24"/>
          <w:szCs w:val="24"/>
        </w:rPr>
        <w:t>2</w:t>
      </w:r>
      <w:r w:rsidR="003E62D9" w:rsidRPr="00D47422">
        <w:rPr>
          <w:rFonts w:cstheme="minorHAnsi"/>
          <w:color w:val="000000" w:themeColor="text1"/>
          <w:sz w:val="24"/>
          <w:szCs w:val="24"/>
        </w:rPr>
        <w:t>,- Kč</w:t>
      </w:r>
    </w:p>
    <w:p w14:paraId="2431A76A" w14:textId="2D7108BA" w:rsidR="005C141B" w:rsidRPr="00D47422" w:rsidRDefault="005C141B" w:rsidP="00CA0869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cs-CZ"/>
        </w:rPr>
      </w:pPr>
      <w:r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Struktura tržeb je složena z výkonů realizovaných na nových </w:t>
      </w:r>
      <w:r w:rsidR="00D23144"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 xml:space="preserve">laboratorních </w:t>
      </w:r>
      <w:r w:rsidRPr="00D47422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přístrojích</w:t>
      </w:r>
      <w:r w:rsidR="00DE3DAD">
        <w:rPr>
          <w:rFonts w:ascii="Calibri" w:eastAsia="Times New Roman" w:hAnsi="Calibri" w:cs="Calibri"/>
          <w:color w:val="000000" w:themeColor="text1"/>
          <w:sz w:val="24"/>
          <w:szCs w:val="24"/>
          <w:lang w:eastAsia="cs-CZ"/>
        </w:rPr>
        <w:t>.</w:t>
      </w:r>
    </w:p>
    <w:p w14:paraId="181E2DA8" w14:textId="7E1CF60E" w:rsidR="00F8497B" w:rsidRDefault="00F8497B" w:rsidP="00085A68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381872B8" w14:textId="77777777" w:rsidR="00CE3C0A" w:rsidRPr="00D47422" w:rsidRDefault="00CE3C0A" w:rsidP="00085A68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14:paraId="4AF5D4ED" w14:textId="71234A30" w:rsidR="005C141B" w:rsidRDefault="00C32660" w:rsidP="005C141B">
      <w:pPr>
        <w:jc w:val="both"/>
        <w:rPr>
          <w:rFonts w:cs="Arial"/>
          <w:sz w:val="24"/>
          <w:szCs w:val="24"/>
        </w:rPr>
      </w:pPr>
      <w:r w:rsidRPr="00D47422">
        <w:rPr>
          <w:rFonts w:cs="Arial"/>
          <w:color w:val="000000" w:themeColor="text1"/>
          <w:sz w:val="24"/>
          <w:szCs w:val="24"/>
        </w:rPr>
        <w:t>Provozní výdaje a příjmy plynoucí z provozu projektu jsou stanoveny bez zohlednění inflace</w:t>
      </w:r>
      <w:r w:rsidR="005C141B" w:rsidRPr="00D47422">
        <w:rPr>
          <w:rFonts w:cs="Arial"/>
          <w:color w:val="000000" w:themeColor="text1"/>
          <w:sz w:val="24"/>
          <w:szCs w:val="24"/>
        </w:rPr>
        <w:t>.</w:t>
      </w:r>
      <w:r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6279EA" w:rsidRPr="00D47422">
        <w:rPr>
          <w:rFonts w:cs="Arial"/>
          <w:color w:val="000000" w:themeColor="text1"/>
          <w:sz w:val="24"/>
          <w:szCs w:val="24"/>
        </w:rPr>
        <w:t>Provozní výdaje budou financovány z vlastních zdrojů FNOL generovaných</w:t>
      </w:r>
      <w:r w:rsidR="005C141B" w:rsidRPr="00D47422">
        <w:rPr>
          <w:rFonts w:cs="Arial"/>
          <w:color w:val="000000" w:themeColor="text1"/>
          <w:sz w:val="24"/>
          <w:szCs w:val="24"/>
        </w:rPr>
        <w:t xml:space="preserve"> vlastním </w:t>
      </w:r>
      <w:r w:rsidR="005C141B" w:rsidRPr="00D47422">
        <w:rPr>
          <w:rFonts w:cs="Arial"/>
          <w:sz w:val="24"/>
          <w:szCs w:val="24"/>
        </w:rPr>
        <w:t>provozem tohoto projektu.</w:t>
      </w:r>
    </w:p>
    <w:p w14:paraId="51DCE2B2" w14:textId="5D8EE90A" w:rsidR="008C6EF6" w:rsidRPr="00D47422" w:rsidRDefault="008C6EF6" w:rsidP="00085A68">
      <w:pPr>
        <w:spacing w:after="200"/>
        <w:jc w:val="both"/>
        <w:rPr>
          <w:rFonts w:cs="Arial"/>
          <w:iCs/>
          <w:color w:val="000000" w:themeColor="text1"/>
          <w:sz w:val="24"/>
          <w:szCs w:val="24"/>
        </w:rPr>
      </w:pPr>
      <w:r w:rsidRPr="008C6EF6">
        <w:rPr>
          <w:rFonts w:cs="Arial"/>
          <w:iCs/>
          <w:color w:val="000000" w:themeColor="text1"/>
          <w:sz w:val="24"/>
          <w:szCs w:val="24"/>
        </w:rPr>
        <w:t>Hlavním cílem projektu je modernizace</w:t>
      </w:r>
      <w:r w:rsidR="00D21795">
        <w:rPr>
          <w:rFonts w:cs="Arial"/>
          <w:iCs/>
          <w:color w:val="000000" w:themeColor="text1"/>
          <w:sz w:val="24"/>
          <w:szCs w:val="24"/>
        </w:rPr>
        <w:t>,</w:t>
      </w:r>
      <w:r w:rsidRPr="008C6EF6">
        <w:rPr>
          <w:rFonts w:cs="Arial"/>
          <w:iCs/>
          <w:color w:val="000000" w:themeColor="text1"/>
          <w:sz w:val="24"/>
          <w:szCs w:val="24"/>
        </w:rPr>
        <w:t xml:space="preserve"> obnova a nákup nového přístrojového vybavení pro laboratorní segment Fakultní nemocnice Olomouc. V době pandemie je na laboratoře kladen zvýšený nárok na rychlost a na počty vyšetření, zároveň se také mění spektrum požadovaných vyšetření a tím i potřebné přístrojové vybavení. Cílem projektu je tedy připravit nemocnici na tyto krizové situace v době pandemií.</w:t>
      </w:r>
    </w:p>
    <w:p w14:paraId="2EAA3572" w14:textId="77777777" w:rsidR="005C141B" w:rsidRPr="00D47422" w:rsidRDefault="005C141B" w:rsidP="005C141B">
      <w:pPr>
        <w:spacing w:after="200"/>
        <w:jc w:val="both"/>
        <w:rPr>
          <w:rFonts w:cs="Arial"/>
          <w:sz w:val="24"/>
          <w:szCs w:val="24"/>
        </w:rPr>
      </w:pPr>
      <w:r w:rsidRPr="00D47422">
        <w:rPr>
          <w:rFonts w:cstheme="minorHAnsi"/>
          <w:sz w:val="24"/>
          <w:szCs w:val="24"/>
        </w:rPr>
        <w:t>Předkládaný projekt není řešen variantně.</w:t>
      </w:r>
    </w:p>
    <w:p w14:paraId="52D121DE" w14:textId="17038EA8" w:rsidR="005C141B" w:rsidRDefault="005C141B" w:rsidP="005C141B">
      <w:pPr>
        <w:jc w:val="both"/>
        <w:rPr>
          <w:rFonts w:cstheme="minorHAnsi"/>
          <w:sz w:val="24"/>
          <w:szCs w:val="24"/>
        </w:rPr>
      </w:pPr>
      <w:r w:rsidRPr="00D47422">
        <w:rPr>
          <w:rFonts w:cstheme="minorHAnsi"/>
          <w:sz w:val="24"/>
          <w:szCs w:val="24"/>
        </w:rPr>
        <w:t>V níže přiložené tabulce je uveden přehled příjmů a výdajů v jednotlivých letech realizace projektu.</w:t>
      </w:r>
    </w:p>
    <w:p w14:paraId="7E848663" w14:textId="77777777" w:rsidR="007334DE" w:rsidRPr="00D47422" w:rsidRDefault="007334DE" w:rsidP="005C141B">
      <w:pPr>
        <w:jc w:val="both"/>
        <w:rPr>
          <w:rFonts w:cstheme="minorHAnsi"/>
          <w:sz w:val="24"/>
          <w:szCs w:val="24"/>
        </w:rPr>
      </w:pPr>
    </w:p>
    <w:p w14:paraId="1E32DEA3" w14:textId="77777777" w:rsidR="00914E19" w:rsidRDefault="00914E19" w:rsidP="00AF0DE1">
      <w:pPr>
        <w:spacing w:after="0"/>
        <w:jc w:val="both"/>
        <w:rPr>
          <w:rFonts w:cs="Arial"/>
          <w:color w:val="0000FF"/>
          <w:sz w:val="24"/>
          <w:szCs w:val="24"/>
        </w:rPr>
      </w:pPr>
    </w:p>
    <w:p w14:paraId="6295EAD0" w14:textId="77777777" w:rsidR="0062790E" w:rsidRDefault="0062790E" w:rsidP="00AF0DE1">
      <w:pPr>
        <w:spacing w:after="0"/>
        <w:jc w:val="both"/>
        <w:rPr>
          <w:rFonts w:cs="Arial"/>
          <w:color w:val="0000FF"/>
          <w:sz w:val="24"/>
          <w:szCs w:val="24"/>
        </w:rPr>
      </w:pPr>
    </w:p>
    <w:p w14:paraId="65FCC7EA" w14:textId="2093D66E" w:rsidR="0062790E" w:rsidRDefault="0062790E" w:rsidP="00AF0DE1">
      <w:pPr>
        <w:spacing w:after="0"/>
        <w:jc w:val="both"/>
        <w:rPr>
          <w:rFonts w:cs="Arial"/>
          <w:color w:val="0000FF"/>
          <w:sz w:val="24"/>
          <w:szCs w:val="24"/>
        </w:rPr>
        <w:sectPr w:rsidR="0062790E" w:rsidSect="000848EE">
          <w:pgSz w:w="11906" w:h="16838" w:code="9"/>
          <w:pgMar w:top="1418" w:right="1418" w:bottom="709" w:left="1276" w:header="709" w:footer="709" w:gutter="0"/>
          <w:cols w:space="708"/>
          <w:docGrid w:linePitch="360"/>
        </w:sectPr>
      </w:pPr>
    </w:p>
    <w:p w14:paraId="587D2D0B" w14:textId="3D8847EA" w:rsidR="00067532" w:rsidRDefault="0062790E" w:rsidP="006279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</w:t>
      </w:r>
      <w:r w:rsidRPr="00D47422">
        <w:rPr>
          <w:rFonts w:cstheme="minorHAnsi"/>
          <w:sz w:val="24"/>
          <w:szCs w:val="24"/>
        </w:rPr>
        <w:t>V níže přiložené tabulce je uveden přehled příjmů a výdajů v jednotlivých letech realizace projektu</w:t>
      </w:r>
      <w:r>
        <w:rPr>
          <w:rFonts w:cstheme="minorHAnsi"/>
          <w:sz w:val="24"/>
          <w:szCs w:val="24"/>
        </w:rPr>
        <w:t>:</w:t>
      </w:r>
      <w:r w:rsidR="00067532" w:rsidRPr="00067532">
        <w:rPr>
          <w:rFonts w:cstheme="minorHAnsi"/>
          <w:sz w:val="24"/>
          <w:szCs w:val="24"/>
        </w:rPr>
        <w:t xml:space="preserve"> </w:t>
      </w:r>
    </w:p>
    <w:p w14:paraId="2F37F19E" w14:textId="3D2620E8" w:rsidR="003C08CB" w:rsidRDefault="00A006A6" w:rsidP="000E1FF9">
      <w:pPr>
        <w:ind w:left="-284" w:firstLine="284"/>
        <w:jc w:val="both"/>
        <w:rPr>
          <w:rFonts w:cstheme="minorHAnsi"/>
          <w:sz w:val="24"/>
          <w:szCs w:val="24"/>
        </w:rPr>
      </w:pPr>
      <w:r w:rsidRPr="00A006A6">
        <w:rPr>
          <w:noProof/>
        </w:rPr>
        <w:drawing>
          <wp:inline distT="0" distB="0" distL="0" distR="0" wp14:anchorId="37F16068" wp14:editId="58D3DE5E">
            <wp:extent cx="8786495" cy="5941332"/>
            <wp:effectExtent l="0" t="0" r="0" b="254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104" cy="594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02BAA" w14:textId="5535F6A8" w:rsidR="00AF0DE1" w:rsidRDefault="00AF0DE1" w:rsidP="0062790E">
      <w:pPr>
        <w:spacing w:after="0"/>
        <w:ind w:left="284"/>
        <w:jc w:val="both"/>
        <w:rPr>
          <w:rFonts w:cs="Arial"/>
          <w:color w:val="0000FF"/>
          <w:sz w:val="24"/>
          <w:szCs w:val="24"/>
        </w:rPr>
        <w:sectPr w:rsidR="00AF0DE1" w:rsidSect="000E1FF9">
          <w:pgSz w:w="16838" w:h="11906" w:orient="landscape" w:code="9"/>
          <w:pgMar w:top="1134" w:right="1418" w:bottom="851" w:left="1418" w:header="709" w:footer="709" w:gutter="0"/>
          <w:cols w:space="708"/>
          <w:vAlign w:val="center"/>
          <w:docGrid w:linePitch="360"/>
        </w:sectPr>
      </w:pPr>
    </w:p>
    <w:p w14:paraId="4ED65780" w14:textId="1D317848" w:rsidR="0057581F" w:rsidRDefault="00D47422" w:rsidP="00BE1E22">
      <w:pPr>
        <w:spacing w:after="0"/>
        <w:ind w:left="-709"/>
        <w:jc w:val="both"/>
        <w:rPr>
          <w:rFonts w:cs="Arial"/>
          <w:color w:val="0000FF"/>
          <w:sz w:val="24"/>
          <w:szCs w:val="24"/>
        </w:rPr>
      </w:pPr>
      <w:r w:rsidRPr="00D47422">
        <w:rPr>
          <w:noProof/>
        </w:rPr>
        <w:lastRenderedPageBreak/>
        <w:drawing>
          <wp:inline distT="0" distB="0" distL="0" distR="0" wp14:anchorId="6C9CBF00" wp14:editId="136BE7A3">
            <wp:extent cx="1123950" cy="209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95AC" w14:textId="51F3CE44" w:rsidR="002E3A95" w:rsidRPr="00D97C04" w:rsidRDefault="00D97C04" w:rsidP="00D97C04">
      <w:pPr>
        <w:jc w:val="both"/>
        <w:rPr>
          <w:rFonts w:cs="Arial"/>
          <w:b/>
          <w:bCs/>
          <w:sz w:val="24"/>
          <w:szCs w:val="24"/>
        </w:rPr>
      </w:pPr>
      <w:r w:rsidRPr="00D97C04">
        <w:rPr>
          <w:rFonts w:cs="Arial"/>
          <w:b/>
          <w:bCs/>
          <w:sz w:val="24"/>
          <w:szCs w:val="24"/>
        </w:rPr>
        <w:t>Plán cash-</w:t>
      </w:r>
      <w:proofErr w:type="spellStart"/>
      <w:r w:rsidRPr="00D97C04">
        <w:rPr>
          <w:rFonts w:cs="Arial"/>
          <w:b/>
          <w:bCs/>
          <w:sz w:val="24"/>
          <w:szCs w:val="24"/>
        </w:rPr>
        <w:t>flow</w:t>
      </w:r>
      <w:proofErr w:type="spellEnd"/>
      <w:r w:rsidR="005C141B">
        <w:rPr>
          <w:rFonts w:cs="Arial"/>
          <w:b/>
          <w:bCs/>
          <w:sz w:val="24"/>
          <w:szCs w:val="24"/>
        </w:rPr>
        <w:t xml:space="preserve"> (rozdílová varianta)</w:t>
      </w:r>
    </w:p>
    <w:p w14:paraId="416EE2D3" w14:textId="49A67612" w:rsidR="006279EA" w:rsidRDefault="006279EA" w:rsidP="00047B3E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  <w:r w:rsidRPr="00D47422">
        <w:rPr>
          <w:rFonts w:cs="Arial"/>
          <w:color w:val="000000" w:themeColor="text1"/>
          <w:sz w:val="24"/>
          <w:szCs w:val="24"/>
        </w:rPr>
        <w:t>Při zohlednění nulové varianty budou celkové výdaje ve výši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6908A6">
        <w:rPr>
          <w:rFonts w:cs="Arial"/>
          <w:color w:val="000000" w:themeColor="text1"/>
          <w:sz w:val="24"/>
          <w:szCs w:val="24"/>
        </w:rPr>
        <w:t>75 878 9</w:t>
      </w:r>
      <w:r w:rsidR="00A006A6">
        <w:rPr>
          <w:rFonts w:cs="Arial"/>
          <w:color w:val="000000" w:themeColor="text1"/>
          <w:sz w:val="24"/>
          <w:szCs w:val="24"/>
        </w:rPr>
        <w:t>90</w:t>
      </w:r>
      <w:r w:rsidR="0057581F" w:rsidRPr="00D47422">
        <w:rPr>
          <w:rFonts w:cs="Arial"/>
          <w:color w:val="000000" w:themeColor="text1"/>
          <w:sz w:val="24"/>
          <w:szCs w:val="24"/>
        </w:rPr>
        <w:t>,-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Kč. Nejvyšší výd</w:t>
      </w:r>
      <w:r w:rsidR="004E1DC9">
        <w:rPr>
          <w:rFonts w:cs="Arial"/>
          <w:color w:val="000000" w:themeColor="text1"/>
          <w:sz w:val="24"/>
          <w:szCs w:val="24"/>
        </w:rPr>
        <w:t>a</w:t>
      </w:r>
      <w:r w:rsidR="009A33BC" w:rsidRPr="00D47422">
        <w:rPr>
          <w:rFonts w:cs="Arial"/>
          <w:color w:val="000000" w:themeColor="text1"/>
          <w:sz w:val="24"/>
          <w:szCs w:val="24"/>
        </w:rPr>
        <w:t>j</w:t>
      </w:r>
      <w:r w:rsidR="0057581F" w:rsidRPr="00D47422">
        <w:rPr>
          <w:rFonts w:cs="Arial"/>
          <w:color w:val="000000" w:themeColor="text1"/>
          <w:sz w:val="24"/>
          <w:szCs w:val="24"/>
        </w:rPr>
        <w:t>e</w:t>
      </w:r>
      <w:r w:rsidR="00351DDC" w:rsidRPr="00D47422">
        <w:rPr>
          <w:rFonts w:cs="Arial"/>
          <w:color w:val="000000" w:themeColor="text1"/>
          <w:sz w:val="24"/>
          <w:szCs w:val="24"/>
        </w:rPr>
        <w:t>,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EF4255" w:rsidRPr="00D47422">
        <w:rPr>
          <w:rFonts w:cs="Arial"/>
          <w:color w:val="000000" w:themeColor="text1"/>
          <w:sz w:val="24"/>
          <w:szCs w:val="24"/>
        </w:rPr>
        <w:t xml:space="preserve">a </w:t>
      </w:r>
      <w:r w:rsidR="00351DDC" w:rsidRPr="00D47422">
        <w:rPr>
          <w:rFonts w:cs="Arial"/>
          <w:color w:val="000000" w:themeColor="text1"/>
          <w:sz w:val="24"/>
          <w:szCs w:val="24"/>
        </w:rPr>
        <w:t>současně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i negativní cash-</w:t>
      </w:r>
      <w:proofErr w:type="spellStart"/>
      <w:r w:rsidR="009A33BC" w:rsidRPr="00D47422">
        <w:rPr>
          <w:rFonts w:cs="Arial"/>
          <w:color w:val="000000" w:themeColor="text1"/>
          <w:sz w:val="24"/>
          <w:szCs w:val="24"/>
        </w:rPr>
        <w:t>flow</w:t>
      </w:r>
      <w:proofErr w:type="spellEnd"/>
      <w:r w:rsidR="00351DDC" w:rsidRPr="00D47422">
        <w:rPr>
          <w:rFonts w:cs="Arial"/>
          <w:color w:val="000000" w:themeColor="text1"/>
          <w:sz w:val="24"/>
          <w:szCs w:val="24"/>
        </w:rPr>
        <w:t>,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57581F" w:rsidRPr="00D47422">
        <w:rPr>
          <w:rFonts w:cs="Arial"/>
          <w:color w:val="000000" w:themeColor="text1"/>
          <w:sz w:val="24"/>
          <w:szCs w:val="24"/>
        </w:rPr>
        <w:t xml:space="preserve">jsou </w:t>
      </w:r>
      <w:r w:rsidR="009A33BC" w:rsidRPr="00D47422">
        <w:rPr>
          <w:rFonts w:cs="Arial"/>
          <w:color w:val="000000" w:themeColor="text1"/>
          <w:sz w:val="24"/>
          <w:szCs w:val="24"/>
        </w:rPr>
        <w:t>v</w:t>
      </w:r>
      <w:r w:rsidR="0057581F" w:rsidRPr="00D47422">
        <w:rPr>
          <w:rFonts w:cs="Arial"/>
          <w:color w:val="000000" w:themeColor="text1"/>
          <w:sz w:val="24"/>
          <w:szCs w:val="24"/>
        </w:rPr>
        <w:t> letech pořízení 2021-2022</w:t>
      </w:r>
      <w:r w:rsidR="00D23144" w:rsidRPr="00D47422">
        <w:rPr>
          <w:rFonts w:cs="Arial"/>
          <w:color w:val="000000" w:themeColor="text1"/>
          <w:sz w:val="24"/>
          <w:szCs w:val="24"/>
        </w:rPr>
        <w:t xml:space="preserve"> a v </w:t>
      </w:r>
      <w:r w:rsidR="00D01D98" w:rsidRPr="00D47422">
        <w:rPr>
          <w:rFonts w:cs="Arial"/>
          <w:color w:val="000000" w:themeColor="text1"/>
          <w:sz w:val="24"/>
          <w:szCs w:val="24"/>
        </w:rPr>
        <w:t>letech</w:t>
      </w:r>
      <w:r w:rsidR="00D23144" w:rsidRPr="00D47422">
        <w:rPr>
          <w:rFonts w:cs="Arial"/>
          <w:color w:val="000000" w:themeColor="text1"/>
          <w:sz w:val="24"/>
          <w:szCs w:val="24"/>
        </w:rPr>
        <w:t xml:space="preserve"> reinvestice</w:t>
      </w:r>
      <w:r w:rsidR="0057581F" w:rsidRPr="00D47422">
        <w:rPr>
          <w:rFonts w:cs="Arial"/>
          <w:color w:val="000000" w:themeColor="text1"/>
          <w:sz w:val="24"/>
          <w:szCs w:val="24"/>
        </w:rPr>
        <w:t xml:space="preserve">. </w:t>
      </w:r>
      <w:r w:rsidR="009A33BC"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351DDC" w:rsidRPr="00D47422">
        <w:rPr>
          <w:rFonts w:cs="Arial"/>
          <w:color w:val="000000" w:themeColor="text1"/>
          <w:sz w:val="24"/>
          <w:szCs w:val="24"/>
        </w:rPr>
        <w:t>V</w:t>
      </w:r>
      <w:r w:rsidR="009A33BC" w:rsidRPr="00D47422">
        <w:rPr>
          <w:rFonts w:cs="Arial"/>
          <w:color w:val="000000" w:themeColor="text1"/>
          <w:sz w:val="24"/>
          <w:szCs w:val="24"/>
        </w:rPr>
        <w:t> kumulovaném vyjádření dochází k postupnému umořování záporného negativního</w:t>
      </w:r>
      <w:r w:rsidR="00047B3E" w:rsidRPr="00D47422">
        <w:rPr>
          <w:rFonts w:cs="Arial"/>
          <w:color w:val="000000" w:themeColor="text1"/>
          <w:sz w:val="24"/>
          <w:szCs w:val="24"/>
        </w:rPr>
        <w:t xml:space="preserve"> </w:t>
      </w:r>
      <w:r w:rsidR="009A33BC" w:rsidRPr="00D47422">
        <w:rPr>
          <w:rFonts w:cs="Arial"/>
          <w:color w:val="000000" w:themeColor="text1"/>
          <w:sz w:val="24"/>
          <w:szCs w:val="24"/>
        </w:rPr>
        <w:t>cash-</w:t>
      </w:r>
      <w:proofErr w:type="spellStart"/>
      <w:r w:rsidR="009A33BC" w:rsidRPr="00D47422">
        <w:rPr>
          <w:rFonts w:cs="Arial"/>
          <w:color w:val="000000" w:themeColor="text1"/>
          <w:sz w:val="24"/>
          <w:szCs w:val="24"/>
        </w:rPr>
        <w:t>flow</w:t>
      </w:r>
      <w:proofErr w:type="spellEnd"/>
      <w:r w:rsidR="00047B3E" w:rsidRPr="00D47422">
        <w:rPr>
          <w:rFonts w:cs="Arial"/>
          <w:color w:val="000000" w:themeColor="text1"/>
          <w:sz w:val="24"/>
          <w:szCs w:val="24"/>
        </w:rPr>
        <w:t xml:space="preserve"> v celé délce projektu.</w:t>
      </w:r>
    </w:p>
    <w:p w14:paraId="2B41A3C6" w14:textId="359BE5B8" w:rsidR="00593937" w:rsidRDefault="00593937" w:rsidP="009A184C">
      <w:pPr>
        <w:spacing w:after="0"/>
        <w:jc w:val="center"/>
        <w:rPr>
          <w:rFonts w:cs="Arial"/>
          <w:color w:val="000000" w:themeColor="text1"/>
          <w:sz w:val="24"/>
          <w:szCs w:val="24"/>
        </w:rPr>
      </w:pPr>
    </w:p>
    <w:p w14:paraId="38C898AA" w14:textId="77777777" w:rsidR="00BC7AF2" w:rsidRDefault="00BC7AF2" w:rsidP="009A184C">
      <w:pPr>
        <w:spacing w:after="0"/>
        <w:jc w:val="center"/>
        <w:rPr>
          <w:rFonts w:cs="Arial"/>
          <w:color w:val="000000" w:themeColor="text1"/>
          <w:sz w:val="24"/>
          <w:szCs w:val="24"/>
        </w:rPr>
      </w:pPr>
    </w:p>
    <w:p w14:paraId="50F5E03D" w14:textId="20C0709D" w:rsidR="00593937" w:rsidRDefault="00A006A6" w:rsidP="00A006A6">
      <w:pPr>
        <w:spacing w:after="0"/>
        <w:ind w:firstLine="142"/>
        <w:jc w:val="center"/>
        <w:rPr>
          <w:rFonts w:cs="Arial"/>
          <w:color w:val="000000" w:themeColor="text1"/>
          <w:sz w:val="24"/>
          <w:szCs w:val="24"/>
        </w:rPr>
      </w:pPr>
      <w:r w:rsidRPr="00A006A6">
        <w:rPr>
          <w:noProof/>
        </w:rPr>
        <w:drawing>
          <wp:inline distT="0" distB="0" distL="0" distR="0" wp14:anchorId="7B1D7315" wp14:editId="3AFB202F">
            <wp:extent cx="3766968" cy="5048250"/>
            <wp:effectExtent l="0" t="0" r="508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23" cy="505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50698" w14:textId="3E6ACD2F" w:rsidR="00593937" w:rsidRDefault="00593937" w:rsidP="00047B3E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</w:p>
    <w:p w14:paraId="224E675B" w14:textId="28693B8E" w:rsidR="00593937" w:rsidRDefault="00593937" w:rsidP="00593937">
      <w:pPr>
        <w:spacing w:after="0"/>
        <w:ind w:firstLine="1985"/>
        <w:jc w:val="both"/>
        <w:rPr>
          <w:rFonts w:cs="Arial"/>
          <w:color w:val="000000" w:themeColor="text1"/>
          <w:sz w:val="24"/>
          <w:szCs w:val="24"/>
        </w:rPr>
      </w:pPr>
    </w:p>
    <w:p w14:paraId="15EDAF9C" w14:textId="2B9F8C93" w:rsidR="00BE1E22" w:rsidRDefault="00BE1E22" w:rsidP="00047B3E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</w:p>
    <w:p w14:paraId="22E0B23B" w14:textId="003E0C72" w:rsidR="003C08CB" w:rsidRDefault="003C08CB" w:rsidP="003C08CB">
      <w:pPr>
        <w:spacing w:after="0"/>
        <w:ind w:firstLine="1701"/>
        <w:jc w:val="both"/>
        <w:rPr>
          <w:rFonts w:cs="Arial"/>
          <w:color w:val="000000" w:themeColor="text1"/>
          <w:sz w:val="24"/>
          <w:szCs w:val="24"/>
        </w:rPr>
      </w:pPr>
    </w:p>
    <w:p w14:paraId="1713962B" w14:textId="5DAB9BBD" w:rsidR="00BE1E22" w:rsidRDefault="00BE1E22" w:rsidP="00BE1E22">
      <w:pPr>
        <w:spacing w:after="0"/>
        <w:ind w:firstLine="2410"/>
        <w:jc w:val="both"/>
        <w:rPr>
          <w:rFonts w:cs="Arial"/>
          <w:color w:val="000000" w:themeColor="text1"/>
          <w:sz w:val="24"/>
          <w:szCs w:val="24"/>
        </w:rPr>
      </w:pPr>
    </w:p>
    <w:p w14:paraId="577F4063" w14:textId="3391DFE4" w:rsidR="000421C9" w:rsidRDefault="000421C9" w:rsidP="00047B3E">
      <w:pPr>
        <w:spacing w:after="0"/>
        <w:jc w:val="both"/>
        <w:rPr>
          <w:rFonts w:cs="Arial"/>
          <w:sz w:val="24"/>
          <w:szCs w:val="24"/>
        </w:rPr>
      </w:pPr>
    </w:p>
    <w:p w14:paraId="51E81A42" w14:textId="4A796575" w:rsidR="005C141B" w:rsidRDefault="005C141B" w:rsidP="00D23144">
      <w:pPr>
        <w:ind w:firstLine="1418"/>
        <w:jc w:val="both"/>
        <w:rPr>
          <w:rFonts w:cs="Arial"/>
          <w:b/>
          <w:bCs/>
          <w:sz w:val="24"/>
          <w:szCs w:val="24"/>
        </w:rPr>
      </w:pPr>
    </w:p>
    <w:p w14:paraId="2E360961" w14:textId="77777777" w:rsidR="00A006A6" w:rsidRDefault="00A006A6" w:rsidP="00D23144">
      <w:pPr>
        <w:ind w:firstLine="1418"/>
        <w:jc w:val="both"/>
        <w:rPr>
          <w:rFonts w:cs="Arial"/>
          <w:b/>
          <w:bCs/>
          <w:sz w:val="24"/>
          <w:szCs w:val="24"/>
        </w:rPr>
      </w:pPr>
    </w:p>
    <w:p w14:paraId="65411BB2" w14:textId="5026724D" w:rsidR="005C141B" w:rsidRDefault="005C141B" w:rsidP="00047B3E">
      <w:pPr>
        <w:jc w:val="both"/>
        <w:rPr>
          <w:rFonts w:cs="Arial"/>
          <w:b/>
          <w:bCs/>
          <w:sz w:val="24"/>
          <w:szCs w:val="24"/>
        </w:rPr>
      </w:pPr>
    </w:p>
    <w:p w14:paraId="326C60CE" w14:textId="24E95447" w:rsidR="00047B3E" w:rsidRPr="00047B3E" w:rsidRDefault="00047B3E" w:rsidP="00BF38A2">
      <w:pPr>
        <w:ind w:left="-284"/>
        <w:jc w:val="both"/>
        <w:rPr>
          <w:rFonts w:cs="Arial"/>
          <w:b/>
          <w:bCs/>
          <w:sz w:val="24"/>
          <w:szCs w:val="24"/>
        </w:rPr>
      </w:pPr>
      <w:r w:rsidRPr="00047B3E">
        <w:rPr>
          <w:rFonts w:cs="Arial"/>
          <w:b/>
          <w:bCs/>
          <w:sz w:val="24"/>
          <w:szCs w:val="24"/>
        </w:rPr>
        <w:t>Výsledky finanční analýzy</w:t>
      </w:r>
      <w:r w:rsidR="005C141B">
        <w:rPr>
          <w:rFonts w:cs="Arial"/>
          <w:b/>
          <w:bCs/>
          <w:sz w:val="24"/>
          <w:szCs w:val="24"/>
        </w:rPr>
        <w:t xml:space="preserve"> (rozdílová varianta)</w:t>
      </w:r>
    </w:p>
    <w:p w14:paraId="4D9DC560" w14:textId="6F0993E2" w:rsidR="005C141B" w:rsidRDefault="0055774E" w:rsidP="00AF4CED">
      <w:pPr>
        <w:spacing w:after="0"/>
        <w:ind w:left="-284"/>
        <w:jc w:val="both"/>
        <w:rPr>
          <w:rFonts w:cs="Arial"/>
          <w:sz w:val="24"/>
          <w:szCs w:val="24"/>
        </w:rPr>
      </w:pPr>
      <w:r w:rsidRPr="001A63D3">
        <w:rPr>
          <w:rFonts w:cs="Arial"/>
          <w:color w:val="000000" w:themeColor="text1"/>
          <w:sz w:val="24"/>
          <w:szCs w:val="24"/>
        </w:rPr>
        <w:t xml:space="preserve">V následující tabulce jsou uvedeny výsledky finanční analýzy projektu v podobě vypočtených kriteriálních ukazatelů. </w:t>
      </w:r>
      <w:r w:rsidR="005C141B" w:rsidRPr="00085A68">
        <w:rPr>
          <w:rFonts w:cs="Arial"/>
          <w:sz w:val="24"/>
          <w:szCs w:val="24"/>
        </w:rPr>
        <w:t>S ohledem na požadavky výzvy je referenční období pro výpočty stanoven</w:t>
      </w:r>
      <w:r w:rsidR="000E1FF9">
        <w:rPr>
          <w:rFonts w:cs="Arial"/>
          <w:sz w:val="24"/>
          <w:szCs w:val="24"/>
        </w:rPr>
        <w:t>o</w:t>
      </w:r>
      <w:r w:rsidR="005C141B" w:rsidRPr="00085A68">
        <w:rPr>
          <w:rFonts w:cs="Arial"/>
          <w:sz w:val="24"/>
          <w:szCs w:val="24"/>
        </w:rPr>
        <w:t xml:space="preserve"> na 1</w:t>
      </w:r>
      <w:r w:rsidR="005C141B">
        <w:rPr>
          <w:rFonts w:cs="Arial"/>
          <w:sz w:val="24"/>
          <w:szCs w:val="24"/>
        </w:rPr>
        <w:t>5</w:t>
      </w:r>
      <w:r w:rsidR="005C141B" w:rsidRPr="00085A68">
        <w:rPr>
          <w:rFonts w:cs="Arial"/>
          <w:sz w:val="24"/>
          <w:szCs w:val="24"/>
        </w:rPr>
        <w:t xml:space="preserve"> le</w:t>
      </w:r>
      <w:r w:rsidR="005C141B">
        <w:rPr>
          <w:rFonts w:cs="Arial"/>
          <w:sz w:val="24"/>
          <w:szCs w:val="24"/>
        </w:rPr>
        <w:t>t.</w:t>
      </w:r>
      <w:r w:rsidR="005C141B" w:rsidRPr="00085A68">
        <w:rPr>
          <w:rFonts w:cs="Arial"/>
          <w:sz w:val="24"/>
          <w:szCs w:val="24"/>
        </w:rPr>
        <w:t xml:space="preserve"> </w:t>
      </w:r>
    </w:p>
    <w:p w14:paraId="6786D56B" w14:textId="77777777" w:rsidR="00593937" w:rsidRDefault="00593937" w:rsidP="00AF4CED">
      <w:pPr>
        <w:spacing w:after="0"/>
        <w:ind w:left="-284"/>
        <w:jc w:val="both"/>
        <w:rPr>
          <w:rFonts w:cs="Arial"/>
          <w:sz w:val="24"/>
          <w:szCs w:val="24"/>
        </w:rPr>
      </w:pPr>
    </w:p>
    <w:p w14:paraId="25C9932C" w14:textId="411FC0C6" w:rsidR="00593937" w:rsidRDefault="00593937" w:rsidP="00AF4CED">
      <w:pPr>
        <w:spacing w:after="0"/>
        <w:ind w:left="-284"/>
        <w:jc w:val="both"/>
        <w:rPr>
          <w:rFonts w:cs="Arial"/>
          <w:sz w:val="24"/>
          <w:szCs w:val="24"/>
        </w:rPr>
      </w:pPr>
    </w:p>
    <w:p w14:paraId="3AE78BD9" w14:textId="16C77A5C" w:rsidR="000421C9" w:rsidRDefault="00A006A6" w:rsidP="00A006A6">
      <w:pPr>
        <w:spacing w:after="0"/>
        <w:ind w:hanging="142"/>
        <w:jc w:val="both"/>
        <w:rPr>
          <w:rFonts w:cs="Arial"/>
          <w:sz w:val="24"/>
          <w:szCs w:val="24"/>
        </w:rPr>
      </w:pPr>
      <w:r w:rsidRPr="00A006A6">
        <w:rPr>
          <w:noProof/>
        </w:rPr>
        <w:drawing>
          <wp:inline distT="0" distB="0" distL="0" distR="0" wp14:anchorId="698CD34D" wp14:editId="30487637">
            <wp:extent cx="5941060" cy="5247005"/>
            <wp:effectExtent l="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2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3A5BC" w14:textId="42AB6DBF" w:rsidR="0055774E" w:rsidRPr="00AB32DB" w:rsidRDefault="00E5520B" w:rsidP="00E5520B">
      <w:pPr>
        <w:rPr>
          <w:rFonts w:cstheme="minorHAnsi"/>
          <w:sz w:val="24"/>
          <w:szCs w:val="24"/>
        </w:rPr>
      </w:pPr>
      <w:r>
        <w:rPr>
          <w:rFonts w:cs="Arial"/>
          <w:color w:val="767171" w:themeColor="background2" w:themeShade="80"/>
          <w:sz w:val="20"/>
          <w:szCs w:val="20"/>
        </w:rPr>
        <w:t xml:space="preserve">     </w:t>
      </w:r>
      <w:r w:rsidR="00D51014">
        <w:rPr>
          <w:rFonts w:cs="Arial"/>
          <w:color w:val="767171" w:themeColor="background2" w:themeShade="80"/>
          <w:sz w:val="20"/>
          <w:szCs w:val="20"/>
        </w:rPr>
        <w:t xml:space="preserve"> </w:t>
      </w:r>
      <w:r w:rsidR="00FB5FE2">
        <w:rPr>
          <w:rFonts w:cs="Arial"/>
          <w:color w:val="767171" w:themeColor="background2" w:themeShade="80"/>
          <w:sz w:val="20"/>
          <w:szCs w:val="20"/>
        </w:rPr>
        <w:t xml:space="preserve">     </w:t>
      </w:r>
      <w:r w:rsidR="00D51014" w:rsidRPr="00AB32DB">
        <w:rPr>
          <w:rFonts w:cs="Arial"/>
          <w:color w:val="767171" w:themeColor="background2" w:themeShade="80"/>
          <w:sz w:val="20"/>
          <w:szCs w:val="20"/>
        </w:rPr>
        <w:t>Diskontní sazba je stanovena ve výši 4</w:t>
      </w:r>
      <w:r w:rsidR="00D51014">
        <w:rPr>
          <w:rFonts w:cs="Arial"/>
          <w:color w:val="767171" w:themeColor="background2" w:themeShade="80"/>
          <w:sz w:val="20"/>
          <w:szCs w:val="20"/>
        </w:rPr>
        <w:t xml:space="preserve"> </w:t>
      </w:r>
      <w:proofErr w:type="gramStart"/>
      <w:r w:rsidR="00D51014" w:rsidRPr="00AB32DB">
        <w:rPr>
          <w:rFonts w:cs="Arial"/>
          <w:color w:val="767171" w:themeColor="background2" w:themeShade="80"/>
          <w:sz w:val="20"/>
          <w:szCs w:val="20"/>
        </w:rPr>
        <w:t xml:space="preserve">% </w:t>
      </w:r>
      <w:r w:rsidR="00D51014">
        <w:rPr>
          <w:rFonts w:cs="Arial"/>
          <w:color w:val="767171" w:themeColor="background2" w:themeShade="80"/>
          <w:sz w:val="20"/>
          <w:szCs w:val="20"/>
        </w:rPr>
        <w:t>.</w:t>
      </w:r>
      <w:proofErr w:type="gramEnd"/>
      <w:r w:rsidR="00351DDC">
        <w:rPr>
          <w:rFonts w:cstheme="minorHAnsi"/>
          <w:sz w:val="24"/>
          <w:szCs w:val="24"/>
        </w:rPr>
        <w:t xml:space="preserve">  </w:t>
      </w:r>
    </w:p>
    <w:p w14:paraId="4425A893" w14:textId="53CD4103" w:rsidR="00FB5FE2" w:rsidRDefault="00AB32DB" w:rsidP="00FB5FE2">
      <w:pPr>
        <w:ind w:hanging="284"/>
        <w:jc w:val="both"/>
        <w:rPr>
          <w:rFonts w:cs="Arial"/>
          <w:color w:val="000000" w:themeColor="text1"/>
        </w:rPr>
      </w:pPr>
      <w:r>
        <w:rPr>
          <w:rFonts w:cs="Arial"/>
          <w:sz w:val="24"/>
          <w:szCs w:val="24"/>
        </w:rPr>
        <w:t>Čistá současná hodnota</w:t>
      </w:r>
      <w:r w:rsidR="00085A68">
        <w:rPr>
          <w:rFonts w:cs="Arial"/>
          <w:sz w:val="24"/>
          <w:szCs w:val="24"/>
        </w:rPr>
        <w:t xml:space="preserve"> projektu</w:t>
      </w:r>
      <w:r w:rsidR="00C5359A">
        <w:rPr>
          <w:rFonts w:cs="Arial"/>
          <w:sz w:val="24"/>
          <w:szCs w:val="24"/>
        </w:rPr>
        <w:t xml:space="preserve"> </w:t>
      </w:r>
      <w:r w:rsidR="00085A68">
        <w:rPr>
          <w:rFonts w:cs="Arial"/>
          <w:sz w:val="24"/>
          <w:szCs w:val="24"/>
        </w:rPr>
        <w:t xml:space="preserve">je </w:t>
      </w:r>
      <w:r w:rsidR="005C141B">
        <w:rPr>
          <w:rFonts w:cs="Arial"/>
          <w:sz w:val="24"/>
          <w:szCs w:val="24"/>
        </w:rPr>
        <w:t>nižší</w:t>
      </w:r>
      <w:r w:rsidR="00085A68">
        <w:rPr>
          <w:rFonts w:cs="Arial"/>
          <w:sz w:val="24"/>
          <w:szCs w:val="24"/>
        </w:rPr>
        <w:t xml:space="preserve"> </w:t>
      </w:r>
      <w:r w:rsidR="00280352">
        <w:rPr>
          <w:rFonts w:cs="Arial"/>
          <w:sz w:val="24"/>
          <w:szCs w:val="24"/>
        </w:rPr>
        <w:t>než</w:t>
      </w:r>
      <w:r w:rsidR="00085A68">
        <w:rPr>
          <w:rFonts w:cs="Arial"/>
          <w:sz w:val="24"/>
          <w:szCs w:val="24"/>
        </w:rPr>
        <w:t xml:space="preserve"> 0, dosahuje výše </w:t>
      </w:r>
      <w:r w:rsidR="00280352">
        <w:rPr>
          <w:rFonts w:cs="Arial"/>
          <w:sz w:val="24"/>
          <w:szCs w:val="24"/>
        </w:rPr>
        <w:t xml:space="preserve">  </w:t>
      </w:r>
      <w:r w:rsidR="004628CB" w:rsidRPr="00D23144">
        <w:rPr>
          <w:rFonts w:cs="Arial"/>
          <w:color w:val="000000" w:themeColor="text1"/>
        </w:rPr>
        <w:t>-</w:t>
      </w:r>
      <w:r w:rsidR="006908A6">
        <w:rPr>
          <w:rFonts w:cs="Arial"/>
          <w:color w:val="000000" w:themeColor="text1"/>
        </w:rPr>
        <w:t>5</w:t>
      </w:r>
      <w:r w:rsidR="004628CB" w:rsidRPr="00D23144">
        <w:rPr>
          <w:rFonts w:cs="Arial"/>
          <w:color w:val="000000" w:themeColor="text1"/>
        </w:rPr>
        <w:t> </w:t>
      </w:r>
      <w:r w:rsidR="006908A6">
        <w:rPr>
          <w:rFonts w:cs="Arial"/>
          <w:color w:val="000000" w:themeColor="text1"/>
        </w:rPr>
        <w:t>478</w:t>
      </w:r>
      <w:r w:rsidR="001B20F4">
        <w:rPr>
          <w:rFonts w:cs="Arial"/>
          <w:color w:val="000000" w:themeColor="text1"/>
        </w:rPr>
        <w:t> </w:t>
      </w:r>
      <w:r w:rsidR="006908A6">
        <w:rPr>
          <w:rFonts w:cs="Arial"/>
          <w:color w:val="000000" w:themeColor="text1"/>
        </w:rPr>
        <w:t>17</w:t>
      </w:r>
      <w:r w:rsidR="00A006A6">
        <w:rPr>
          <w:rFonts w:cs="Arial"/>
          <w:color w:val="000000" w:themeColor="text1"/>
        </w:rPr>
        <w:t>9</w:t>
      </w:r>
      <w:r w:rsidR="001B20F4">
        <w:rPr>
          <w:rFonts w:cs="Arial"/>
          <w:color w:val="000000" w:themeColor="text1"/>
        </w:rPr>
        <w:t>,-</w:t>
      </w:r>
      <w:r w:rsidR="00085A68" w:rsidRPr="00D23144">
        <w:rPr>
          <w:rFonts w:cs="Arial"/>
          <w:color w:val="000000" w:themeColor="text1"/>
        </w:rPr>
        <w:t xml:space="preserve"> </w:t>
      </w:r>
      <w:r w:rsidR="00085A68" w:rsidRPr="00180DE9">
        <w:rPr>
          <w:rFonts w:cs="Arial"/>
          <w:color w:val="000000" w:themeColor="text1"/>
        </w:rPr>
        <w:t>Kč</w:t>
      </w:r>
      <w:r w:rsidR="00FB5FE2">
        <w:rPr>
          <w:rFonts w:cs="Arial"/>
          <w:color w:val="000000" w:themeColor="text1"/>
        </w:rPr>
        <w:t xml:space="preserve"> </w:t>
      </w:r>
    </w:p>
    <w:p w14:paraId="0F8D05FA" w14:textId="5735CAB7" w:rsidR="00B51D1C" w:rsidRPr="00B51D1C" w:rsidRDefault="00B51D1C" w:rsidP="00FB5FE2">
      <w:pPr>
        <w:ind w:hanging="284"/>
        <w:jc w:val="both"/>
        <w:rPr>
          <w:rFonts w:cs="Arial"/>
          <w:sz w:val="24"/>
          <w:szCs w:val="24"/>
        </w:rPr>
      </w:pPr>
      <w:bookmarkStart w:id="2" w:name="_Hlk69480282"/>
      <w:r w:rsidRPr="00B51D1C">
        <w:rPr>
          <w:rFonts w:cs="Arial"/>
          <w:sz w:val="24"/>
          <w:szCs w:val="24"/>
        </w:rPr>
        <w:t>Čistý tok kumulovaného vytvářeného peněžního toku je kladný pro všechny uvažované roky.</w:t>
      </w:r>
    </w:p>
    <w:bookmarkEnd w:id="2"/>
    <w:p w14:paraId="7F0379BD" w14:textId="77777777" w:rsidR="00A66197" w:rsidRDefault="005C141B" w:rsidP="00A66197">
      <w:pPr>
        <w:ind w:left="-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Udržitelnost projektu dosahuje kladné hodnoty </w:t>
      </w:r>
      <w:r w:rsidR="00F5046D">
        <w:rPr>
          <w:rFonts w:cs="Arial"/>
          <w:sz w:val="24"/>
          <w:szCs w:val="24"/>
        </w:rPr>
        <w:t>13 024 45</w:t>
      </w:r>
      <w:r w:rsidR="00A006A6">
        <w:rPr>
          <w:rFonts w:cs="Arial"/>
          <w:sz w:val="24"/>
          <w:szCs w:val="24"/>
        </w:rPr>
        <w:t>8</w:t>
      </w:r>
      <w:r w:rsidRPr="008D2E3B">
        <w:rPr>
          <w:rFonts w:cs="Arial"/>
        </w:rPr>
        <w:t>,</w:t>
      </w:r>
      <w:r>
        <w:rPr>
          <w:rFonts w:cs="Arial"/>
          <w:sz w:val="24"/>
          <w:szCs w:val="24"/>
        </w:rPr>
        <w:t xml:space="preserve">- Kč, projekt je udržitelný. </w:t>
      </w:r>
    </w:p>
    <w:p w14:paraId="40465EE2" w14:textId="615D2901" w:rsidR="00A66197" w:rsidRPr="00A66197" w:rsidRDefault="00A66197" w:rsidP="00A66197">
      <w:pPr>
        <w:ind w:left="-284"/>
        <w:jc w:val="both"/>
        <w:rPr>
          <w:rFonts w:cs="Arial"/>
          <w:sz w:val="24"/>
          <w:szCs w:val="24"/>
        </w:rPr>
      </w:pPr>
      <w:r w:rsidRPr="0041362F">
        <w:rPr>
          <w:rFonts w:cs="Arial"/>
          <w:sz w:val="24"/>
          <w:szCs w:val="24"/>
        </w:rPr>
        <w:t>Případné haléřové rozdíly v</w:t>
      </w:r>
      <w:r>
        <w:rPr>
          <w:rFonts w:cs="Arial"/>
          <w:sz w:val="24"/>
          <w:szCs w:val="24"/>
        </w:rPr>
        <w:t>e finanční analýze</w:t>
      </w:r>
      <w:r w:rsidRPr="0041362F">
        <w:rPr>
          <w:rFonts w:cs="Arial"/>
          <w:sz w:val="24"/>
          <w:szCs w:val="24"/>
        </w:rPr>
        <w:t xml:space="preserve"> jsou dány zaokrouhlováním položek.</w:t>
      </w:r>
    </w:p>
    <w:p w14:paraId="1B083A1A" w14:textId="77777777" w:rsidR="00A11AC9" w:rsidRDefault="00A11AC9" w:rsidP="00A11AC9">
      <w:pPr>
        <w:ind w:left="-284"/>
        <w:jc w:val="both"/>
        <w:rPr>
          <w:rFonts w:cs="Arial"/>
          <w:sz w:val="24"/>
          <w:szCs w:val="24"/>
        </w:rPr>
      </w:pPr>
    </w:p>
    <w:p w14:paraId="5E5DFEC4" w14:textId="77777777" w:rsidR="005B3CB8" w:rsidRDefault="005B3CB8" w:rsidP="005C141B">
      <w:pPr>
        <w:rPr>
          <w:rFonts w:cs="Arial"/>
          <w:sz w:val="24"/>
          <w:szCs w:val="24"/>
        </w:rPr>
        <w:sectPr w:rsidR="005B3CB8" w:rsidSect="00AF4CED">
          <w:pgSz w:w="11906" w:h="16838"/>
          <w:pgMar w:top="1417" w:right="1274" w:bottom="1417" w:left="1276" w:header="708" w:footer="708" w:gutter="0"/>
          <w:cols w:space="708"/>
          <w:docGrid w:linePitch="360"/>
        </w:sectPr>
      </w:pPr>
    </w:p>
    <w:p w14:paraId="3D82FA8C" w14:textId="67062467" w:rsidR="00F5046D" w:rsidRDefault="005B3CB8" w:rsidP="00DB0B7C">
      <w:pPr>
        <w:rPr>
          <w:rFonts w:cs="Arial"/>
          <w:b/>
          <w:bCs/>
          <w:sz w:val="24"/>
          <w:szCs w:val="24"/>
        </w:rPr>
      </w:pPr>
      <w:r w:rsidRPr="005B3CB8">
        <w:rPr>
          <w:rFonts w:cs="Arial"/>
          <w:b/>
          <w:bCs/>
          <w:sz w:val="24"/>
          <w:szCs w:val="24"/>
        </w:rPr>
        <w:t>Souhrn finanční analýzy:</w:t>
      </w:r>
      <w:r w:rsidR="00A006A6" w:rsidRPr="00A006A6">
        <w:rPr>
          <w:noProof/>
        </w:rPr>
        <w:drawing>
          <wp:inline distT="0" distB="0" distL="0" distR="0" wp14:anchorId="2044B25D" wp14:editId="013EF33D">
            <wp:extent cx="9235440" cy="5796390"/>
            <wp:effectExtent l="0" t="0" r="381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600" cy="580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3A0E0" w14:textId="390FC42E" w:rsidR="005B3CB8" w:rsidRPr="005B3CB8" w:rsidRDefault="005B3CB8" w:rsidP="005C141B">
      <w:pPr>
        <w:rPr>
          <w:rFonts w:cs="Arial"/>
          <w:b/>
          <w:bCs/>
          <w:sz w:val="24"/>
          <w:szCs w:val="24"/>
        </w:rPr>
        <w:sectPr w:rsidR="005B3CB8" w:rsidRPr="005B3CB8" w:rsidSect="00CA096D">
          <w:pgSz w:w="16838" w:h="11906" w:orient="landscape"/>
          <w:pgMar w:top="1276" w:right="1418" w:bottom="1134" w:left="1418" w:header="709" w:footer="709" w:gutter="0"/>
          <w:cols w:space="708"/>
          <w:docGrid w:linePitch="360"/>
        </w:sectPr>
      </w:pPr>
    </w:p>
    <w:p w14:paraId="7E4100ED" w14:textId="4B5D7038" w:rsidR="00D21795" w:rsidRPr="00F5046D" w:rsidRDefault="00D21795" w:rsidP="00D21795">
      <w:pPr>
        <w:pStyle w:val="Odstavecseseznamem"/>
        <w:numPr>
          <w:ilvl w:val="0"/>
          <w:numId w:val="3"/>
        </w:numPr>
      </w:pPr>
      <w:r w:rsidRPr="00D2179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 ekonomické analýze k projektu v rámci programu REACT-EU</w:t>
      </w:r>
    </w:p>
    <w:p w14:paraId="5AA6EB1C" w14:textId="5096780C" w:rsidR="00F5046D" w:rsidRDefault="00F5046D" w:rsidP="00F5046D">
      <w:pPr>
        <w:pStyle w:val="Odstavecseseznamem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37884D43" w14:textId="0308C235" w:rsidR="00F5046D" w:rsidRDefault="00F5046D" w:rsidP="00F5046D">
      <w:pPr>
        <w:pStyle w:val="Odstavecseseznamem"/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1B62435B" w14:textId="5C45A3F0" w:rsidR="00F5046D" w:rsidRPr="004970DB" w:rsidRDefault="00F5046D" w:rsidP="00F5046D">
      <w:pPr>
        <w:jc w:val="both"/>
        <w:rPr>
          <w:sz w:val="24"/>
          <w:szCs w:val="24"/>
        </w:rPr>
      </w:pPr>
      <w:r w:rsidRPr="004970DB">
        <w:rPr>
          <w:sz w:val="24"/>
          <w:szCs w:val="24"/>
        </w:rPr>
        <w:t>Tato kapitola není zpracována, pro projekt</w:t>
      </w:r>
      <w:r>
        <w:rPr>
          <w:sz w:val="24"/>
          <w:szCs w:val="24"/>
        </w:rPr>
        <w:t xml:space="preserve"> není </w:t>
      </w:r>
      <w:r w:rsidRPr="004970DB">
        <w:rPr>
          <w:sz w:val="24"/>
          <w:szCs w:val="24"/>
        </w:rPr>
        <w:t xml:space="preserve">relevantní, </w:t>
      </w:r>
      <w:r>
        <w:rPr>
          <w:sz w:val="24"/>
          <w:szCs w:val="24"/>
        </w:rPr>
        <w:t xml:space="preserve">vzhledem k výši </w:t>
      </w:r>
      <w:r w:rsidRPr="004970DB">
        <w:rPr>
          <w:sz w:val="24"/>
          <w:szCs w:val="24"/>
        </w:rPr>
        <w:t>projekt</w:t>
      </w:r>
      <w:r>
        <w:rPr>
          <w:sz w:val="24"/>
          <w:szCs w:val="24"/>
        </w:rPr>
        <w:t>u</w:t>
      </w:r>
      <w:r w:rsidRPr="004970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méně než </w:t>
      </w:r>
      <w:r w:rsidRPr="004970DB">
        <w:rPr>
          <w:sz w:val="24"/>
          <w:szCs w:val="24"/>
        </w:rPr>
        <w:t>100 mil.</w:t>
      </w:r>
      <w:r>
        <w:rPr>
          <w:sz w:val="24"/>
          <w:szCs w:val="24"/>
        </w:rPr>
        <w:t xml:space="preserve"> </w:t>
      </w:r>
      <w:r w:rsidRPr="004970DB">
        <w:rPr>
          <w:sz w:val="24"/>
          <w:szCs w:val="24"/>
        </w:rPr>
        <w:t xml:space="preserve">Kč celkových způsobilých výdajů. </w:t>
      </w:r>
    </w:p>
    <w:sectPr w:rsidR="00F5046D" w:rsidRPr="004970DB" w:rsidSect="00183375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F24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8696A"/>
    <w:multiLevelType w:val="hybridMultilevel"/>
    <w:tmpl w:val="BDF0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F3AE5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3329E"/>
    <w:multiLevelType w:val="multilevel"/>
    <w:tmpl w:val="BF3CECA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4472C4" w:themeColor="accent1"/>
        <w:sz w:val="32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/>
        <w:color w:val="2E74B5" w:themeColor="accent5" w:themeShade="BF"/>
        <w:sz w:val="22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3"/>
    <w:rsid w:val="00001576"/>
    <w:rsid w:val="00014D42"/>
    <w:rsid w:val="000421C9"/>
    <w:rsid w:val="00047B3E"/>
    <w:rsid w:val="00067532"/>
    <w:rsid w:val="00067648"/>
    <w:rsid w:val="000848EE"/>
    <w:rsid w:val="00085A68"/>
    <w:rsid w:val="00097F06"/>
    <w:rsid w:val="000D7F8B"/>
    <w:rsid w:val="000E1FF9"/>
    <w:rsid w:val="000F0014"/>
    <w:rsid w:val="00145B06"/>
    <w:rsid w:val="00180DE9"/>
    <w:rsid w:val="00183375"/>
    <w:rsid w:val="001913AD"/>
    <w:rsid w:val="001A63D3"/>
    <w:rsid w:val="001B20F4"/>
    <w:rsid w:val="001B3BD9"/>
    <w:rsid w:val="00200F16"/>
    <w:rsid w:val="0021586D"/>
    <w:rsid w:val="0025631E"/>
    <w:rsid w:val="00280352"/>
    <w:rsid w:val="00295EC1"/>
    <w:rsid w:val="002E3A95"/>
    <w:rsid w:val="002F0756"/>
    <w:rsid w:val="00332F1D"/>
    <w:rsid w:val="00351DDC"/>
    <w:rsid w:val="003B6236"/>
    <w:rsid w:val="003C08CB"/>
    <w:rsid w:val="003E62D9"/>
    <w:rsid w:val="003F1BAB"/>
    <w:rsid w:val="0041362F"/>
    <w:rsid w:val="004628CB"/>
    <w:rsid w:val="00464611"/>
    <w:rsid w:val="00471454"/>
    <w:rsid w:val="004A7D3A"/>
    <w:rsid w:val="004E1DC9"/>
    <w:rsid w:val="004E58D6"/>
    <w:rsid w:val="00515DBB"/>
    <w:rsid w:val="005446E3"/>
    <w:rsid w:val="0055774E"/>
    <w:rsid w:val="0055781C"/>
    <w:rsid w:val="00564898"/>
    <w:rsid w:val="0057581F"/>
    <w:rsid w:val="00593937"/>
    <w:rsid w:val="005B136C"/>
    <w:rsid w:val="005B393A"/>
    <w:rsid w:val="005B3CB8"/>
    <w:rsid w:val="005C141B"/>
    <w:rsid w:val="005E0A5E"/>
    <w:rsid w:val="005E1A63"/>
    <w:rsid w:val="005E38B5"/>
    <w:rsid w:val="0060148C"/>
    <w:rsid w:val="0060717A"/>
    <w:rsid w:val="00615260"/>
    <w:rsid w:val="0062790E"/>
    <w:rsid w:val="006279EA"/>
    <w:rsid w:val="00671D50"/>
    <w:rsid w:val="00683870"/>
    <w:rsid w:val="006908A6"/>
    <w:rsid w:val="006E0CDA"/>
    <w:rsid w:val="006E68EA"/>
    <w:rsid w:val="006F4213"/>
    <w:rsid w:val="00714DFA"/>
    <w:rsid w:val="00731F78"/>
    <w:rsid w:val="007334DE"/>
    <w:rsid w:val="00744532"/>
    <w:rsid w:val="00745B54"/>
    <w:rsid w:val="007759A0"/>
    <w:rsid w:val="007A1E16"/>
    <w:rsid w:val="007B2EBF"/>
    <w:rsid w:val="007C138D"/>
    <w:rsid w:val="007C56D9"/>
    <w:rsid w:val="007D3B12"/>
    <w:rsid w:val="00804F41"/>
    <w:rsid w:val="0082001B"/>
    <w:rsid w:val="00834984"/>
    <w:rsid w:val="00857F37"/>
    <w:rsid w:val="0087340B"/>
    <w:rsid w:val="00890165"/>
    <w:rsid w:val="00897AD4"/>
    <w:rsid w:val="008A1EC3"/>
    <w:rsid w:val="008C6EF6"/>
    <w:rsid w:val="008D1D73"/>
    <w:rsid w:val="008D2781"/>
    <w:rsid w:val="008D2E3B"/>
    <w:rsid w:val="008E7DC7"/>
    <w:rsid w:val="00914E19"/>
    <w:rsid w:val="00961855"/>
    <w:rsid w:val="00966AC8"/>
    <w:rsid w:val="00991E46"/>
    <w:rsid w:val="009A184C"/>
    <w:rsid w:val="009A33BC"/>
    <w:rsid w:val="009B2375"/>
    <w:rsid w:val="00A006A6"/>
    <w:rsid w:val="00A06904"/>
    <w:rsid w:val="00A11AC9"/>
    <w:rsid w:val="00A12D25"/>
    <w:rsid w:val="00A33A08"/>
    <w:rsid w:val="00A40164"/>
    <w:rsid w:val="00A66197"/>
    <w:rsid w:val="00A73F56"/>
    <w:rsid w:val="00AA5995"/>
    <w:rsid w:val="00AB1803"/>
    <w:rsid w:val="00AB32DB"/>
    <w:rsid w:val="00AE21AD"/>
    <w:rsid w:val="00AF0DE1"/>
    <w:rsid w:val="00AF4CED"/>
    <w:rsid w:val="00B103FD"/>
    <w:rsid w:val="00B17E3C"/>
    <w:rsid w:val="00B20FA0"/>
    <w:rsid w:val="00B27C7D"/>
    <w:rsid w:val="00B3533E"/>
    <w:rsid w:val="00B402E4"/>
    <w:rsid w:val="00B51D1C"/>
    <w:rsid w:val="00B547AC"/>
    <w:rsid w:val="00B72975"/>
    <w:rsid w:val="00B74FFB"/>
    <w:rsid w:val="00BA4B53"/>
    <w:rsid w:val="00BA6FCD"/>
    <w:rsid w:val="00BC7AF2"/>
    <w:rsid w:val="00BD14B5"/>
    <w:rsid w:val="00BE1E22"/>
    <w:rsid w:val="00BF38A2"/>
    <w:rsid w:val="00C03F33"/>
    <w:rsid w:val="00C32660"/>
    <w:rsid w:val="00C5359A"/>
    <w:rsid w:val="00CA0869"/>
    <w:rsid w:val="00CA096D"/>
    <w:rsid w:val="00CA0A1E"/>
    <w:rsid w:val="00CA1B76"/>
    <w:rsid w:val="00CC789D"/>
    <w:rsid w:val="00CE0889"/>
    <w:rsid w:val="00CE3C0A"/>
    <w:rsid w:val="00CF083A"/>
    <w:rsid w:val="00D01D98"/>
    <w:rsid w:val="00D21795"/>
    <w:rsid w:val="00D23144"/>
    <w:rsid w:val="00D3222B"/>
    <w:rsid w:val="00D47422"/>
    <w:rsid w:val="00D51014"/>
    <w:rsid w:val="00D77974"/>
    <w:rsid w:val="00D97C04"/>
    <w:rsid w:val="00DB0B7C"/>
    <w:rsid w:val="00DB5059"/>
    <w:rsid w:val="00DB5794"/>
    <w:rsid w:val="00DE09F7"/>
    <w:rsid w:val="00DE1AB2"/>
    <w:rsid w:val="00DE3DAD"/>
    <w:rsid w:val="00DF12BA"/>
    <w:rsid w:val="00E06CD2"/>
    <w:rsid w:val="00E4196D"/>
    <w:rsid w:val="00E5520B"/>
    <w:rsid w:val="00E564A0"/>
    <w:rsid w:val="00E60B51"/>
    <w:rsid w:val="00E674F8"/>
    <w:rsid w:val="00E8613E"/>
    <w:rsid w:val="00E86A71"/>
    <w:rsid w:val="00EA5308"/>
    <w:rsid w:val="00EB3C0C"/>
    <w:rsid w:val="00EC28E7"/>
    <w:rsid w:val="00EC4767"/>
    <w:rsid w:val="00ED5D25"/>
    <w:rsid w:val="00EE6B6D"/>
    <w:rsid w:val="00EF4255"/>
    <w:rsid w:val="00F01D32"/>
    <w:rsid w:val="00F5046D"/>
    <w:rsid w:val="00F61E04"/>
    <w:rsid w:val="00F660DE"/>
    <w:rsid w:val="00F770F6"/>
    <w:rsid w:val="00F8497B"/>
    <w:rsid w:val="00F958BD"/>
    <w:rsid w:val="00FB21A4"/>
    <w:rsid w:val="00FB5FE2"/>
    <w:rsid w:val="00FF3315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0B94"/>
  <w15:chartTrackingRefBased/>
  <w15:docId w15:val="{3B5E8831-F6B9-42B3-A640-E3D9CDA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Titulo 1,H1-Heading 1,1,h1,Header 1,l1,Legal Line 1,head 1,título 1,título 11,título 12,título 13,título 111,título 14,título 112,título 15,Head 1,Head 11,H1,Box Header,Titre§,II+,I,H11,H12,H13,H14,H15,H16,H17,H18,H111,H121,H131,H141,H151,fjb1"/>
    <w:basedOn w:val="Normln"/>
    <w:next w:val="Normln"/>
    <w:link w:val="Nadpis1Char"/>
    <w:qFormat/>
    <w:rsid w:val="005446E3"/>
    <w:pPr>
      <w:keepNext/>
      <w:keepLines/>
      <w:numPr>
        <w:numId w:val="1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paragraph" w:styleId="Nadpis2">
    <w:name w:val="heading 2"/>
    <w:aliases w:val="TITULO,título 2,título 21,título 22,título 23,título 24,título 25,Titulo 2,H2-Heading 2,2,Header 2,l2,Header2,h2,22,heading2,list2,H2,ANEX2,A,Titolo2,UNDERRUBRIK 1-2,Header1,Heading 2subnumbered,Heading 2 Number,Heading 2a,PARA2,T2,Heading,T21"/>
    <w:basedOn w:val="Normln"/>
    <w:next w:val="Normln"/>
    <w:link w:val="Nadpis2Char"/>
    <w:unhideWhenUsed/>
    <w:qFormat/>
    <w:rsid w:val="005446E3"/>
    <w:pPr>
      <w:keepNext/>
      <w:keepLines/>
      <w:numPr>
        <w:ilvl w:val="1"/>
        <w:numId w:val="1"/>
      </w:numPr>
      <w:spacing w:before="480" w:after="240" w:line="360" w:lineRule="auto"/>
      <w:jc w:val="both"/>
      <w:outlineLvl w:val="1"/>
    </w:pPr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paragraph" w:styleId="Nadpis3">
    <w:name w:val="heading 3"/>
    <w:aliases w:val="H3-Heading 3,l3.3,l3,h3,Titre 3,3,Bold Head,bh,Titolo3,título 3,título 31,título 32,título 33,título 34,list 3,list3,hoofdstuk 1.1.1,H3,H31,H32,TextProp,subhead,subítitulo,Podkapitola2,V_Head3,1.,Podkapitola 2,Podkapitola 21,Záhlaví 3,V_Head31"/>
    <w:basedOn w:val="Normln"/>
    <w:next w:val="Normln"/>
    <w:link w:val="Nadpis3Char"/>
    <w:unhideWhenUsed/>
    <w:qFormat/>
    <w:rsid w:val="005446E3"/>
    <w:pPr>
      <w:keepNext/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767171" w:themeColor="background2" w:themeShade="80"/>
    </w:rPr>
  </w:style>
  <w:style w:type="paragraph" w:styleId="Nadpis4">
    <w:name w:val="heading 4"/>
    <w:aliases w:val="ASAPHeading 4,Nadpis 4T,V_Head4,MUS4,Podkapitola3,bl,bb,H4,h4,4,bullet,l4,Odstavec 1,Odstavec 11,Odstavec 12,Odstavec 13,Odstavec 14,Aufgabe,PA Micro Section,Odstavec 111,Odstavec 121,Odstavec 131,Odstavec 15,Odstavec 141,Odstavec 16,o,Titolo4"/>
    <w:basedOn w:val="Normln"/>
    <w:next w:val="Normln"/>
    <w:link w:val="Nadpis4Char"/>
    <w:unhideWhenUsed/>
    <w:qFormat/>
    <w:rsid w:val="005446E3"/>
    <w:pPr>
      <w:keepNext/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rFonts w:ascii="Arial" w:eastAsiaTheme="majorEastAsia" w:hAnsi="Arial" w:cstheme="majorBidi"/>
      <w:bCs/>
      <w:iCs/>
      <w:color w:val="FFC000"/>
      <w:sz w:val="20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unhideWhenUsed/>
    <w:qFormat/>
    <w:rsid w:val="005446E3"/>
    <w:pPr>
      <w:keepNext/>
      <w:keepLines/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eastAsiaTheme="majorEastAsia" w:hAnsi="Arial" w:cstheme="majorBidi"/>
    </w:rPr>
  </w:style>
  <w:style w:type="paragraph" w:styleId="Nadpis6">
    <w:name w:val="heading 6"/>
    <w:aliases w:val="H6,ASAPHeading 6,MUS6,body 1,h6,Legal Level 1.,sub-dash,sd,Appendix Sub-Heading,appendix,Third Subheading,Heading 6  Appendix Y &amp; Z,Bullet list,PA Appendix,Schedule Sub-Sub-Heading,Lev 6,Heading 6  Appendix Y &amp; Z1,Heading 6  Appendix Y &amp; Z2,6"/>
    <w:basedOn w:val="Normln"/>
    <w:next w:val="Normln"/>
    <w:link w:val="Nadpis6Char"/>
    <w:unhideWhenUsed/>
    <w:qFormat/>
    <w:rsid w:val="005446E3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paragraph" w:styleId="Nadpis7">
    <w:name w:val="heading 7"/>
    <w:aliases w:val="H7,ASAPHeading 7,MUS7,Legal Level 1.1.,Appendix Sub-Sub Heading,PA Appendix Major,Lev 7,letter list,lettered list,letter list1,lettered list1,letter list2,lettered list2,letter list11,lettered list11,letter list3,lettered list3,letter list12,p"/>
    <w:basedOn w:val="Normln"/>
    <w:next w:val="Normln"/>
    <w:link w:val="Nadpis7Char"/>
    <w:unhideWhenUsed/>
    <w:qFormat/>
    <w:rsid w:val="005446E3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Nadpis8">
    <w:name w:val="heading 8"/>
    <w:aliases w:val="H8,ASAPHeading 8,MUS8,Legal Level 1.1.1.,h8,Appendix Sub-Sub-Sub-Heading,Appendices Sub-Heading,Lev 8,(Appendici),PA Appendix Minor,action,Taula comanes,action1,action2,action11,action3,action4,action5,action6,action7,action12,číslovaný styl 8"/>
    <w:basedOn w:val="Normln"/>
    <w:next w:val="Normln"/>
    <w:link w:val="Nadpis8Char"/>
    <w:unhideWhenUsed/>
    <w:qFormat/>
    <w:rsid w:val="005446E3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paragraph" w:styleId="Nadpis9">
    <w:name w:val="heading 9"/>
    <w:aliases w:val="h9,heading9,H9,číslovaný styl 9,BP Heading 9,BP Heading 91,BP Heading 92,BP Heading 911,BP Heading 93,BP Heading 912,BP Heading 94,BP Heading 95,BP Heading 96,BP Heading 97,BP Heading 98,App Heading,App Heading1,App Heading2,progress,progress1"/>
    <w:basedOn w:val="Normln"/>
    <w:next w:val="Normln"/>
    <w:link w:val="Nadpis9Char"/>
    <w:unhideWhenUsed/>
    <w:qFormat/>
    <w:rsid w:val="005446E3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ulo 1 Char,H1-Heading 1 Char,1 Char,h1 Char,Header 1 Char,l1 Char,Legal Line 1 Char,head 1 Char,título 1 Char,título 11 Char,título 12 Char,título 13 Char,título 111 Char,título 14 Char,título 112 Char,título 15 Char,Head 1 Char,H1 Char"/>
    <w:basedOn w:val="Standardnpsmoodstavce"/>
    <w:link w:val="Nadpis1"/>
    <w:rsid w:val="005446E3"/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character" w:customStyle="1" w:styleId="Nadpis2Char">
    <w:name w:val="Nadpis 2 Char"/>
    <w:aliases w:val="TITULO Char,título 2 Char,título 21 Char,título 22 Char,título 23 Char,título 24 Char,título 25 Char,Titulo 2 Char,H2-Heading 2 Char,2 Char,Header 2 Char,l2 Char,Header2 Char,h2 Char,22 Char,heading2 Char,list2 Char,H2 Char,ANEX2 Char"/>
    <w:basedOn w:val="Standardnpsmoodstavce"/>
    <w:link w:val="Nadpis2"/>
    <w:rsid w:val="005446E3"/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character" w:customStyle="1" w:styleId="Nadpis3Char">
    <w:name w:val="Nadpis 3 Char"/>
    <w:aliases w:val="H3-Heading 3 Char,l3.3 Char,l3 Char,h3 Char,Titre 3 Char,3 Char,Bold Head Char,bh Char,Titolo3 Char,título 3 Char,título 31 Char,título 32 Char,título 33 Char,título 34 Char,list 3 Char,list3 Char,hoofdstuk 1.1.1 Char,H3 Char,H31 Char"/>
    <w:basedOn w:val="Standardnpsmoodstavce"/>
    <w:link w:val="Nadpis3"/>
    <w:rsid w:val="005446E3"/>
    <w:rPr>
      <w:rFonts w:ascii="Arial" w:eastAsiaTheme="majorEastAsia" w:hAnsi="Arial" w:cstheme="majorBidi"/>
      <w:b/>
      <w:bCs/>
      <w:color w:val="767171" w:themeColor="background2" w:themeShade="80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,o Char"/>
    <w:basedOn w:val="Standardnpsmoodstavce"/>
    <w:link w:val="Nadpis4"/>
    <w:rsid w:val="005446E3"/>
    <w:rPr>
      <w:rFonts w:ascii="Arial" w:eastAsiaTheme="majorEastAsia" w:hAnsi="Arial" w:cstheme="majorBidi"/>
      <w:bCs/>
      <w:iCs/>
      <w:color w:val="FFC000"/>
      <w:sz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5446E3"/>
    <w:rPr>
      <w:rFonts w:ascii="Arial" w:eastAsiaTheme="majorEastAsia" w:hAnsi="Arial" w:cstheme="majorBidi"/>
    </w:rPr>
  </w:style>
  <w:style w:type="character" w:customStyle="1" w:styleId="Nadpis6Char">
    <w:name w:val="Nadpis 6 Char"/>
    <w:aliases w:val="H6 Char,ASAPHeading 6 Char,MUS6 Char,body 1 Char,h6 Char,Legal Level 1. Char,sub-dash Char,sd Char,Appendix Sub-Heading Char,appendix Char,Third Subheading Char,Heading 6  Appendix Y &amp; Z Char,Bullet list Char,PA Appendix Char,Lev 6 Char"/>
    <w:basedOn w:val="Standardnpsmoodstavce"/>
    <w:link w:val="Nadpis6"/>
    <w:rsid w:val="005446E3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7Char">
    <w:name w:val="Nadpis 7 Char"/>
    <w:aliases w:val="H7 Char,ASAPHeading 7 Char,MUS7 Char,Legal Level 1.1. Char,Appendix Sub-Sub Heading Char,PA Appendix Major Char,Lev 7 Char,letter list Char,lettered list Char,letter list1 Char,lettered list1 Char,letter list2 Char,lettered list2 Char"/>
    <w:basedOn w:val="Standardnpsmoodstavce"/>
    <w:link w:val="Nadpis7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aliases w:val="H8 Char,ASAPHeading 8 Char,MUS8 Char,Legal Level 1.1.1. Char,h8 Char,Appendix Sub-Sub-Sub-Heading Char,Appendices Sub-Heading Char,Lev 8 Char,(Appendici) Char,PA Appendix Minor Char,action Char,Taula comanes Char,action1 Char,action2 Char"/>
    <w:basedOn w:val="Standardnpsmoodstavce"/>
    <w:link w:val="Nadpis8"/>
    <w:rsid w:val="005446E3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Nadpis9Char">
    <w:name w:val="Nadpis 9 Char"/>
    <w:aliases w:val="h9 Char,heading9 Char,H9 Char,číslovaný styl 9 Char,BP Heading 9 Char,BP Heading 91 Char,BP Heading 92 Char,BP Heading 911 Char,BP Heading 93 Char,BP Heading 912 Char,BP Heading 94 Char,BP Heading 95 Char,BP Heading 96 Char,progress Char"/>
    <w:basedOn w:val="Standardnpsmoodstavce"/>
    <w:link w:val="Nadpis9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table" w:styleId="Mkatabulky">
    <w:name w:val="Table Grid"/>
    <w:basedOn w:val="Normlntabulka"/>
    <w:uiPriority w:val="39"/>
    <w:rsid w:val="006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97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8BF3-25D4-448B-9894-465CFDDC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8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Havlíčkovi</dc:creator>
  <cp:keywords/>
  <dc:description/>
  <cp:lastModifiedBy>Kreuzingerová Pavla, Ing.</cp:lastModifiedBy>
  <cp:revision>65</cp:revision>
  <cp:lastPrinted>2021-07-23T12:19:00Z</cp:lastPrinted>
  <dcterms:created xsi:type="dcterms:W3CDTF">2021-05-04T06:54:00Z</dcterms:created>
  <dcterms:modified xsi:type="dcterms:W3CDTF">2021-08-25T06:45:00Z</dcterms:modified>
</cp:coreProperties>
</file>