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446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8"/>
        <w:gridCol w:w="6498"/>
      </w:tblGrid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žadatele: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Fakultní nemocnice Olomouc</w:t>
            </w:r>
          </w:p>
        </w:tc>
      </w:tr>
      <w:tr w:rsidR="00157E96" w:rsidTr="00157E96">
        <w:trPr>
          <w:trHeight w:val="544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D40398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Modernizace a obnova</w:t>
            </w:r>
            <w:r w:rsidR="00DB32E4" w:rsidRPr="00D4039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laboratorního komplementu ve FN Olomouc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Pr="008261B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Operační </w:t>
            </w:r>
            <w:r w:rsidRPr="008261B8">
              <w:rPr>
                <w:rFonts w:ascii="Times New Roman" w:hAnsi="Times New Roman"/>
                <w:b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Integrovaný regionální operační program</w:t>
            </w:r>
          </w:p>
        </w:tc>
      </w:tr>
      <w:tr w:rsidR="00157E96" w:rsidTr="00157E96">
        <w:trPr>
          <w:trHeight w:val="548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Prioritní osa, specifický cíl: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PO 6: REACT-EU</w:t>
            </w:r>
          </w:p>
          <w:p w:rsidR="000342B9" w:rsidRPr="00F76098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6098">
              <w:rPr>
                <w:rFonts w:ascii="Times New Roman" w:hAnsi="Times New Roman"/>
                <w:b/>
                <w:sz w:val="24"/>
                <w:szCs w:val="24"/>
              </w:rPr>
              <w:t>SC 6.1 REACT-EU</w:t>
            </w:r>
          </w:p>
        </w:tc>
      </w:tr>
      <w:tr w:rsidR="00157E96" w:rsidTr="00E2493A">
        <w:trPr>
          <w:trHeight w:val="732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Číslo a název výzvy: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850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="00157E96" w:rsidRPr="00F76098">
              <w:rPr>
                <w:rFonts w:ascii="Times New Roman" w:hAnsi="Times New Roman"/>
                <w:b/>
                <w:sz w:val="24"/>
                <w:szCs w:val="24"/>
              </w:rPr>
              <w:t xml:space="preserve">. výzva, </w:t>
            </w:r>
          </w:p>
          <w:p w:rsidR="00157E96" w:rsidRPr="00F76098" w:rsidRDefault="00E2493A" w:rsidP="002778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Zvýšení připravenosti subjektů zapojených do řešení hrozeb</w:t>
            </w:r>
          </w:p>
        </w:tc>
      </w:tr>
      <w:tr w:rsidR="00157E96" w:rsidTr="00157E96">
        <w:trPr>
          <w:trHeight w:val="53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157E96" w:rsidRDefault="00157E96" w:rsidP="00157E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Aktivita/Cílová skupina</w:t>
            </w:r>
            <w:r>
              <w:rPr>
                <w:rStyle w:val="Znakapoznpodarou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E96" w:rsidRPr="00F76098" w:rsidRDefault="00E2493A" w:rsidP="00C832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Rozvoj laboratorních kapacit nemocnic</w:t>
            </w:r>
          </w:p>
        </w:tc>
      </w:tr>
    </w:tbl>
    <w:p w:rsidR="000B1C8F" w:rsidRDefault="000B1C8F" w:rsidP="000B1C8F">
      <w:pPr>
        <w:pStyle w:val="Zhlav"/>
      </w:pPr>
    </w:p>
    <w:p w:rsidR="000B1C8F" w:rsidRPr="008B7CC7" w:rsidRDefault="007C63FF" w:rsidP="00EE2F65">
      <w:pPr>
        <w:pStyle w:val="Zhlav"/>
        <w:jc w:val="center"/>
        <w:rPr>
          <w:sz w:val="28"/>
          <w:szCs w:val="28"/>
        </w:rPr>
      </w:pPr>
      <w:bookmarkStart w:id="0" w:name="_Hlk65238726"/>
      <w:r>
        <w:rPr>
          <w:b/>
          <w:sz w:val="28"/>
          <w:szCs w:val="28"/>
        </w:rPr>
        <w:t>Formulář</w:t>
      </w:r>
      <w:r w:rsidR="000B1C8F" w:rsidRPr="008B7CC7">
        <w:rPr>
          <w:b/>
          <w:sz w:val="28"/>
          <w:szCs w:val="28"/>
        </w:rPr>
        <w:t xml:space="preserve"> pro posouzení projektového záměru PO MZ a OSS MZ</w:t>
      </w:r>
      <w:r w:rsidR="007E758C" w:rsidRPr="008B7CC7">
        <w:rPr>
          <w:b/>
          <w:sz w:val="28"/>
          <w:szCs w:val="28"/>
        </w:rPr>
        <w:t xml:space="preserve"> v</w:t>
      </w:r>
      <w:r w:rsidR="00EE2F65" w:rsidRPr="008B7CC7">
        <w:rPr>
          <w:b/>
          <w:sz w:val="28"/>
          <w:szCs w:val="28"/>
        </w:rPr>
        <w:t> REACT-EU</w:t>
      </w:r>
    </w:p>
    <w:bookmarkEnd w:id="0"/>
    <w:p w:rsidR="000B1C8F" w:rsidRDefault="000B1C8F" w:rsidP="00B17950">
      <w:pPr>
        <w:jc w:val="both"/>
        <w:rPr>
          <w:rFonts w:ascii="Times New Roman" w:hAnsi="Times New Roman"/>
          <w:b/>
          <w:sz w:val="24"/>
          <w:szCs w:val="24"/>
        </w:rPr>
      </w:pPr>
    </w:p>
    <w:p w:rsidR="008261B8" w:rsidRDefault="007E758C" w:rsidP="008261B8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Anotace 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157E96" w:rsidTr="00EE7A7D">
        <w:trPr>
          <w:trHeight w:val="127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04F" w:rsidRPr="00815668" w:rsidRDefault="00EA004F" w:rsidP="00EA004F">
            <w:pPr>
              <w:pStyle w:val="Odstavecseseznamem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Stručný obsah a cíle projektu:</w:t>
            </w:r>
          </w:p>
          <w:p w:rsidR="00087EA1" w:rsidRPr="00815668" w:rsidRDefault="00EA004F" w:rsidP="006939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Hlavním cílem projektu je obnova, modernizace a nákup nového přístrojového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vybavení pro laboratorní segment </w:t>
            </w:r>
            <w:r w:rsidR="004E4032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Faku</w:t>
            </w:r>
            <w:r w:rsidR="0035010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ltní nemocnice Olomouc (dále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FNOL</w:t>
            </w:r>
            <w:r w:rsidR="0035010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V době pandemie je na laboratoře kladen zvýšený nárok </w:t>
            </w:r>
            <w:r w:rsidR="00CD536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 rychlost a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na počty vyšetření, zároveň se také mění spektrum požadovaných vyšetření a tím i potřebné přístrojové vybavení. Cílem projektu je tedy připravit zapojené subjekty na tyto krizové situace v době pandemie. Zvýšení vybavenosti laboratorních pracovišť FNOL se bude týkat Ústavu mikrobiologie, Ústavu genetiky, 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laboratoří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é kliniky, 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Oddělení klinické biochemie, Ústavu imunologie, Ústavu klinické a molekulární patologie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  <w:r w:rsidR="00087EA1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Transfuzního oddělení. </w:t>
            </w:r>
          </w:p>
          <w:p w:rsidR="00087EA1" w:rsidRPr="00815668" w:rsidRDefault="00087EA1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Projekt je rozdělen do tří hlavních částí. </w:t>
            </w:r>
          </w:p>
          <w:p w:rsidR="00087EA1" w:rsidRPr="00815668" w:rsidRDefault="00087EA1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První část je zaměřena na samotnou</w:t>
            </w:r>
            <w:r w:rsidR="00AB3234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laboratorní techniku sloužící k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diagnosti</w:t>
            </w:r>
            <w:r w:rsidR="00AB3234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virových a bakteriálních infekčních onemocnění v době pandemie. Dle našich zkušeností je nutné v době pandemie posílit přístrojovou a personální vybavenost laboratoří. Posílením laboratorního zázemí v rámci FNOL získáme možnost jejich využití v případě další</w:t>
            </w:r>
            <w:r w:rsidR="00292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pandemi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í. </w:t>
            </w:r>
          </w:p>
          <w:p w:rsidR="00087EA1" w:rsidRPr="00815668" w:rsidRDefault="00087EA1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 druhé části jsou </w:t>
            </w:r>
            <w:r w:rsidR="00EE7A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zařazeny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přístroje, které umožní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triážování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pacientů přicházejících do FNOL s urgentními potížemi, dále umožní 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sledování vývoje 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jejich laboratorních výsledků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 případě h</w:t>
            </w:r>
            <w:r w:rsidR="0081496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ospitalizace a určení prognózy jejich onemocnění. </w:t>
            </w:r>
          </w:p>
          <w:p w:rsidR="0081496D" w:rsidRPr="00815668" w:rsidRDefault="0081496D" w:rsidP="00087EA1">
            <w:pPr>
              <w:pStyle w:val="Odstavecseseznamem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Ve třetí části </w:t>
            </w:r>
            <w:r w:rsidR="0035010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 dovolujeme požádat o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5010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pořízení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vysokokapacitního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sekvenátoru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který uspokojí požadavky vycházející z klinických pracovišť nemocnice. FNOL očekává trvalý nárůst požadovaných genetických vyšetření, neboť mají přímý dopad na strategii léčby našich pacientů.</w:t>
            </w:r>
            <w:r w:rsidRPr="00815668">
              <w:rPr>
                <w:color w:val="000000" w:themeColor="text1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Výsledky genových analýz jsou využívány zejména v oblasti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-onkologie, onkologie, genetiky, alergologie a klinické imunologie, plicního lékařství, pediatrie, revmatologie, klinické a molekulární patologie,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transplantologie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mikrobiologie a infekčního lékařství. Z důvodu nástupu cílené léčby v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-onkologické a onkologické léčbě je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sekvenování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nedílnou součástí diagnostických protokolů u většiny pacientů při diagnóze i během sledování, a to zejména k detekci sekvenčních variant s predikčním a prognostickým významem, které ovlivňují léčebnou odpověď, zpřesňují volbu léčebné strategie a prognózování a predikují selhání daného typu léčby. Dále jsou díky své citlivosti využitelné k analýze minimální reziduální nemoci, přítomnosti rezistentních mutací, mutačního profilu volné nádorové DNA, analýze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germinálního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genomu, analýze bioptických tkání a dalších. V rámci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extrahumánního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genomu se jedná o identifikaci patogenů, a to virového i bakteriálního původu (mikrobiologie a infekční lékařství).</w:t>
            </w:r>
            <w:r w:rsidRPr="00815668">
              <w:rPr>
                <w:color w:val="000000" w:themeColor="text1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Fakultní nemocnice Olomouc má v současné době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sekvenátor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nové generace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MiSeq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který kapacitně nestačí. S rozvíjejícím se portfoliem vyšetření ne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ní </w:t>
            </w:r>
            <w:proofErr w:type="spellStart"/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sekvenátor</w:t>
            </w:r>
            <w:proofErr w:type="spellEnd"/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scho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pen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pokrýt potřeby diagnostiky infekčních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neinfekčních stavů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ěkteré analýzy (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celogenomové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celoexomové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sekvenování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na tomto zařízení nelze provádět.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 blízké budoucnosti očekáváme další nárůst požadavků na provádění genetických analýz, jak se ukázalo v době pandemie COVID-19.</w:t>
            </w:r>
          </w:p>
          <w:p w:rsidR="00087EA1" w:rsidRPr="00815668" w:rsidRDefault="00087EA1" w:rsidP="00EA004F">
            <w:pPr>
              <w:pStyle w:val="Odstavecseseznamem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004F" w:rsidRPr="00815668" w:rsidRDefault="00EA004F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Výstupem projektu je 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obnova, modernizace a nákup nového laboratorního vybavení napříč laboratořemi FNOL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které povede ke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  <w:p w:rsidR="00EA004F" w:rsidRPr="00815668" w:rsidRDefault="00EA004F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zvýšení kvality vybavenosti a tím zlepšení podmínek pro zajišťování kvalitní zdravotní péče.</w:t>
            </w:r>
          </w:p>
          <w:p w:rsidR="00022896" w:rsidRPr="00815668" w:rsidRDefault="00F72C5E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</w:t>
            </w:r>
            <w:r w:rsidR="00EA004F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výšení kapacity pro standardní </w:t>
            </w:r>
            <w:r w:rsidR="0002289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laboratorní vyšetření a jejího využití v případě pandemie</w:t>
            </w:r>
            <w:r w:rsidR="00D40398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A004F" w:rsidRPr="00815668" w:rsidRDefault="00022896" w:rsidP="00BE5AD3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Zajištění možnosti vyšetření různých mutací patogenů pomocí jejich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sekvenace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022896" w:rsidRPr="00815668" w:rsidRDefault="00022896" w:rsidP="00EA355E">
            <w:pPr>
              <w:pStyle w:val="Odstavecseseznamem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</w:t>
            </w:r>
            <w:r w:rsidR="00BE5AD3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vedení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modernějších a </w:t>
            </w:r>
            <w:r w:rsidR="00BE5AD3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vysokokapacitních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laboratorních </w:t>
            </w:r>
            <w:r w:rsidR="00BE5AD3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metod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E5AD3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umož</w:t>
            </w:r>
            <w:r w:rsidR="00F72C5E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ňujících</w:t>
            </w:r>
            <w:r w:rsidR="00BE5AD3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rychlejší dostupnost výsledků pro ambulantní i lůžkový sektor.  </w:t>
            </w:r>
          </w:p>
          <w:p w:rsidR="00EA004F" w:rsidRDefault="00EA004F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Cíle a výstupy předkládaného projektového záměru jsou v souladu se strategickými cíli FNOL, reflektují trendy poskytovat zdravotní péči v moderních prostorách s moderními technologiemi.</w:t>
            </w:r>
          </w:p>
          <w:p w:rsidR="001F0EBF" w:rsidRPr="00815668" w:rsidRDefault="001F0EBF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A355E" w:rsidRPr="00815668" w:rsidRDefault="00EA355E" w:rsidP="00EA35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Aktivity projektu:</w:t>
            </w:r>
          </w:p>
          <w:p w:rsidR="00EA355E" w:rsidRPr="00815668" w:rsidRDefault="00EA355E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Hlavní aktivitou projektu bude pořízení laboratorního přístrojového vybavení a technologií uvedených v Seznamu vybavení zdravotnické techniky. Vedlejší aktivitou projektu bude povinná publicita projektu. </w:t>
            </w:r>
          </w:p>
          <w:p w:rsidR="00EA355E" w:rsidRPr="00815668" w:rsidRDefault="00EA355E" w:rsidP="00EA355E">
            <w:p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Odůvodnění realizace projektu:</w:t>
            </w:r>
          </w:p>
          <w:p w:rsidR="0059764E" w:rsidRPr="00815668" w:rsidRDefault="00EA355E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Projekt zvýší kvalitu, rychlost a rozšíří spektrum laboratorních vyšetření napříč celým segmentem laboratoří FNOL s ohledem na potenciální hrozby COVID-19 a případné další infekční onemocnění. Projekt je zacílen na posílení, rozvoj a modernizaci laboratorních pracovišť a zároveň zvýšení připravenosti subjektů zapojených do řešení hrozeb:</w:t>
            </w:r>
          </w:p>
          <w:p w:rsidR="0059764E" w:rsidRPr="00815668" w:rsidRDefault="0059764E" w:rsidP="0059764E">
            <w:pPr>
              <w:pStyle w:val="Odstavecseseznamem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70621" w:rsidRPr="00815668" w:rsidRDefault="00970621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Diagnostika virových a bakteriálních infekčních onemocnění</w:t>
            </w:r>
            <w:r w:rsidR="00FD0729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32E17" w:rsidRPr="00815668" w:rsidRDefault="003D134C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odernizac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rozšíření přístroj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ů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které </w:t>
            </w:r>
            <w:r w:rsidR="00F32E17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budou sloužit k zajištění plného spektra mikrobiologických vyšetření pro diferenciálně-diagnostickou činnost, včetně úspěšného zvládnutí případných dalších epidemických situací (molekulárně genetická vyšetření, vyšetření protilátek, antigenní vyšetření, izolace DNA/RNA, atd.). V době pandemie lze vyšetření provádět i na jiných pracovištích než na Ústavu mikrobiologie, který zajišťuje daná vyšetření v běžném režimu. </w:t>
            </w:r>
          </w:p>
          <w:p w:rsidR="00970621" w:rsidRPr="00815668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PCR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lékařské genetiky, </w:t>
            </w:r>
            <w:r w:rsidR="00B3031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2ks obnova </w:t>
            </w:r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 </w:t>
            </w:r>
            <w:proofErr w:type="spellStart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kliniku,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70621" w:rsidRPr="00815668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RealTime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PCR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lékařské genetiky, </w:t>
            </w:r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1ks obnova pro </w:t>
            </w:r>
            <w:proofErr w:type="spellStart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kliniku,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1ks obnova pro Ústav klinické a molekulární patologie</w:t>
            </w:r>
            <w:r w:rsidR="00FD215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7E1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FD215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 nový pro Ústav imunologie</w:t>
            </w:r>
          </w:p>
          <w:p w:rsidR="00F1096E" w:rsidRDefault="00970621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Bioanalyzér</w:t>
            </w:r>
            <w:proofErr w:type="spellEnd"/>
            <w:r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pro určení kvality DNA/RNA</w:t>
            </w:r>
            <w:r w:rsidR="006D5D57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1ks obnova a 1ks nový pro Ústav lékařské genetiky, </w:t>
            </w:r>
            <w:r w:rsidR="002A713B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CE7AE5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 obnova pro </w:t>
            </w:r>
            <w:proofErr w:type="spellStart"/>
            <w:r w:rsidR="00CE7AE5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="00CE7AE5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</w:t>
            </w:r>
          </w:p>
          <w:p w:rsidR="00010D3F" w:rsidRPr="00F1096E" w:rsidRDefault="00010D3F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Izolátor nukleových kyselin (automat) 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1ks </w:t>
            </w:r>
            <w:r w:rsidR="006E287E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nový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Ústav lékařské genetiky</w:t>
            </w:r>
          </w:p>
          <w:p w:rsidR="006D5D57" w:rsidRPr="00815668" w:rsidRDefault="006D5D5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Centrifuga a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mikrocentrifugy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nový pro Ústav lékařské genetiky,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27C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2B0E88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 nový pro Ústav imunologie</w:t>
            </w:r>
          </w:p>
          <w:p w:rsidR="006D5D57" w:rsidRPr="00815668" w:rsidRDefault="006D5D5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Software pro analýzu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sekvenačních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dat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lékařské genetiky</w:t>
            </w:r>
          </w:p>
          <w:p w:rsidR="00CE7AE5" w:rsidRPr="00815668" w:rsidRDefault="00CE7AE5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DroppletDigital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0143F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PCR</w:t>
            </w:r>
            <w:r w:rsidR="0000143F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</w:t>
            </w:r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nový pro </w:t>
            </w:r>
            <w:proofErr w:type="spellStart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="0096787B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kliniku,</w:t>
            </w:r>
            <w:r w:rsidR="00FD215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1ks nový pro Ústav imunologie</w:t>
            </w:r>
          </w:p>
          <w:p w:rsidR="0096787B" w:rsidRPr="00815668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Inkubátory, Termostaty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E749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E749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1ks obnova a 1ks nový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kliniku,</w:t>
            </w:r>
          </w:p>
          <w:p w:rsidR="0096787B" w:rsidRPr="00815668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Laminární box pro práci s nukleovými </w:t>
            </w:r>
            <w:r w:rsidR="0000143F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kyselinami</w:t>
            </w:r>
            <w:r w:rsidR="0000143F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2ks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obnova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1ks obnova pro Transfuzní oddělení</w:t>
            </w:r>
            <w:r w:rsidR="00A75FA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2B0E88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75FA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 nový pro Ústav imunologie</w:t>
            </w:r>
          </w:p>
          <w:p w:rsidR="0096787B" w:rsidRPr="00815668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Systém pro automatické vyhledávání a analýza metafází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CA67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 </w:t>
            </w:r>
            <w:r w:rsidR="00B3031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nový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</w:t>
            </w:r>
          </w:p>
          <w:p w:rsidR="00F1096E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Ledničky, </w:t>
            </w:r>
            <w:r w:rsidR="0000143F"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mrazáky</w:t>
            </w:r>
            <w:r w:rsidR="0000143F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nové pro </w:t>
            </w:r>
            <w:proofErr w:type="spellStart"/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-onkologickou kliniku, </w:t>
            </w:r>
            <w:r w:rsidR="00700F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1ks nový a </w:t>
            </w:r>
            <w:r w:rsidR="007E1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ks </w:t>
            </w:r>
            <w:r w:rsidR="00700F83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obnova </w:t>
            </w:r>
            <w:r w:rsidR="00700F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Ústav imunologie, 1ks nový pro Ústav mikrobiologie</w:t>
            </w:r>
            <w:r w:rsidR="00DA5ABA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1ks nový pro Ústav klinické a molekulární patologie, </w:t>
            </w:r>
          </w:p>
          <w:p w:rsidR="0096787B" w:rsidRPr="00F1096E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096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ELISA analyzátor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</w:t>
            </w:r>
            <w:r w:rsidR="00B3031C"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nový </w:t>
            </w:r>
            <w:r w:rsidRPr="00F1096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 Ústav imunologie</w:t>
            </w:r>
          </w:p>
          <w:p w:rsidR="0096787B" w:rsidRPr="00815668" w:rsidRDefault="0096787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Analyzátory automatické mikrobiologické nebo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bakteorologické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ks obnova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2ks nové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Ústav mikrobiologie</w:t>
            </w:r>
          </w:p>
          <w:p w:rsidR="00DA5ABA" w:rsidRPr="00D77480" w:rsidRDefault="0096787B" w:rsidP="00D77480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Myčky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</w:t>
            </w:r>
            <w:r w:rsidR="00DA5AB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obnova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Ústav mikrobiologie</w:t>
            </w:r>
          </w:p>
          <w:p w:rsidR="002B0E88" w:rsidRPr="00815668" w:rsidRDefault="00FD215D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Flowcytometr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nový pro Ústav imunologie</w:t>
            </w:r>
          </w:p>
          <w:p w:rsidR="002B0E88" w:rsidRPr="00815668" w:rsidRDefault="002B0E88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Scanner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Microarray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analýzy (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scan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biočipu)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nový pro Ústav imunologie</w:t>
            </w:r>
          </w:p>
          <w:p w:rsidR="00815668" w:rsidRPr="00815668" w:rsidRDefault="00815668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Chladová či mrazová komora –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1ks obnova pro Ústav mikrobiologie</w:t>
            </w:r>
          </w:p>
          <w:p w:rsidR="00FD215D" w:rsidRPr="00815668" w:rsidRDefault="00FD215D" w:rsidP="00FD215D">
            <w:pPr>
              <w:pStyle w:val="Odstavecseseznamem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21D9B" w:rsidRPr="00815668" w:rsidRDefault="00D21D9B" w:rsidP="00D21D9B">
            <w:pPr>
              <w:pStyle w:val="Odstavecseseznamem"/>
              <w:ind w:left="1080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70621" w:rsidRPr="00815668" w:rsidRDefault="00D21D9B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Triážování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pacientů</w:t>
            </w:r>
          </w:p>
          <w:p w:rsidR="00E2493A" w:rsidRPr="00815668" w:rsidRDefault="00D21D9B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Tato část</w:t>
            </w:r>
            <w:r w:rsidR="003D134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projektu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je zaměřena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na modernizaci a rozšíření přístrojů pro </w:t>
            </w:r>
            <w:proofErr w:type="spellStart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triážování</w:t>
            </w:r>
            <w:proofErr w:type="spellEnd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pacientů k hospitalizaci a monitorování hospitalizovaných pacientů</w:t>
            </w:r>
            <w:r w:rsidR="00A75FA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CB56C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Jedná se o přístroje, které jsou nezbytné pro urgentní vyšetření pacientů v době pandemie COVID-19 a případně dalších infekčních onemocnění, a sledování již hospitalizovaných pacientů. Přístroje mohou také sloužit k prognóze vývoje jejich onemocnění.  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7CE7" w:rsidRPr="00815668" w:rsidRDefault="005E7CE7" w:rsidP="00D21D9B">
            <w:pPr>
              <w:pStyle w:val="Odstavecseseznamem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85420" w:rsidRPr="00815668" w:rsidRDefault="005E7CE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Analyzátor krevních elementů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</w:t>
            </w:r>
          </w:p>
          <w:p w:rsidR="005E7CE7" w:rsidRPr="00815668" w:rsidRDefault="005E7CE7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Automatický biochemický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analyzátor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1ks nový pro Ústav imunologie</w:t>
            </w: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D215D" w:rsidRPr="00815668" w:rsidRDefault="00FD215D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Mikroskop (včetně modulu pro digitální záznam a zpracování obrazu)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8ks obnova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kliniku, 1ks nový pro Ústav imunologie, 10ks obnova a 1ks nový pro Ústav klinické a molekulární patologie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Flowcytometr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2ks obnova pro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</w:t>
            </w:r>
            <w:r w:rsidR="005E7CE7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Centrifuga a </w:t>
            </w:r>
            <w:proofErr w:type="spellStart"/>
            <w:r w:rsidR="00B85420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mikrocentrifugy</w:t>
            </w:r>
            <w:proofErr w:type="spellEnd"/>
            <w:r w:rsidR="00B8542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</w:t>
            </w:r>
            <w:r w:rsidR="007E16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2ks obnova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 Ústav imunologie, 2ks obnova pro Oddělení klinické biochemie</w:t>
            </w:r>
            <w:r w:rsidR="004F2509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1ks obnova pro Ústav klinické a molekulární patologie, 2ks obnova pro Transfuzní oddělení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Barvící a montovací automat pro zpracování histologických preparátů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</w:t>
            </w:r>
            <w:r w:rsidR="00B3031C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nový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pro Ústav imunologie</w:t>
            </w:r>
            <w:r w:rsidR="004F2509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1ks nový pro Ústav klinické a molekulární patologie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Ledničky, mrazáky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5ks obnova pro Oddělení klinické biochemie</w:t>
            </w:r>
            <w:r w:rsidR="004F2509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1ks obnova pro Ústav klinické a molekulární patologie, 2ks obnova a 2ks nové pro Transfuzní oddělení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ELISA analyzátor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Oddělení klinické biochemie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Automat pro zpracování tkání (parafinový proces)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klinické a molekulární patologie</w:t>
            </w:r>
          </w:p>
          <w:p w:rsidR="00D21D9B" w:rsidRPr="00815668" w:rsidRDefault="00D21D9B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Zalévací parafinová linka na histologii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klinické a molekulární patologie</w:t>
            </w:r>
          </w:p>
          <w:p w:rsidR="00D21D9B" w:rsidRPr="00815668" w:rsidRDefault="004F2509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Mikrotom, Zmrazovací mikrotom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nový pro Ústav klinické a molekulární patologie</w:t>
            </w:r>
          </w:p>
          <w:p w:rsidR="004F2509" w:rsidRPr="00815668" w:rsidRDefault="004F2509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Inkubátory, </w:t>
            </w:r>
            <w:r w:rsidR="00B85420"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Termostaty</w:t>
            </w:r>
            <w:r w:rsidR="00B85420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nový pro Transfuzní oddělení</w:t>
            </w:r>
          </w:p>
          <w:p w:rsidR="008D1267" w:rsidRDefault="00FD215D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Hmotnostní spektrometr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Oddělení klinické biochemie</w:t>
            </w:r>
          </w:p>
          <w:p w:rsidR="00D77480" w:rsidRPr="00815668" w:rsidRDefault="00D77480" w:rsidP="00FD215D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CE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Preanalytická</w:t>
            </w:r>
            <w:proofErr w:type="spellEnd"/>
            <w:r w:rsidRPr="00CE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6EA7" w:rsidRPr="00CE0D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linka</w:t>
            </w:r>
            <w:r w:rsidR="00716EA7" w:rsidRPr="00716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16E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 1ks</w:t>
            </w:r>
            <w:r w:rsidRPr="00321A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nový pro </w:t>
            </w:r>
            <w:r w:rsidRPr="00821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Oddělení klinické biochemie</w:t>
            </w:r>
          </w:p>
          <w:p w:rsidR="00FD215D" w:rsidRPr="00815668" w:rsidRDefault="00FD215D" w:rsidP="00FD215D">
            <w:pPr>
              <w:pStyle w:val="Odstavecseseznamem"/>
              <w:ind w:left="108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D1267" w:rsidRPr="00815668" w:rsidRDefault="008D1267" w:rsidP="00FD215D">
            <w:pPr>
              <w:pStyle w:val="Odstavecseseznamem"/>
              <w:numPr>
                <w:ilvl w:val="0"/>
                <w:numId w:val="26"/>
              </w:numPr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Vysokokapacitní genomový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sekvenátor</w:t>
            </w:r>
            <w:proofErr w:type="spellEnd"/>
          </w:p>
          <w:p w:rsidR="00E2493A" w:rsidRPr="00815668" w:rsidRDefault="00310026" w:rsidP="00EA355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ysokokapacitní genomový </w:t>
            </w:r>
            <w:proofErr w:type="spellStart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sekvenátor</w:t>
            </w:r>
            <w:proofErr w:type="spellEnd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 NGS </w:t>
            </w:r>
            <w:proofErr w:type="spellStart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core</w:t>
            </w:r>
            <w:proofErr w:type="spellEnd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unit FNOL bude sloužit pro stanovení </w:t>
            </w:r>
            <w:proofErr w:type="spellStart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germinálních</w:t>
            </w:r>
            <w:proofErr w:type="spellEnd"/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somatických sekvenčních variant s prediktivním a prognostickým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významem,</w:t>
            </w:r>
            <w:r w:rsidR="00E2493A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to napříč odbornostmi. Využití je nejen v diagnostice, volbě léčebné strategie, sledování léčebné odpovědi, využití neinvazivních genetických markerů, prognózování, ale také HLA typizaci.</w:t>
            </w:r>
          </w:p>
          <w:p w:rsidR="003D134C" w:rsidRPr="00815668" w:rsidRDefault="008D1267" w:rsidP="002B0E88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Sekvenátor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pro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next-generation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sequencing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, velkokapacitní</w:t>
            </w:r>
            <w:r w:rsidR="0031002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1ks obnova pro Ústav genetiky, </w:t>
            </w:r>
            <w:proofErr w:type="spellStart"/>
            <w:r w:rsidR="0031002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="00310026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 a Ústav imunologie</w:t>
            </w:r>
            <w:r w:rsidR="00FD215D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2B0E88" w:rsidRPr="00815668" w:rsidRDefault="002B0E88" w:rsidP="00F1096E">
            <w:pPr>
              <w:pStyle w:val="Odstavecseseznamem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Databáze pro hodnocení a ukládání dat ze </w:t>
            </w:r>
            <w:proofErr w:type="spellStart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sekvenátorů</w:t>
            </w:r>
            <w:proofErr w:type="spellEnd"/>
            <w:r w:rsidRPr="0081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– 1ks nový pro Ústav genetiky, </w:t>
            </w:r>
            <w:proofErr w:type="spellStart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Hemato</w:t>
            </w:r>
            <w:proofErr w:type="spellEnd"/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-onkologickou kliniku a Ústav imunologie</w:t>
            </w:r>
          </w:p>
        </w:tc>
      </w:tr>
    </w:tbl>
    <w:p w:rsidR="00EE7A7D" w:rsidRDefault="00EE7A7D"/>
    <w:p w:rsidR="008261B8" w:rsidRPr="00C900DF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00DF">
        <w:rPr>
          <w:rFonts w:ascii="Times New Roman" w:hAnsi="Times New Roman"/>
          <w:b/>
          <w:color w:val="000000" w:themeColor="text1"/>
          <w:sz w:val="24"/>
          <w:szCs w:val="24"/>
        </w:rPr>
        <w:t>Celkový rozpočet projektu</w:t>
      </w:r>
      <w:r w:rsidR="008261B8" w:rsidRPr="00C900DF">
        <w:rPr>
          <w:rFonts w:ascii="Times New Roman" w:hAnsi="Times New Roman"/>
          <w:b/>
          <w:color w:val="000000" w:themeColor="text1"/>
          <w:sz w:val="24"/>
          <w:szCs w:val="24"/>
        </w:rPr>
        <w:t>, odhad</w:t>
      </w:r>
      <w:r w:rsidR="00BD7DA7" w:rsidRPr="00C90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261B8" w:rsidRPr="00C900DF">
        <w:rPr>
          <w:rFonts w:ascii="Times New Roman" w:hAnsi="Times New Roman"/>
          <w:b/>
          <w:color w:val="000000" w:themeColor="text1"/>
          <w:sz w:val="24"/>
          <w:szCs w:val="24"/>
        </w:rPr>
        <w:t>rozdělení nákladů do let</w:t>
      </w:r>
      <w:r w:rsidR="00350100" w:rsidRPr="00C900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100" w:rsidTr="00A52720">
        <w:tc>
          <w:tcPr>
            <w:tcW w:w="9062" w:type="dxa"/>
          </w:tcPr>
          <w:tbl>
            <w:tblPr>
              <w:tblStyle w:val="Mkatabulky"/>
              <w:tblW w:w="5000" w:type="pct"/>
              <w:tblLook w:val="04A0" w:firstRow="1" w:lastRow="0" w:firstColumn="1" w:lastColumn="0" w:noHBand="0" w:noVBand="1"/>
            </w:tblPr>
            <w:tblGrid>
              <w:gridCol w:w="4652"/>
              <w:gridCol w:w="1396"/>
              <w:gridCol w:w="1394"/>
              <w:gridCol w:w="1394"/>
            </w:tblGrid>
            <w:tr w:rsidR="00350100" w:rsidTr="009E7C7F">
              <w:tc>
                <w:tcPr>
                  <w:tcW w:w="2632" w:type="pct"/>
                </w:tcPr>
                <w:p w:rsidR="00350100" w:rsidRDefault="00350100" w:rsidP="00A52720"/>
              </w:tc>
              <w:tc>
                <w:tcPr>
                  <w:tcW w:w="790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Cena v Kč s DPH</w:t>
                  </w:r>
                </w:p>
              </w:tc>
              <w:tc>
                <w:tcPr>
                  <w:tcW w:w="789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2021</w:t>
                  </w:r>
                </w:p>
              </w:tc>
              <w:tc>
                <w:tcPr>
                  <w:tcW w:w="789" w:type="pct"/>
                </w:tcPr>
                <w:p w:rsidR="00350100" w:rsidRPr="007301E9" w:rsidRDefault="00350100" w:rsidP="00A52720">
                  <w:pPr>
                    <w:jc w:val="center"/>
                    <w:rPr>
                      <w:b/>
                    </w:rPr>
                  </w:pPr>
                  <w:r w:rsidRPr="007301E9">
                    <w:rPr>
                      <w:b/>
                    </w:rPr>
                    <w:t>2022</w:t>
                  </w:r>
                </w:p>
              </w:tc>
            </w:tr>
            <w:tr w:rsidR="00350100" w:rsidTr="009E7C7F">
              <w:tc>
                <w:tcPr>
                  <w:tcW w:w="2632" w:type="pct"/>
                </w:tcPr>
                <w:p w:rsidR="00350100" w:rsidRPr="007301E9" w:rsidRDefault="00350100" w:rsidP="00A52720">
                  <w:r>
                    <w:t>Náklady na pořízení zdravotnické techniky</w:t>
                  </w:r>
                </w:p>
              </w:tc>
              <w:tc>
                <w:tcPr>
                  <w:tcW w:w="790" w:type="pct"/>
                </w:tcPr>
                <w:p w:rsidR="009E7C7F" w:rsidRPr="00F81DB5" w:rsidRDefault="00321A10" w:rsidP="009E7C7F">
                  <w:pPr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321A10">
                    <w:rPr>
                      <w:rFonts w:cs="Calibri"/>
                      <w:color w:val="000000"/>
                    </w:rPr>
                    <w:t xml:space="preserve">199 746 308 </w:t>
                  </w:r>
                </w:p>
                <w:p w:rsidR="00350100" w:rsidRPr="002F5DF9" w:rsidRDefault="00350100" w:rsidP="008F0A10">
                  <w:pPr>
                    <w:spacing w:after="0" w:line="240" w:lineRule="auto"/>
                    <w:rPr>
                      <w:rFonts w:eastAsia="Times New Roman" w:cs="Calibri"/>
                      <w:strike/>
                      <w:color w:val="000000"/>
                    </w:rPr>
                  </w:pPr>
                </w:p>
              </w:tc>
              <w:tc>
                <w:tcPr>
                  <w:tcW w:w="789" w:type="pct"/>
                </w:tcPr>
                <w:p w:rsidR="00350100" w:rsidRPr="002F5DF9" w:rsidRDefault="0046373A" w:rsidP="008F0A10">
                  <w:pPr>
                    <w:spacing w:after="0" w:line="240" w:lineRule="auto"/>
                    <w:jc w:val="right"/>
                    <w:rPr>
                      <w:strike/>
                    </w:rPr>
                  </w:pPr>
                  <w:r w:rsidRPr="0046373A">
                    <w:rPr>
                      <w:rFonts w:cs="Calibri"/>
                      <w:color w:val="000000"/>
                    </w:rPr>
                    <w:t xml:space="preserve">14 397 094 </w:t>
                  </w:r>
                </w:p>
              </w:tc>
              <w:tc>
                <w:tcPr>
                  <w:tcW w:w="789" w:type="pct"/>
                </w:tcPr>
                <w:p w:rsidR="00350100" w:rsidRPr="002F5DF9" w:rsidRDefault="002F63E1" w:rsidP="005B57B9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trike/>
                      <w:color w:val="000000"/>
                    </w:rPr>
                  </w:pPr>
                  <w:r w:rsidRPr="002F63E1">
                    <w:rPr>
                      <w:rFonts w:cs="Calibri"/>
                      <w:color w:val="000000"/>
                    </w:rPr>
                    <w:t xml:space="preserve">185 349 214 </w:t>
                  </w:r>
                </w:p>
              </w:tc>
            </w:tr>
            <w:tr w:rsidR="00350100" w:rsidTr="009E7C7F">
              <w:tc>
                <w:tcPr>
                  <w:tcW w:w="2632" w:type="pct"/>
                </w:tcPr>
                <w:p w:rsidR="00350100" w:rsidRDefault="00350100" w:rsidP="00A52720">
                  <w:r>
                    <w:t>Publicita</w:t>
                  </w:r>
                </w:p>
              </w:tc>
              <w:tc>
                <w:tcPr>
                  <w:tcW w:w="790" w:type="pct"/>
                </w:tcPr>
                <w:p w:rsidR="00350100" w:rsidRPr="009E7C7F" w:rsidRDefault="00350100" w:rsidP="008F0A10">
                  <w:pPr>
                    <w:jc w:val="center"/>
                  </w:pPr>
                  <w:r w:rsidRPr="009E7C7F">
                    <w:t>5 000</w:t>
                  </w:r>
                </w:p>
              </w:tc>
              <w:tc>
                <w:tcPr>
                  <w:tcW w:w="789" w:type="pct"/>
                </w:tcPr>
                <w:p w:rsidR="00350100" w:rsidRPr="0046373A" w:rsidRDefault="008F0A10" w:rsidP="00A52720">
                  <w:pPr>
                    <w:jc w:val="right"/>
                  </w:pPr>
                  <w:r w:rsidRPr="0046373A">
                    <w:t>5 000</w:t>
                  </w:r>
                </w:p>
              </w:tc>
              <w:tc>
                <w:tcPr>
                  <w:tcW w:w="789" w:type="pct"/>
                </w:tcPr>
                <w:p w:rsidR="00350100" w:rsidRPr="002F5DF9" w:rsidRDefault="00350100" w:rsidP="00A52720">
                  <w:pPr>
                    <w:jc w:val="right"/>
                    <w:rPr>
                      <w:strike/>
                    </w:rPr>
                  </w:pPr>
                </w:p>
              </w:tc>
            </w:tr>
            <w:tr w:rsidR="00350100" w:rsidTr="009E7C7F">
              <w:tc>
                <w:tcPr>
                  <w:tcW w:w="2632" w:type="pct"/>
                </w:tcPr>
                <w:p w:rsidR="00350100" w:rsidRDefault="00350100" w:rsidP="00A52720">
                  <w:r>
                    <w:t>Celkem</w:t>
                  </w:r>
                </w:p>
              </w:tc>
              <w:tc>
                <w:tcPr>
                  <w:tcW w:w="790" w:type="pct"/>
                </w:tcPr>
                <w:p w:rsidR="009E7C7F" w:rsidRDefault="009E7C7F" w:rsidP="009E7C7F">
                  <w:pPr>
                    <w:spacing w:after="0" w:line="240" w:lineRule="auto"/>
                    <w:jc w:val="right"/>
                    <w:rPr>
                      <w:rFonts w:eastAsia="Times New Roman"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 xml:space="preserve">199 751 308 </w:t>
                  </w:r>
                </w:p>
                <w:p w:rsidR="00350100" w:rsidRPr="002F5DF9" w:rsidRDefault="00350100" w:rsidP="00A52720">
                  <w:pPr>
                    <w:jc w:val="right"/>
                    <w:rPr>
                      <w:strike/>
                    </w:rPr>
                  </w:pPr>
                </w:p>
              </w:tc>
              <w:tc>
                <w:tcPr>
                  <w:tcW w:w="789" w:type="pct"/>
                </w:tcPr>
                <w:p w:rsidR="00350100" w:rsidRPr="002F63E1" w:rsidRDefault="002F63E1" w:rsidP="00A52720">
                  <w:pPr>
                    <w:jc w:val="right"/>
                  </w:pPr>
                  <w:r w:rsidRPr="002F63E1">
                    <w:t xml:space="preserve">14 402 094 </w:t>
                  </w:r>
                </w:p>
              </w:tc>
              <w:tc>
                <w:tcPr>
                  <w:tcW w:w="789" w:type="pct"/>
                </w:tcPr>
                <w:p w:rsidR="00350100" w:rsidRPr="002F5DF9" w:rsidRDefault="002F63E1" w:rsidP="00A52720">
                  <w:pPr>
                    <w:jc w:val="right"/>
                    <w:rPr>
                      <w:strike/>
                    </w:rPr>
                  </w:pPr>
                  <w:r w:rsidRPr="002F63E1">
                    <w:rPr>
                      <w:rFonts w:cs="Calibri"/>
                      <w:color w:val="000000"/>
                    </w:rPr>
                    <w:t>185 349</w:t>
                  </w:r>
                  <w:r>
                    <w:rPr>
                      <w:rFonts w:cs="Calibri"/>
                      <w:color w:val="000000"/>
                    </w:rPr>
                    <w:t> </w:t>
                  </w:r>
                  <w:r w:rsidRPr="002F63E1">
                    <w:rPr>
                      <w:rFonts w:cs="Calibri"/>
                      <w:color w:val="000000"/>
                    </w:rPr>
                    <w:t xml:space="preserve">214 </w:t>
                  </w:r>
                </w:p>
              </w:tc>
            </w:tr>
          </w:tbl>
          <w:p w:rsidR="00350100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E7A7D" w:rsidRDefault="00EE7A7D" w:rsidP="00EE7A7D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EE7A7D" w:rsidRDefault="00EE7A7D" w:rsidP="00EE7A7D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8261B8" w:rsidRPr="00CD536D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D536D">
        <w:rPr>
          <w:rFonts w:ascii="Times New Roman" w:hAnsi="Times New Roman"/>
          <w:b/>
          <w:sz w:val="24"/>
          <w:szCs w:val="24"/>
        </w:rPr>
        <w:t>Plánovaný harmonogram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0100" w:rsidTr="00A52720">
        <w:tc>
          <w:tcPr>
            <w:tcW w:w="9062" w:type="dxa"/>
          </w:tcPr>
          <w:p w:rsidR="00350100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Rámcový harmonogram projektu – projekt bude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jednoetapový</w:t>
            </w:r>
            <w:proofErr w:type="spellEnd"/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2995"/>
            </w:tblGrid>
            <w:tr w:rsidR="00350100" w:rsidTr="00A52720">
              <w:tc>
                <w:tcPr>
                  <w:tcW w:w="5841" w:type="dxa"/>
                </w:tcPr>
                <w:p w:rsidR="00350100" w:rsidRDefault="00350100" w:rsidP="00A5272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Aktivita</w:t>
                  </w:r>
                </w:p>
              </w:tc>
              <w:tc>
                <w:tcPr>
                  <w:tcW w:w="2995" w:type="dxa"/>
                </w:tcPr>
                <w:p w:rsidR="00350100" w:rsidRDefault="00350100" w:rsidP="00A5272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Rámcový termín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Rozhodnutí o poskytnutí dotace</w:t>
                  </w:r>
                </w:p>
              </w:tc>
              <w:tc>
                <w:tcPr>
                  <w:tcW w:w="2995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06/2021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Realizace plánovaných veřejných zakázek na dodávky</w:t>
                  </w:r>
                </w:p>
              </w:tc>
              <w:tc>
                <w:tcPr>
                  <w:tcW w:w="2995" w:type="dxa"/>
                </w:tcPr>
                <w:p w:rsidR="00350100" w:rsidRPr="003F2D25" w:rsidRDefault="00350100" w:rsidP="00A52720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00143F"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2021–10</w:t>
                  </w:r>
                  <w:r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/2022</w:t>
                  </w:r>
                </w:p>
              </w:tc>
            </w:tr>
            <w:tr w:rsidR="00350100" w:rsidTr="00A52720">
              <w:tc>
                <w:tcPr>
                  <w:tcW w:w="5841" w:type="dxa"/>
                </w:tcPr>
                <w:p w:rsidR="00350100" w:rsidRPr="00394425" w:rsidRDefault="00350100" w:rsidP="00A5272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94425">
                    <w:rPr>
                      <w:rFonts w:ascii="Times New Roman" w:hAnsi="Times New Roman"/>
                      <w:sz w:val="24"/>
                      <w:szCs w:val="24"/>
                    </w:rPr>
                    <w:t>Dodávky a instalace přístrojové techniky</w:t>
                  </w:r>
                </w:p>
              </w:tc>
              <w:tc>
                <w:tcPr>
                  <w:tcW w:w="2995" w:type="dxa"/>
                </w:tcPr>
                <w:p w:rsidR="00350100" w:rsidRPr="003F2D25" w:rsidRDefault="00350100" w:rsidP="00A52720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06/</w:t>
                  </w:r>
                  <w:r w:rsidR="0000143F"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2021–12</w:t>
                  </w:r>
                  <w:r w:rsidRPr="003F2D25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/2022</w:t>
                  </w:r>
                </w:p>
              </w:tc>
            </w:tr>
          </w:tbl>
          <w:p w:rsidR="00350100" w:rsidRPr="00394425" w:rsidRDefault="00350100" w:rsidP="00A5272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61B8" w:rsidRDefault="008261B8"/>
    <w:p w:rsidR="001F0EBF" w:rsidRDefault="001F0EBF"/>
    <w:p w:rsidR="001F0EBF" w:rsidRDefault="001F0EBF"/>
    <w:p w:rsidR="000B1C8F" w:rsidRDefault="007E758C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584C65">
        <w:rPr>
          <w:rFonts w:ascii="Times New Roman" w:hAnsi="Times New Roman"/>
          <w:b/>
          <w:sz w:val="24"/>
          <w:szCs w:val="24"/>
        </w:rPr>
        <w:lastRenderedPageBreak/>
        <w:t xml:space="preserve">Jak realizace projektu přispěje k posílení odolnosti </w:t>
      </w:r>
      <w:r w:rsidR="008B7CC7">
        <w:rPr>
          <w:rFonts w:ascii="Times New Roman" w:hAnsi="Times New Roman"/>
          <w:b/>
          <w:sz w:val="24"/>
          <w:szCs w:val="24"/>
        </w:rPr>
        <w:t xml:space="preserve">poskytovatele zdravotní péče </w:t>
      </w:r>
      <w:r w:rsidRPr="00584C65">
        <w:rPr>
          <w:rFonts w:ascii="Times New Roman" w:hAnsi="Times New Roman"/>
          <w:b/>
          <w:sz w:val="24"/>
          <w:szCs w:val="24"/>
        </w:rPr>
        <w:t xml:space="preserve">v souvislosti s pandemií </w:t>
      </w:r>
      <w:r w:rsidR="006246F7" w:rsidRPr="00584C65">
        <w:rPr>
          <w:rFonts w:ascii="Times New Roman" w:hAnsi="Times New Roman"/>
          <w:b/>
          <w:sz w:val="24"/>
          <w:szCs w:val="24"/>
        </w:rPr>
        <w:t>c</w:t>
      </w:r>
      <w:r w:rsidRPr="00584C65">
        <w:rPr>
          <w:rFonts w:ascii="Times New Roman" w:hAnsi="Times New Roman"/>
          <w:b/>
          <w:sz w:val="24"/>
          <w:szCs w:val="24"/>
        </w:rPr>
        <w:t>ovid-19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0B1C8F" w:rsidTr="00350100">
        <w:trPr>
          <w:trHeight w:val="1949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106" w:rsidRP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 xml:space="preserve">Molekulární diagnostika infekce COVID-19 je v současné založena především na průkazu viru SARS-CoV-2 pomocí RT-PCR. Na základě současných doporučení WHO a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Centers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Disease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Prevention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(CDC) se detekují minimálně dvě virové sekvence a kontrolní gen k potvrzení správného odběru vzorků, </w:t>
            </w:r>
            <w:r w:rsidR="00E9103A">
              <w:rPr>
                <w:rFonts w:ascii="Times New Roman" w:hAnsi="Times New Roman"/>
                <w:sz w:val="24"/>
                <w:szCs w:val="24"/>
              </w:rPr>
              <w:t>d</w:t>
            </w:r>
            <w:r w:rsidRPr="00AC0106">
              <w:rPr>
                <w:rFonts w:ascii="Times New Roman" w:hAnsi="Times New Roman"/>
                <w:sz w:val="24"/>
                <w:szCs w:val="24"/>
              </w:rPr>
              <w:t xml:space="preserve">etekce RT-PCR se nyní doplňuje o detekci rizikových mutací, a to nejčastěji pomocí RT-PCR a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sekvenování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C0106" w:rsidRP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>Přibližně 80 % infikovaných jedinců má mírné až středně závažné příznaky, což se v poslední době s nástupem mutací mění.</w:t>
            </w:r>
            <w:r w:rsidR="00815668"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20 % jedinců</w:t>
            </w:r>
            <w:r w:rsidRPr="0081566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AC0106">
              <w:rPr>
                <w:rFonts w:ascii="Times New Roman" w:hAnsi="Times New Roman"/>
                <w:sz w:val="24"/>
                <w:szCs w:val="24"/>
              </w:rPr>
              <w:t xml:space="preserve">má závažný průběh onemocnění, které vyžaduje hospitalizaci. U těžce nemocných jedinců jsou nejzávažnějšími komplikacemi syndrom akutní respirační tísně způsobený difúzním alveolárním poškozením. Na základě vyšetření těchto pacientů bylo zjištěno několik rizikových faktorů, které predisponují pacienty k těžkému průběhu onemocnění, mezi nimiž je z hematologického hlediska na prvním místě D-dimer vyšší než 750-1000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/ml při přijetí. </w:t>
            </w:r>
          </w:p>
          <w:p w:rsidR="00AC0106" w:rsidRP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 xml:space="preserve">Nedávno identifikovaným klinickým jevem je také reaktivace infekce COVID – 19 u podskupiny pacientů po zotavení z počátečního onemocnění, kdy se snadno tvoří závažná pneumonie. </w:t>
            </w:r>
          </w:p>
          <w:p w:rsidR="00AC0106" w:rsidRP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 xml:space="preserve">Pro zajištění pacientů s podezřením na infekci způsobenou COVID – 19 žádá naše </w:t>
            </w:r>
            <w:r>
              <w:rPr>
                <w:rFonts w:ascii="Times New Roman" w:hAnsi="Times New Roman"/>
                <w:sz w:val="24"/>
                <w:szCs w:val="24"/>
              </w:rPr>
              <w:t>nemocnice</w:t>
            </w:r>
            <w:r w:rsidRPr="00AC0106">
              <w:rPr>
                <w:rFonts w:ascii="Times New Roman" w:hAnsi="Times New Roman"/>
                <w:sz w:val="24"/>
                <w:szCs w:val="24"/>
              </w:rPr>
              <w:t xml:space="preserve"> o posílení molekulárně genetického vybavení laboratoří, které navýší záložní kapacitu  pro vyšetření v době pandemie o přístroje podílející se na zajištění kvality izolace DNA/RNA , což je spektrofotometr a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bioanalyzér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cyclery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zajišťující kvantifikaci amplifikovaných genů (RT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real-time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PCR ,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digital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PCR, POCT PCR), kapilární elektroforézu pro zjištění nových mutačních stavů, inkubátory,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flowboxy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a systém analýzy obrazu - tuto technologii lze využít také k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semikvantitativní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detekci viru SARS-CoV-2 na úrovni buněk a tkání, v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pre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>-klinických studiích vakcín a léčiv, ke sledování odpovědi buňky na infekci virem a distribuce virové RNA uvnitř buněk a v neposlední řadě také ke zjištění konce infekčnosti. Zařízení bude primárně využito pro určení specifických mutací (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markerů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) v diagnostice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hemato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-onkologických chorob, kdy určuje správný terapeutický a prognostický přístup a pomáhá v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perzonalizovaném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přístupu k léčbě pacientů. </w:t>
            </w:r>
          </w:p>
          <w:p w:rsidR="00AC0106" w:rsidRP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 xml:space="preserve">V době pandemie budou přístroje využity pro vysoce kapacitní PCR diagnostiku virových a bakteriálních onemocnění, jako je v současné době pandemie COVID-19. Pro tyto účely budou RT-PCR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cyklery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rozšířeny na 384 souběžných reakcí, což zněkolikanásobí kapacitu pořizovaných zařízení. Point-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-care (POC) PCR systémy budou využity k rychlé identifikaci infikovaných jedinců. Zařízení jsou flexibilní a umožňují rozšíření diagnostiky na další potenciální rizikové patogeny. </w:t>
            </w:r>
          </w:p>
          <w:p w:rsidR="00AC0106" w:rsidRDefault="00AC0106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106">
              <w:rPr>
                <w:rFonts w:ascii="Times New Roman" w:hAnsi="Times New Roman"/>
                <w:sz w:val="24"/>
                <w:szCs w:val="24"/>
              </w:rPr>
              <w:t xml:space="preserve">Druhá část přístrojů bude sloužit pro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triážování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pacientů s prokázanou COVID – 19 infekcí, kteří potřebují plicní podporu a mají závažný průběh onemocnění. Zde využijeme přístroje, které pomáhají identifikovat závažnost průběhu infekčního stavu na základě hematologických parametrů, jako jsou zvýšené hladiny koagulačních parametrů (D-DIM), lymfopenie, leukocytóza, pozitivita CD64 znaku u sekundárních závažných bakteriálních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lastRenderedPageBreak/>
              <w:t>infektů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nebo sledování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markerů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systémové zánětlivé odpovědi.</w:t>
            </w:r>
            <w:r w:rsidR="00001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106">
              <w:rPr>
                <w:rFonts w:ascii="Times New Roman" w:hAnsi="Times New Roman"/>
                <w:sz w:val="24"/>
                <w:szCs w:val="24"/>
              </w:rPr>
              <w:t xml:space="preserve">Pro tyto účely požadujeme dovybavení pracoviště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flowcytometry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, digitální morfologií, mikroskopy a mrazícím boxem pro uchovávání materiálu. Tyto přístroje nám umožní zajistit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/>
                <w:sz w:val="24"/>
                <w:szCs w:val="24"/>
              </w:rPr>
              <w:t>ážování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pacientů postižených virovou infekcí a optimální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tri</w:t>
            </w:r>
            <w:r>
              <w:rPr>
                <w:rFonts w:ascii="Times New Roman" w:hAnsi="Times New Roman"/>
                <w:sz w:val="24"/>
                <w:szCs w:val="24"/>
              </w:rPr>
              <w:t>ážování</w:t>
            </w:r>
            <w:proofErr w:type="spellEnd"/>
            <w:r w:rsidR="00E910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0106">
              <w:rPr>
                <w:rFonts w:ascii="Times New Roman" w:hAnsi="Times New Roman"/>
                <w:sz w:val="24"/>
                <w:szCs w:val="24"/>
              </w:rPr>
              <w:t xml:space="preserve">velkého počtu pacientů v minimálním čase, což zajistí zejména automatizace procesu základního hematologické vyšetření patologických nálezů pomocí digitální morfologie a doplnění diagnostiky o průtokovou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cytometrii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, která nám umožní odlišit příčinu </w:t>
            </w:r>
            <w:proofErr w:type="spellStart"/>
            <w:r w:rsidRPr="00AC0106">
              <w:rPr>
                <w:rFonts w:ascii="Times New Roman" w:hAnsi="Times New Roman"/>
                <w:sz w:val="24"/>
                <w:szCs w:val="24"/>
              </w:rPr>
              <w:t>infektu</w:t>
            </w:r>
            <w:proofErr w:type="spellEnd"/>
            <w:r w:rsidRPr="00AC0106">
              <w:rPr>
                <w:rFonts w:ascii="Times New Roman" w:hAnsi="Times New Roman"/>
                <w:sz w:val="24"/>
                <w:szCs w:val="24"/>
              </w:rPr>
              <w:t xml:space="preserve"> u pacientů a zvolení optimálního způsobu léčby. </w:t>
            </w:r>
          </w:p>
          <w:p w:rsidR="00AC0106" w:rsidRPr="00AC0106" w:rsidRDefault="00F75E63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 třetí části bude p</w:t>
            </w:r>
            <w:r w:rsidR="00AC0106" w:rsidRPr="00AC0106">
              <w:rPr>
                <w:rFonts w:ascii="Times New Roman" w:hAnsi="Times New Roman"/>
                <w:sz w:val="24"/>
                <w:szCs w:val="24"/>
              </w:rPr>
              <w:t>ro identifikaci mutačních stavů virů způsobujících pandemi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C0106" w:rsidRPr="00AC0106">
              <w:rPr>
                <w:rFonts w:ascii="Times New Roman" w:hAnsi="Times New Roman"/>
                <w:sz w:val="24"/>
                <w:szCs w:val="24"/>
              </w:rPr>
              <w:t xml:space="preserve"> sloužit vysokokapacitní genomový </w:t>
            </w:r>
            <w:proofErr w:type="spellStart"/>
            <w:r w:rsidR="00AC0106" w:rsidRPr="00AC0106">
              <w:rPr>
                <w:rFonts w:ascii="Times New Roman" w:hAnsi="Times New Roman"/>
                <w:sz w:val="24"/>
                <w:szCs w:val="24"/>
              </w:rPr>
              <w:t>sekvenátor</w:t>
            </w:r>
            <w:proofErr w:type="spellEnd"/>
            <w:r w:rsidR="00AC0106" w:rsidRPr="00AC0106">
              <w:rPr>
                <w:rFonts w:ascii="Times New Roman" w:hAnsi="Times New Roman"/>
                <w:sz w:val="24"/>
                <w:szCs w:val="24"/>
              </w:rPr>
              <w:t xml:space="preserve"> umožňující </w:t>
            </w:r>
            <w:proofErr w:type="spellStart"/>
            <w:r w:rsidR="00AC0106" w:rsidRPr="00AC0106">
              <w:rPr>
                <w:rFonts w:ascii="Times New Roman" w:hAnsi="Times New Roman"/>
                <w:sz w:val="24"/>
                <w:szCs w:val="24"/>
              </w:rPr>
              <w:t>sekvenovat</w:t>
            </w:r>
            <w:proofErr w:type="spellEnd"/>
            <w:r w:rsidR="00AC0106" w:rsidRPr="00AC0106">
              <w:rPr>
                <w:rFonts w:ascii="Times New Roman" w:hAnsi="Times New Roman"/>
                <w:sz w:val="24"/>
                <w:szCs w:val="24"/>
              </w:rPr>
              <w:t xml:space="preserve"> souběžně tisíce virových a bakteriálních genomů, a tím identifikovat nové neznámé mutace a také rizikové známé varianty. K identifikaci patogenů bude využita nejmodernější technologie </w:t>
            </w:r>
            <w:proofErr w:type="spellStart"/>
            <w:r w:rsidR="00AC0106" w:rsidRPr="00AC0106">
              <w:rPr>
                <w:rFonts w:ascii="Times New Roman" w:hAnsi="Times New Roman"/>
                <w:sz w:val="24"/>
                <w:szCs w:val="24"/>
              </w:rPr>
              <w:t>sekvenování</w:t>
            </w:r>
            <w:proofErr w:type="spellEnd"/>
            <w:r w:rsidR="00AC0106" w:rsidRPr="00AC0106">
              <w:rPr>
                <w:rFonts w:ascii="Times New Roman" w:hAnsi="Times New Roman"/>
                <w:sz w:val="24"/>
                <w:szCs w:val="24"/>
              </w:rPr>
              <w:t xml:space="preserve"> nové generace, která umožní určit pořadí nukleotidů velkých i malých genomů. Zařízení disponuje dostatečnou kapacitou pro řešení pandemických situací, jako se ukazuje v případě pandemie COVID-19. Současně bude k identifikaci patogenů využit scanner genetických změn, který umožňuje identifikaci virů a bakterií v komplexních vzorcích na základě genetických map. Toto zařízení také umožňuje také odhalit velké strukturní změny, které mohou mít dopad na </w:t>
            </w:r>
            <w:proofErr w:type="spellStart"/>
            <w:r w:rsidR="00AC0106" w:rsidRPr="00AC0106">
              <w:rPr>
                <w:rFonts w:ascii="Times New Roman" w:hAnsi="Times New Roman"/>
                <w:sz w:val="24"/>
                <w:szCs w:val="24"/>
              </w:rPr>
              <w:t>patogenicitu</w:t>
            </w:r>
            <w:proofErr w:type="spellEnd"/>
            <w:r w:rsidR="00AC0106" w:rsidRPr="00AC0106">
              <w:rPr>
                <w:rFonts w:ascii="Times New Roman" w:hAnsi="Times New Roman"/>
                <w:sz w:val="24"/>
                <w:szCs w:val="24"/>
              </w:rPr>
              <w:t xml:space="preserve"> mikroorganizmů.</w:t>
            </w:r>
          </w:p>
          <w:p w:rsidR="00FF6C73" w:rsidRPr="00BE5AD3" w:rsidRDefault="00FF6C73" w:rsidP="00AC01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36D" w:rsidRDefault="00CC336D"/>
    <w:p w:rsidR="001F0EBF" w:rsidRDefault="001F0EBF">
      <w:pPr>
        <w:spacing w:after="160" w:line="259" w:lineRule="auto"/>
      </w:pPr>
      <w:r>
        <w:br w:type="page"/>
      </w:r>
    </w:p>
    <w:p w:rsidR="00CD536D" w:rsidRDefault="00CD536D">
      <w:bookmarkStart w:id="1" w:name="_GoBack"/>
      <w:bookmarkEnd w:id="1"/>
    </w:p>
    <w:p w:rsidR="000B1C8F" w:rsidRDefault="007E758C" w:rsidP="00F75E63">
      <w:pPr>
        <w:pStyle w:val="Odstavecseseznamem"/>
        <w:numPr>
          <w:ilvl w:val="0"/>
          <w:numId w:val="1"/>
        </w:numPr>
      </w:pPr>
      <w:r w:rsidRPr="00CD536D">
        <w:rPr>
          <w:rFonts w:ascii="Times New Roman" w:hAnsi="Times New Roman"/>
          <w:b/>
          <w:sz w:val="24"/>
          <w:szCs w:val="24"/>
        </w:rPr>
        <w:t xml:space="preserve">V případě stavebních projektů </w:t>
      </w:r>
      <w:r w:rsidR="002D0934" w:rsidRPr="00CD536D">
        <w:rPr>
          <w:rFonts w:ascii="Times New Roman" w:hAnsi="Times New Roman"/>
          <w:b/>
          <w:sz w:val="24"/>
          <w:szCs w:val="24"/>
        </w:rPr>
        <w:t xml:space="preserve">– </w:t>
      </w:r>
      <w:r w:rsidRPr="00CD536D">
        <w:rPr>
          <w:rFonts w:ascii="Times New Roman" w:hAnsi="Times New Roman"/>
          <w:b/>
          <w:sz w:val="24"/>
          <w:szCs w:val="24"/>
        </w:rPr>
        <w:t>informace o stavu rozpracovanosti</w:t>
      </w:r>
      <w:r w:rsidR="00157E96" w:rsidRPr="00CD536D">
        <w:rPr>
          <w:rFonts w:ascii="Times New Roman" w:hAnsi="Times New Roman"/>
          <w:b/>
          <w:sz w:val="24"/>
          <w:szCs w:val="24"/>
        </w:rPr>
        <w:t xml:space="preserve"> </w:t>
      </w:r>
      <w:r w:rsidR="00E2493A" w:rsidRPr="00CD536D">
        <w:rPr>
          <w:rFonts w:ascii="Times New Roman" w:hAnsi="Times New Roman"/>
          <w:b/>
          <w:sz w:val="24"/>
          <w:szCs w:val="24"/>
        </w:rPr>
        <w:t>NERELEVANTNÍ</w:t>
      </w:r>
    </w:p>
    <w:tbl>
      <w:tblPr>
        <w:tblpPr w:leftFromText="142" w:rightFromText="142" w:vertAnchor="page" w:horzAnchor="margin" w:tblpY="2836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6178"/>
      </w:tblGrid>
      <w:tr w:rsidR="00B17950" w:rsidTr="00441180">
        <w:trPr>
          <w:trHeight w:val="41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Název akce: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  <w:tr w:rsidR="00B17950" w:rsidTr="00441180">
        <w:trPr>
          <w:trHeight w:val="42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  <w:tr w:rsidR="00B17950" w:rsidTr="00441180">
        <w:trPr>
          <w:trHeight w:val="54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Vlastnické vztahy stavebního pozemku:</w:t>
            </w:r>
          </w:p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forma: nájemní smlouva</w:t>
            </w:r>
            <w:r w:rsidR="00176A44">
              <w:rPr>
                <w:rFonts w:ascii="Times New Roman" w:hAnsi="Times New Roman"/>
                <w:sz w:val="24"/>
                <w:szCs w:val="24"/>
              </w:rPr>
              <w:t>,</w:t>
            </w:r>
            <w:r w:rsidRPr="00B17950">
              <w:rPr>
                <w:rFonts w:ascii="Times New Roman" w:hAnsi="Times New Roman"/>
                <w:sz w:val="24"/>
                <w:szCs w:val="24"/>
              </w:rPr>
              <w:t xml:space="preserve"> výpůjčka apod., platnost do roku …)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  <w:tr w:rsidR="00B17950" w:rsidTr="00441180">
        <w:trPr>
          <w:trHeight w:val="53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Stavebně technická připravenost akce:</w:t>
            </w:r>
          </w:p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(ano, ne – studie, projekt, stavební řízení, výběrové řízení, smlouva o dílo)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  <w:tr w:rsidR="00B17950" w:rsidTr="00441180">
        <w:trPr>
          <w:trHeight w:val="628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hideMark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Harmonogram realizace stavby: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  <w:tr w:rsidR="00B17950" w:rsidTr="00441180">
        <w:trPr>
          <w:trHeight w:val="125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</w:tcPr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950">
              <w:rPr>
                <w:rFonts w:ascii="Times New Roman" w:hAnsi="Times New Roman"/>
                <w:b/>
                <w:sz w:val="24"/>
                <w:szCs w:val="24"/>
              </w:rPr>
              <w:t>Stavební řízení: číslo</w:t>
            </w:r>
          </w:p>
          <w:p w:rsidR="00B17950" w:rsidRPr="00B17950" w:rsidRDefault="00B17950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950">
              <w:rPr>
                <w:rFonts w:ascii="Times New Roman" w:hAnsi="Times New Roman"/>
                <w:sz w:val="24"/>
                <w:szCs w:val="24"/>
              </w:rPr>
              <w:t>(stavební povolení (SP), ohlášení stavby (OS), souhlas stavebního úřadu bez SP a OS atd.)</w:t>
            </w:r>
          </w:p>
        </w:tc>
        <w:tc>
          <w:tcPr>
            <w:tcW w:w="6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50" w:rsidRDefault="00F75E63" w:rsidP="0044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///</w:t>
            </w:r>
          </w:p>
        </w:tc>
      </w:tr>
    </w:tbl>
    <w:p w:rsidR="00157E96" w:rsidRDefault="00157E96" w:rsidP="00157E96">
      <w:pPr>
        <w:jc w:val="both"/>
        <w:rPr>
          <w:rFonts w:ascii="Times New Roman" w:hAnsi="Times New Roman"/>
          <w:b/>
          <w:sz w:val="24"/>
          <w:szCs w:val="24"/>
        </w:rPr>
      </w:pPr>
    </w:p>
    <w:p w:rsidR="00157E96" w:rsidRPr="00157E96" w:rsidRDefault="00176A44" w:rsidP="00CD536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157E96">
        <w:rPr>
          <w:rFonts w:ascii="Times New Roman" w:hAnsi="Times New Roman"/>
          <w:b/>
          <w:sz w:val="24"/>
          <w:szCs w:val="24"/>
        </w:rPr>
        <w:t xml:space="preserve">V případě </w:t>
      </w:r>
      <w:r w:rsidR="002D0934" w:rsidRPr="00157E96">
        <w:rPr>
          <w:rFonts w:ascii="Times New Roman" w:hAnsi="Times New Roman"/>
          <w:b/>
          <w:sz w:val="24"/>
          <w:szCs w:val="24"/>
        </w:rPr>
        <w:t xml:space="preserve">projektů v rámci 99. výzvy – cílová skupina osoby s duševním onemocněním – doplňují informace k zaměření projektu </w:t>
      </w:r>
      <w:r w:rsidR="00277850">
        <w:rPr>
          <w:rFonts w:ascii="Times New Roman" w:hAnsi="Times New Roman"/>
          <w:b/>
          <w:sz w:val="24"/>
          <w:szCs w:val="24"/>
        </w:rPr>
        <w:t>NERELEVANTNÍ</w:t>
      </w:r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176A44" w:rsidRDefault="00176A44">
      <w:pPr>
        <w:rPr>
          <w:rFonts w:ascii="Times New Roman" w:hAnsi="Times New Roman"/>
          <w:b/>
          <w:bCs/>
          <w:sz w:val="24"/>
          <w:szCs w:val="24"/>
        </w:rPr>
      </w:pPr>
    </w:p>
    <w:p w:rsidR="00B278B4" w:rsidRDefault="00B278B4">
      <w:pPr>
        <w:rPr>
          <w:rFonts w:ascii="Times New Roman" w:hAnsi="Times New Roman"/>
          <w:b/>
          <w:bCs/>
          <w:sz w:val="24"/>
          <w:szCs w:val="24"/>
        </w:rPr>
      </w:pPr>
    </w:p>
    <w:p w:rsidR="00B17950" w:rsidRDefault="00B17950" w:rsidP="00B1795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V</w:t>
      </w:r>
      <w:r w:rsidR="00157E96">
        <w:rPr>
          <w:rFonts w:ascii="Times New Roman" w:hAnsi="Times New Roman"/>
          <w:sz w:val="24"/>
          <w:szCs w:val="24"/>
        </w:rPr>
        <w:t xml:space="preserve"> Olomouci </w:t>
      </w:r>
      <w:r>
        <w:rPr>
          <w:rFonts w:ascii="Times New Roman" w:hAnsi="Times New Roman"/>
          <w:sz w:val="24"/>
          <w:szCs w:val="24"/>
        </w:rPr>
        <w:t>dne……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17950" w:rsidRDefault="00B17950" w:rsidP="00B17950">
      <w:pPr>
        <w:ind w:left="5664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……………………………</w:t>
      </w:r>
    </w:p>
    <w:p w:rsidR="00B17950" w:rsidRPr="00B17950" w:rsidRDefault="00B17950" w:rsidP="00B17950">
      <w:pPr>
        <w:ind w:left="5664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Statutární zástupce</w:t>
      </w:r>
    </w:p>
    <w:sectPr w:rsidR="00B17950" w:rsidRPr="00B17950" w:rsidSect="004B17D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A029A" w16cex:dateUtc="2021-03-15T14:58:00Z"/>
  <w16cex:commentExtensible w16cex:durableId="23FA036A" w16cex:dateUtc="2021-03-15T15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792" w:rsidRDefault="00007792" w:rsidP="000B1C8F">
      <w:pPr>
        <w:spacing w:after="0" w:line="240" w:lineRule="auto"/>
      </w:pPr>
      <w:r>
        <w:separator/>
      </w:r>
    </w:p>
  </w:endnote>
  <w:endnote w:type="continuationSeparator" w:id="0">
    <w:p w:rsidR="00007792" w:rsidRDefault="00007792" w:rsidP="000B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2995012"/>
      <w:docPartObj>
        <w:docPartGallery w:val="Page Numbers (Bottom of Page)"/>
        <w:docPartUnique/>
      </w:docPartObj>
    </w:sdtPr>
    <w:sdtEndPr/>
    <w:sdtContent>
      <w:p w:rsidR="00E2493A" w:rsidRDefault="00321A10">
        <w:pPr>
          <w:pStyle w:val="Zpat"/>
          <w:jc w:val="right"/>
        </w:pPr>
        <w:r>
          <w:fldChar w:fldCharType="begin"/>
        </w:r>
        <w:r w:rsidR="00962648">
          <w:instrText>PAGE   \* MERGEFORMAT</w:instrText>
        </w:r>
        <w:r>
          <w:fldChar w:fldCharType="separate"/>
        </w:r>
        <w:r w:rsidR="00F109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493A" w:rsidRDefault="00E24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792" w:rsidRDefault="00007792" w:rsidP="000B1C8F">
      <w:pPr>
        <w:spacing w:after="0" w:line="240" w:lineRule="auto"/>
      </w:pPr>
      <w:r>
        <w:separator/>
      </w:r>
    </w:p>
  </w:footnote>
  <w:footnote w:type="continuationSeparator" w:id="0">
    <w:p w:rsidR="00007792" w:rsidRDefault="00007792" w:rsidP="000B1C8F">
      <w:pPr>
        <w:spacing w:after="0" w:line="240" w:lineRule="auto"/>
      </w:pPr>
      <w:r>
        <w:continuationSeparator/>
      </w:r>
    </w:p>
  </w:footnote>
  <w:footnote w:id="1">
    <w:p w:rsidR="00E2493A" w:rsidRDefault="00E2493A" w:rsidP="00157E9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U výzvy č. 98: aktivita Urgentní příjem typu 1 / Urgentní příjem typu 2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99: cílová skupina: </w:t>
      </w:r>
      <w:r w:rsidRPr="008B7CC7">
        <w:t>onkologičtí pacienti</w:t>
      </w:r>
      <w:r>
        <w:t xml:space="preserve"> / cílová skupina: </w:t>
      </w:r>
      <w:r w:rsidRPr="008B7CC7">
        <w:t>pacienti s kardiovaskulárními onemocněními</w:t>
      </w:r>
      <w:r>
        <w:t xml:space="preserve">/ cílová skupina: </w:t>
      </w:r>
      <w:r w:rsidRPr="008B7CC7">
        <w:t>pacienti se zvláště závažnou obezitou</w:t>
      </w:r>
      <w:r>
        <w:t xml:space="preserve"> / cílová skupina: </w:t>
      </w:r>
      <w:r w:rsidRPr="008B7CC7">
        <w:t>pacienti, jejichž zdravotní stav vyžaduje doléčení v lůžkovém zdravotnickém zařízení</w:t>
      </w:r>
      <w:r>
        <w:t xml:space="preserve"> / cílová skupina: </w:t>
      </w:r>
      <w:r w:rsidRPr="008B7CC7">
        <w:t>osoby s duševním onemocněním</w:t>
      </w:r>
    </w:p>
    <w:p w:rsidR="00E2493A" w:rsidRDefault="00E2493A" w:rsidP="00157E96">
      <w:pPr>
        <w:pStyle w:val="Textpoznpodarou"/>
        <w:jc w:val="both"/>
      </w:pPr>
      <w:r>
        <w:tab/>
        <w:t xml:space="preserve">U výzvy č. 100: aktivita Rozvoj laboratorních kapacit nemocnic / </w:t>
      </w:r>
      <w:r w:rsidRPr="008B7CC7">
        <w:t xml:space="preserve">Rozvoj </w:t>
      </w:r>
      <w:proofErr w:type="spellStart"/>
      <w:r w:rsidRPr="008B7CC7">
        <w:t>infektologických</w:t>
      </w:r>
      <w:proofErr w:type="spellEnd"/>
      <w:r w:rsidRPr="008B7CC7">
        <w:t xml:space="preserve"> pracovišť všeobecných nemocnic</w:t>
      </w:r>
    </w:p>
    <w:p w:rsidR="00E2493A" w:rsidRPr="00700701" w:rsidRDefault="00E2493A" w:rsidP="00157E96">
      <w:pPr>
        <w:pStyle w:val="Textpoznpodarou"/>
        <w:jc w:val="both"/>
      </w:pPr>
      <w:r>
        <w:tab/>
        <w:t xml:space="preserve">U výzvy č. 102: aktivita Rozvoj laboratorních kapacit zdravotních ústavů / </w:t>
      </w:r>
      <w:r w:rsidRPr="00584C65">
        <w:t>Rozvoj infrastruktury krajských hygienických stanic</w:t>
      </w:r>
    </w:p>
    <w:p w:rsidR="00E2493A" w:rsidRDefault="00E2493A" w:rsidP="00157E96">
      <w:pPr>
        <w:pStyle w:val="Textpoznpodarou"/>
        <w:ind w:left="72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93A" w:rsidRDefault="00E2493A" w:rsidP="000B1C8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2400300" cy="504190"/>
          <wp:effectExtent l="0" t="0" r="0" b="0"/>
          <wp:wrapSquare wrapText="bothSides"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logo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435" cy="5111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-59055</wp:posOffset>
          </wp:positionV>
          <wp:extent cx="2429256" cy="50292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CR_min_CMYK_dlouh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25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EAE"/>
    <w:multiLevelType w:val="hybridMultilevel"/>
    <w:tmpl w:val="83CE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2F"/>
    <w:multiLevelType w:val="hybridMultilevel"/>
    <w:tmpl w:val="3F7CE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6D47"/>
    <w:multiLevelType w:val="hybridMultilevel"/>
    <w:tmpl w:val="FAB82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3CD"/>
    <w:multiLevelType w:val="hybridMultilevel"/>
    <w:tmpl w:val="364433B6"/>
    <w:lvl w:ilvl="0" w:tplc="040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5F20FE5"/>
    <w:multiLevelType w:val="hybridMultilevel"/>
    <w:tmpl w:val="0D223F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A2DF5"/>
    <w:multiLevelType w:val="hybridMultilevel"/>
    <w:tmpl w:val="55CE1F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C7CDA"/>
    <w:multiLevelType w:val="hybridMultilevel"/>
    <w:tmpl w:val="1338B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944C1"/>
    <w:multiLevelType w:val="hybridMultilevel"/>
    <w:tmpl w:val="B5AAA7F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D84CCD"/>
    <w:multiLevelType w:val="hybridMultilevel"/>
    <w:tmpl w:val="4B92A934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94CC0"/>
    <w:multiLevelType w:val="hybridMultilevel"/>
    <w:tmpl w:val="56404D98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166EB3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70D97"/>
    <w:multiLevelType w:val="hybridMultilevel"/>
    <w:tmpl w:val="096021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BC557C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C4CB7"/>
    <w:multiLevelType w:val="hybridMultilevel"/>
    <w:tmpl w:val="D31A4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365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92307"/>
    <w:multiLevelType w:val="hybridMultilevel"/>
    <w:tmpl w:val="0204B5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861CE"/>
    <w:multiLevelType w:val="hybridMultilevel"/>
    <w:tmpl w:val="CC5A1528"/>
    <w:lvl w:ilvl="0" w:tplc="69E886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156E7"/>
    <w:multiLevelType w:val="hybridMultilevel"/>
    <w:tmpl w:val="4360071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95E2C2B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0331D"/>
    <w:multiLevelType w:val="hybridMultilevel"/>
    <w:tmpl w:val="36B66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C5F58"/>
    <w:multiLevelType w:val="hybridMultilevel"/>
    <w:tmpl w:val="E52EA0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91944"/>
    <w:multiLevelType w:val="hybridMultilevel"/>
    <w:tmpl w:val="3F7CE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77F0C"/>
    <w:multiLevelType w:val="hybridMultilevel"/>
    <w:tmpl w:val="A81CC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17BC2"/>
    <w:multiLevelType w:val="hybridMultilevel"/>
    <w:tmpl w:val="046264CA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CC797A"/>
    <w:multiLevelType w:val="hybridMultilevel"/>
    <w:tmpl w:val="89284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533BA"/>
    <w:multiLevelType w:val="hybridMultilevel"/>
    <w:tmpl w:val="2C1A4D3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</w:num>
  <w:num w:numId="3">
    <w:abstractNumId w:val="18"/>
  </w:num>
  <w:num w:numId="4">
    <w:abstractNumId w:val="10"/>
  </w:num>
  <w:num w:numId="5">
    <w:abstractNumId w:val="12"/>
  </w:num>
  <w:num w:numId="6">
    <w:abstractNumId w:val="2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6"/>
  </w:num>
  <w:num w:numId="10">
    <w:abstractNumId w:val="14"/>
  </w:num>
  <w:num w:numId="11">
    <w:abstractNumId w:val="25"/>
  </w:num>
  <w:num w:numId="12">
    <w:abstractNumId w:val="3"/>
  </w:num>
  <w:num w:numId="13">
    <w:abstractNumId w:val="5"/>
  </w:num>
  <w:num w:numId="14">
    <w:abstractNumId w:val="16"/>
  </w:num>
  <w:num w:numId="15">
    <w:abstractNumId w:val="13"/>
  </w:num>
  <w:num w:numId="16">
    <w:abstractNumId w:val="11"/>
  </w:num>
  <w:num w:numId="17">
    <w:abstractNumId w:val="7"/>
  </w:num>
  <w:num w:numId="18">
    <w:abstractNumId w:val="19"/>
  </w:num>
  <w:num w:numId="19">
    <w:abstractNumId w:val="4"/>
  </w:num>
  <w:num w:numId="20">
    <w:abstractNumId w:val="2"/>
  </w:num>
  <w:num w:numId="21">
    <w:abstractNumId w:val="0"/>
  </w:num>
  <w:num w:numId="22">
    <w:abstractNumId w:val="23"/>
  </w:num>
  <w:num w:numId="23">
    <w:abstractNumId w:val="8"/>
  </w:num>
  <w:num w:numId="24">
    <w:abstractNumId w:val="17"/>
  </w:num>
  <w:num w:numId="25">
    <w:abstractNumId w:val="9"/>
  </w:num>
  <w:num w:numId="26">
    <w:abstractNumId w:val="22"/>
  </w:num>
  <w:num w:numId="27">
    <w:abstractNumId w:val="15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B8"/>
    <w:rsid w:val="0000143F"/>
    <w:rsid w:val="00001C3D"/>
    <w:rsid w:val="00007792"/>
    <w:rsid w:val="00010D3F"/>
    <w:rsid w:val="00022896"/>
    <w:rsid w:val="000342B9"/>
    <w:rsid w:val="00064637"/>
    <w:rsid w:val="00074CD4"/>
    <w:rsid w:val="00087EA1"/>
    <w:rsid w:val="000A472C"/>
    <w:rsid w:val="000B1C8F"/>
    <w:rsid w:val="000F11D1"/>
    <w:rsid w:val="001206A4"/>
    <w:rsid w:val="00130281"/>
    <w:rsid w:val="001325CB"/>
    <w:rsid w:val="00157E96"/>
    <w:rsid w:val="00176A44"/>
    <w:rsid w:val="001954BC"/>
    <w:rsid w:val="001C081A"/>
    <w:rsid w:val="001F0EBF"/>
    <w:rsid w:val="002009DD"/>
    <w:rsid w:val="00205B9E"/>
    <w:rsid w:val="00215181"/>
    <w:rsid w:val="0022531F"/>
    <w:rsid w:val="00231DA6"/>
    <w:rsid w:val="00237173"/>
    <w:rsid w:val="00277850"/>
    <w:rsid w:val="002912EF"/>
    <w:rsid w:val="002924B3"/>
    <w:rsid w:val="002A713B"/>
    <w:rsid w:val="002B0E88"/>
    <w:rsid w:val="002D0934"/>
    <w:rsid w:val="002F348A"/>
    <w:rsid w:val="002F5DF9"/>
    <w:rsid w:val="002F63E1"/>
    <w:rsid w:val="00310026"/>
    <w:rsid w:val="00321A10"/>
    <w:rsid w:val="00350100"/>
    <w:rsid w:val="003C4BF5"/>
    <w:rsid w:val="003D134C"/>
    <w:rsid w:val="003E494B"/>
    <w:rsid w:val="003E749D"/>
    <w:rsid w:val="003F2D25"/>
    <w:rsid w:val="003F5AA4"/>
    <w:rsid w:val="00441180"/>
    <w:rsid w:val="0046373A"/>
    <w:rsid w:val="0049182F"/>
    <w:rsid w:val="004B17D7"/>
    <w:rsid w:val="004E4032"/>
    <w:rsid w:val="004F2509"/>
    <w:rsid w:val="005653E9"/>
    <w:rsid w:val="00584C65"/>
    <w:rsid w:val="00590CF3"/>
    <w:rsid w:val="0059764E"/>
    <w:rsid w:val="005B57B9"/>
    <w:rsid w:val="005C257E"/>
    <w:rsid w:val="005C2ECD"/>
    <w:rsid w:val="005E788A"/>
    <w:rsid w:val="005E7CE7"/>
    <w:rsid w:val="005F79E0"/>
    <w:rsid w:val="00617884"/>
    <w:rsid w:val="006246F7"/>
    <w:rsid w:val="00690041"/>
    <w:rsid w:val="0069395E"/>
    <w:rsid w:val="00697F50"/>
    <w:rsid w:val="006D5D57"/>
    <w:rsid w:val="006E287E"/>
    <w:rsid w:val="00700701"/>
    <w:rsid w:val="00700F83"/>
    <w:rsid w:val="00710F7D"/>
    <w:rsid w:val="00716EA7"/>
    <w:rsid w:val="00740D89"/>
    <w:rsid w:val="0076328D"/>
    <w:rsid w:val="007810C7"/>
    <w:rsid w:val="007C63FF"/>
    <w:rsid w:val="007D2DB8"/>
    <w:rsid w:val="007E1652"/>
    <w:rsid w:val="007E758C"/>
    <w:rsid w:val="0081496D"/>
    <w:rsid w:val="00815668"/>
    <w:rsid w:val="00821BF2"/>
    <w:rsid w:val="008261B8"/>
    <w:rsid w:val="0085310F"/>
    <w:rsid w:val="00871908"/>
    <w:rsid w:val="008A1FCC"/>
    <w:rsid w:val="008B7CC7"/>
    <w:rsid w:val="008D1267"/>
    <w:rsid w:val="008D3ED9"/>
    <w:rsid w:val="008E3F28"/>
    <w:rsid w:val="008F0A10"/>
    <w:rsid w:val="0093323A"/>
    <w:rsid w:val="00962648"/>
    <w:rsid w:val="0096787B"/>
    <w:rsid w:val="00970621"/>
    <w:rsid w:val="00992599"/>
    <w:rsid w:val="009B2E5F"/>
    <w:rsid w:val="009E7C7F"/>
    <w:rsid w:val="00A42FA3"/>
    <w:rsid w:val="00A4759B"/>
    <w:rsid w:val="00A75FAC"/>
    <w:rsid w:val="00AB03B3"/>
    <w:rsid w:val="00AB1B94"/>
    <w:rsid w:val="00AB3234"/>
    <w:rsid w:val="00AC0106"/>
    <w:rsid w:val="00AC5055"/>
    <w:rsid w:val="00B01674"/>
    <w:rsid w:val="00B17950"/>
    <w:rsid w:val="00B23BDF"/>
    <w:rsid w:val="00B26FED"/>
    <w:rsid w:val="00B278B4"/>
    <w:rsid w:val="00B27CC9"/>
    <w:rsid w:val="00B3031C"/>
    <w:rsid w:val="00B422C8"/>
    <w:rsid w:val="00B636EA"/>
    <w:rsid w:val="00B84F11"/>
    <w:rsid w:val="00B85420"/>
    <w:rsid w:val="00BD1914"/>
    <w:rsid w:val="00BD7DA7"/>
    <w:rsid w:val="00BE5AD3"/>
    <w:rsid w:val="00C652AE"/>
    <w:rsid w:val="00C7055F"/>
    <w:rsid w:val="00C832EF"/>
    <w:rsid w:val="00C900DF"/>
    <w:rsid w:val="00CA6709"/>
    <w:rsid w:val="00CB56CC"/>
    <w:rsid w:val="00CC336D"/>
    <w:rsid w:val="00CC7935"/>
    <w:rsid w:val="00CD5366"/>
    <w:rsid w:val="00CD536D"/>
    <w:rsid w:val="00CE0D24"/>
    <w:rsid w:val="00CE7AE5"/>
    <w:rsid w:val="00CF358B"/>
    <w:rsid w:val="00D21D9B"/>
    <w:rsid w:val="00D40398"/>
    <w:rsid w:val="00D40E20"/>
    <w:rsid w:val="00D77480"/>
    <w:rsid w:val="00DA3830"/>
    <w:rsid w:val="00DA5ABA"/>
    <w:rsid w:val="00DB32E4"/>
    <w:rsid w:val="00DD5E7E"/>
    <w:rsid w:val="00E06054"/>
    <w:rsid w:val="00E2493A"/>
    <w:rsid w:val="00E4607A"/>
    <w:rsid w:val="00E5132F"/>
    <w:rsid w:val="00E75731"/>
    <w:rsid w:val="00E9103A"/>
    <w:rsid w:val="00EA004F"/>
    <w:rsid w:val="00EA355E"/>
    <w:rsid w:val="00EE2F65"/>
    <w:rsid w:val="00EE5494"/>
    <w:rsid w:val="00EE7A7D"/>
    <w:rsid w:val="00EF26ED"/>
    <w:rsid w:val="00F1096E"/>
    <w:rsid w:val="00F32E17"/>
    <w:rsid w:val="00F72C5E"/>
    <w:rsid w:val="00F75E63"/>
    <w:rsid w:val="00F81DB5"/>
    <w:rsid w:val="00FD0729"/>
    <w:rsid w:val="00FD215D"/>
    <w:rsid w:val="00FE13CA"/>
    <w:rsid w:val="00FE5745"/>
    <w:rsid w:val="00FF554F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613E7975"/>
  <w15:docId w15:val="{C7CE36EA-ECDE-4889-A5E5-F49840A62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6A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1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C8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B1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C8F"/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B26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FE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FED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FED"/>
    <w:rPr>
      <w:rFonts w:ascii="Segoe UI" w:eastAsia="Calibr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246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246F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46F7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85310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5310F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35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FC618-7829-4797-BA85-5E39C3CC8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2246</Words>
  <Characters>13258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Saibtová Iva Ing.</dc:creator>
  <cp:lastModifiedBy>Neudörflerová Jarmila, Ing.</cp:lastModifiedBy>
  <cp:revision>6</cp:revision>
  <dcterms:created xsi:type="dcterms:W3CDTF">2021-03-31T10:12:00Z</dcterms:created>
  <dcterms:modified xsi:type="dcterms:W3CDTF">2021-03-31T10:48:00Z</dcterms:modified>
</cp:coreProperties>
</file>