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D6DF595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501D25">
        <w:rPr>
          <w:rFonts w:asciiTheme="minorHAnsi" w:hAnsiTheme="minorHAnsi" w:cstheme="minorHAnsi"/>
          <w:b/>
          <w:sz w:val="20"/>
          <w:szCs w:val="20"/>
        </w:rPr>
        <w:t>PCR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 – čás</w:t>
      </w:r>
      <w:r w:rsidR="000C6829">
        <w:rPr>
          <w:rFonts w:asciiTheme="minorHAnsi" w:hAnsiTheme="minorHAnsi" w:cstheme="minorHAnsi"/>
          <w:b/>
          <w:sz w:val="20"/>
          <w:szCs w:val="20"/>
        </w:rPr>
        <w:t xml:space="preserve">t </w:t>
      </w:r>
      <w:r w:rsidR="00E95EB0">
        <w:rPr>
          <w:rFonts w:asciiTheme="minorHAnsi" w:hAnsiTheme="minorHAnsi" w:cstheme="minorHAnsi"/>
          <w:b/>
          <w:sz w:val="20"/>
          <w:szCs w:val="20"/>
        </w:rPr>
        <w:t>V</w:t>
      </w:r>
      <w:r w:rsidR="000C6829">
        <w:rPr>
          <w:rFonts w:asciiTheme="minorHAnsi" w:hAnsiTheme="minorHAnsi" w:cstheme="minorHAnsi"/>
          <w:b/>
          <w:sz w:val="20"/>
          <w:szCs w:val="20"/>
        </w:rPr>
        <w:t>.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, název části –</w:t>
      </w:r>
      <w:r w:rsidR="00DA7B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95EB0" w:rsidRPr="00E95EB0">
        <w:rPr>
          <w:rFonts w:asciiTheme="minorHAnsi" w:hAnsiTheme="minorHAnsi" w:cstheme="minorHAnsi"/>
          <w:b/>
          <w:sz w:val="20"/>
          <w:szCs w:val="20"/>
        </w:rPr>
        <w:t xml:space="preserve">Digitální PCR systém – </w:t>
      </w:r>
      <w:proofErr w:type="spellStart"/>
      <w:r w:rsidR="00E95EB0" w:rsidRPr="00E95EB0">
        <w:rPr>
          <w:rFonts w:asciiTheme="minorHAnsi" w:hAnsiTheme="minorHAnsi" w:cstheme="minorHAnsi"/>
          <w:b/>
          <w:sz w:val="20"/>
          <w:szCs w:val="20"/>
        </w:rPr>
        <w:t>Hemato</w:t>
      </w:r>
      <w:proofErr w:type="spellEnd"/>
      <w:r w:rsidR="00E95EB0" w:rsidRPr="00E95EB0">
        <w:rPr>
          <w:rFonts w:asciiTheme="minorHAnsi" w:hAnsiTheme="minorHAnsi" w:cstheme="minorHAnsi"/>
          <w:b/>
          <w:sz w:val="20"/>
          <w:szCs w:val="20"/>
        </w:rPr>
        <w:t>-onkologická klinika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501D25">
        <w:rPr>
          <w:rFonts w:asciiTheme="minorHAnsi" w:hAnsiTheme="minorHAnsi" w:cstheme="minorHAnsi"/>
          <w:b/>
          <w:sz w:val="20"/>
          <w:szCs w:val="20"/>
        </w:rPr>
        <w:t>315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6742DAFD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je</w:t>
      </w:r>
      <w:r w:rsidR="000C6829">
        <w:rPr>
          <w:rFonts w:asciiTheme="minorHAnsi" w:hAnsiTheme="minorHAnsi" w:cstheme="minorHAnsi"/>
          <w:sz w:val="20"/>
        </w:rPr>
        <w:t xml:space="preserve"> </w:t>
      </w:r>
      <w:proofErr w:type="spellStart"/>
      <w:r w:rsidR="000C6829" w:rsidRPr="00AD47A5">
        <w:rPr>
          <w:rFonts w:asciiTheme="minorHAnsi" w:hAnsiTheme="minorHAnsi" w:cs="TimesNewRoman"/>
          <w:b/>
          <w:sz w:val="20"/>
        </w:rPr>
        <w:t>Hemato</w:t>
      </w:r>
      <w:proofErr w:type="spellEnd"/>
      <w:r w:rsidR="000C6829" w:rsidRPr="00AD47A5">
        <w:rPr>
          <w:rFonts w:asciiTheme="minorHAnsi" w:hAnsiTheme="minorHAnsi" w:cs="TimesNewRoman"/>
          <w:b/>
          <w:sz w:val="20"/>
        </w:rPr>
        <w:t>-onkologická klinika</w:t>
      </w:r>
      <w:r w:rsidR="00501D25">
        <w:rPr>
          <w:rFonts w:asciiTheme="minorHAnsi" w:hAnsiTheme="minorHAnsi" w:cs="TimesNewRoman"/>
          <w:b/>
          <w:sz w:val="20"/>
        </w:rPr>
        <w:t xml:space="preserve">,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3479B918" w:rsidR="003109CF" w:rsidRPr="00D5452C" w:rsidRDefault="00D5452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D5452C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D5452C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D5452C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</w:t>
      </w:r>
      <w:r w:rsidRPr="004C4BC2">
        <w:rPr>
          <w:rFonts w:asciiTheme="minorHAnsi" w:hAnsiTheme="minorHAnsi" w:cstheme="minorHAnsi"/>
          <w:sz w:val="20"/>
        </w:rPr>
        <w:lastRenderedPageBreak/>
        <w:t>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73A45C7C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</w:t>
      </w:r>
      <w:r w:rsidRPr="005C4368">
        <w:rPr>
          <w:rFonts w:asciiTheme="minorHAnsi" w:hAnsiTheme="minorHAnsi" w:cstheme="minorHAnsi"/>
          <w:sz w:val="20"/>
        </w:rPr>
        <w:t xml:space="preserve">nedodrží termíny dohodnuté v této smlouvě, či písemně sjednané na základě této smlouvy, zavazuje se uhradit objednateli smluvní pokutu, která </w:t>
      </w:r>
      <w:r w:rsidRPr="005C4368">
        <w:rPr>
          <w:rFonts w:asciiTheme="minorHAnsi" w:hAnsiTheme="minorHAnsi" w:cstheme="minorHAnsi"/>
          <w:b/>
          <w:sz w:val="20"/>
        </w:rPr>
        <w:t xml:space="preserve">činí </w:t>
      </w:r>
      <w:r w:rsidR="00285C69" w:rsidRPr="005C4368">
        <w:rPr>
          <w:rFonts w:asciiTheme="minorHAnsi" w:hAnsiTheme="minorHAnsi" w:cstheme="minorHAnsi"/>
          <w:b/>
          <w:sz w:val="20"/>
        </w:rPr>
        <w:t>2 5</w:t>
      </w:r>
      <w:r w:rsidR="008F0FDF" w:rsidRPr="005C4368">
        <w:rPr>
          <w:rFonts w:asciiTheme="minorHAnsi" w:hAnsiTheme="minorHAnsi" w:cstheme="minorHAnsi"/>
          <w:b/>
          <w:sz w:val="20"/>
        </w:rPr>
        <w:t>0</w:t>
      </w:r>
      <w:r w:rsidR="00445811" w:rsidRPr="005C4368">
        <w:rPr>
          <w:rFonts w:asciiTheme="minorHAnsi" w:hAnsiTheme="minorHAnsi" w:cstheme="minorHAnsi"/>
          <w:b/>
          <w:sz w:val="20"/>
        </w:rPr>
        <w:t>0</w:t>
      </w:r>
      <w:r w:rsidRPr="005C4368">
        <w:rPr>
          <w:rFonts w:asciiTheme="minorHAnsi" w:hAnsiTheme="minorHAnsi" w:cstheme="minorHAnsi"/>
          <w:b/>
          <w:sz w:val="20"/>
        </w:rPr>
        <w:t>,- Kč</w:t>
      </w:r>
      <w:r w:rsidRPr="005C4368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285C69" w:rsidRPr="005C4368">
        <w:rPr>
          <w:rFonts w:asciiTheme="minorHAnsi" w:hAnsiTheme="minorHAnsi" w:cstheme="minorHAnsi"/>
          <w:b/>
          <w:sz w:val="20"/>
        </w:rPr>
        <w:t>5</w:t>
      </w:r>
      <w:r w:rsidR="008F0FDF" w:rsidRPr="005C4368">
        <w:rPr>
          <w:rFonts w:asciiTheme="minorHAnsi" w:hAnsiTheme="minorHAnsi" w:cstheme="minorHAnsi"/>
          <w:b/>
          <w:sz w:val="20"/>
        </w:rPr>
        <w:t xml:space="preserve"> 000</w:t>
      </w:r>
      <w:r w:rsidRPr="005C4368">
        <w:rPr>
          <w:rFonts w:asciiTheme="minorHAnsi" w:hAnsiTheme="minorHAnsi" w:cstheme="minorHAnsi"/>
          <w:b/>
          <w:sz w:val="20"/>
        </w:rPr>
        <w:t>,- Kč</w:t>
      </w:r>
      <w:r w:rsidRPr="005C4368">
        <w:rPr>
          <w:rFonts w:asciiTheme="minorHAnsi" w:hAnsiTheme="minorHAnsi" w:cstheme="minorHAnsi"/>
          <w:sz w:val="20"/>
        </w:rPr>
        <w:t xml:space="preserve">. Prodlení delší než </w:t>
      </w:r>
      <w:r w:rsidRPr="00A173A1">
        <w:rPr>
          <w:rFonts w:asciiTheme="minorHAnsi" w:hAnsiTheme="minorHAnsi" w:cstheme="minorHAnsi"/>
          <w:sz w:val="20"/>
        </w:rPr>
        <w:t xml:space="preserve">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1CC4316C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501D25">
        <w:rPr>
          <w:rFonts w:asciiTheme="minorHAnsi" w:hAnsiTheme="minorHAnsi" w:cstheme="minorHAnsi"/>
          <w:b/>
          <w:sz w:val="20"/>
          <w:szCs w:val="20"/>
        </w:rPr>
        <w:t>315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905183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905183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wn3rTFDDgxHLBSeUr52foBiyHC2zk1pvxRbrdJOwcSnVzemGSTTf8JjYEWL/wZ24A893mtLV1ggXXEepS1Zw==" w:salt="H6Bri5by4scYsiUgPJ0NJg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C68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5C69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01D25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368"/>
    <w:rsid w:val="005C44CC"/>
    <w:rsid w:val="005D1260"/>
    <w:rsid w:val="005D42F3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05183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5452C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95EB0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64DC-CA9D-45C1-9058-F917A8A3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3927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4</cp:revision>
  <cp:lastPrinted>2022-01-20T10:46:00Z</cp:lastPrinted>
  <dcterms:created xsi:type="dcterms:W3CDTF">2022-03-30T09:45:00Z</dcterms:created>
  <dcterms:modified xsi:type="dcterms:W3CDTF">2022-05-02T08:22:00Z</dcterms:modified>
</cp:coreProperties>
</file>