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77" w:rsidRPr="00021177" w:rsidRDefault="00021177" w:rsidP="00021177">
      <w:pPr>
        <w:spacing w:after="120" w:line="240" w:lineRule="auto"/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</w:pPr>
      <w:r w:rsidRPr="00021177">
        <w:rPr>
          <w:rFonts w:ascii="-apple-system-font" w:eastAsia="Times New Roman" w:hAnsi="-apple-system-font" w:cs="Times New Roman"/>
          <w:b/>
          <w:bCs/>
          <w:color w:val="000000"/>
          <w:sz w:val="57"/>
          <w:szCs w:val="57"/>
          <w:lang w:eastAsia="cs-CZ"/>
        </w:rPr>
        <w:t xml:space="preserve">COVID-19 </w:t>
      </w:r>
      <w:proofErr w:type="spellStart"/>
      <w:r w:rsidRPr="00021177">
        <w:rPr>
          <w:rFonts w:ascii="-apple-system-font" w:eastAsia="Times New Roman" w:hAnsi="-apple-system-font" w:cs="Times New Roman"/>
          <w:b/>
          <w:bCs/>
          <w:color w:val="000000"/>
          <w:sz w:val="57"/>
          <w:szCs w:val="57"/>
          <w:lang w:eastAsia="cs-CZ"/>
        </w:rPr>
        <w:t>and</w:t>
      </w:r>
      <w:proofErr w:type="spellEnd"/>
      <w:r w:rsidRPr="00021177">
        <w:rPr>
          <w:rFonts w:ascii="-apple-system-font" w:eastAsia="Times New Roman" w:hAnsi="-apple-system-font" w:cs="Times New Roman"/>
          <w:b/>
          <w:bCs/>
          <w:color w:val="000000"/>
          <w:sz w:val="57"/>
          <w:szCs w:val="57"/>
          <w:lang w:eastAsia="cs-CZ"/>
        </w:rPr>
        <w:t xml:space="preserve"> Risk </w:t>
      </w:r>
      <w:proofErr w:type="spellStart"/>
      <w:r w:rsidRPr="00021177">
        <w:rPr>
          <w:rFonts w:ascii="-apple-system-font" w:eastAsia="Times New Roman" w:hAnsi="-apple-system-font" w:cs="Times New Roman"/>
          <w:b/>
          <w:bCs/>
          <w:color w:val="000000"/>
          <w:sz w:val="57"/>
          <w:szCs w:val="57"/>
          <w:lang w:eastAsia="cs-CZ"/>
        </w:rPr>
        <w:t>of</w:t>
      </w:r>
      <w:proofErr w:type="spellEnd"/>
      <w:r w:rsidRPr="00021177">
        <w:rPr>
          <w:rFonts w:ascii="-apple-system-font" w:eastAsia="Times New Roman" w:hAnsi="-apple-system-font" w:cs="Times New Roman"/>
          <w:b/>
          <w:bCs/>
          <w:color w:val="000000"/>
          <w:sz w:val="57"/>
          <w:szCs w:val="57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b/>
          <w:bCs/>
          <w:color w:val="000000"/>
          <w:sz w:val="57"/>
          <w:szCs w:val="57"/>
          <w:lang w:eastAsia="cs-CZ"/>
        </w:rPr>
        <w:t>Clotting</w:t>
      </w:r>
      <w:proofErr w:type="spellEnd"/>
      <w:r w:rsidRPr="00021177">
        <w:rPr>
          <w:rFonts w:ascii="-apple-system-font" w:eastAsia="Times New Roman" w:hAnsi="-apple-system-font" w:cs="Times New Roman"/>
          <w:b/>
          <w:bCs/>
          <w:color w:val="000000"/>
          <w:sz w:val="57"/>
          <w:szCs w:val="57"/>
          <w:lang w:eastAsia="cs-CZ"/>
        </w:rPr>
        <w:t>: '</w:t>
      </w:r>
      <w:proofErr w:type="spellStart"/>
      <w:r w:rsidRPr="00021177">
        <w:rPr>
          <w:rFonts w:ascii="-apple-system-font" w:eastAsia="Times New Roman" w:hAnsi="-apple-system-font" w:cs="Times New Roman"/>
          <w:b/>
          <w:bCs/>
          <w:color w:val="000000"/>
          <w:sz w:val="57"/>
          <w:szCs w:val="57"/>
          <w:lang w:eastAsia="cs-CZ"/>
        </w:rPr>
        <w:t>Be</w:t>
      </w:r>
      <w:proofErr w:type="spellEnd"/>
      <w:r w:rsidRPr="00021177">
        <w:rPr>
          <w:rFonts w:ascii="-apple-system-font" w:eastAsia="Times New Roman" w:hAnsi="-apple-system-font" w:cs="Times New Roman"/>
          <w:b/>
          <w:bCs/>
          <w:color w:val="000000"/>
          <w:sz w:val="57"/>
          <w:szCs w:val="57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b/>
          <w:bCs/>
          <w:color w:val="000000"/>
          <w:sz w:val="57"/>
          <w:szCs w:val="57"/>
          <w:lang w:eastAsia="cs-CZ"/>
        </w:rPr>
        <w:t>Proactive</w:t>
      </w:r>
      <w:proofErr w:type="spellEnd"/>
      <w:r w:rsidRPr="00021177">
        <w:rPr>
          <w:rFonts w:ascii="-apple-system-font" w:eastAsia="Times New Roman" w:hAnsi="-apple-system-font" w:cs="Times New Roman"/>
          <w:b/>
          <w:bCs/>
          <w:color w:val="000000"/>
          <w:sz w:val="57"/>
          <w:szCs w:val="57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b/>
          <w:bCs/>
          <w:color w:val="000000"/>
          <w:sz w:val="57"/>
          <w:szCs w:val="57"/>
          <w:lang w:eastAsia="cs-CZ"/>
        </w:rPr>
        <w:t>About</w:t>
      </w:r>
      <w:proofErr w:type="spellEnd"/>
      <w:r w:rsidRPr="00021177">
        <w:rPr>
          <w:rFonts w:ascii="-apple-system-font" w:eastAsia="Times New Roman" w:hAnsi="-apple-system-font" w:cs="Times New Roman"/>
          <w:b/>
          <w:bCs/>
          <w:color w:val="000000"/>
          <w:sz w:val="57"/>
          <w:szCs w:val="57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b/>
          <w:bCs/>
          <w:color w:val="000000"/>
          <w:sz w:val="57"/>
          <w:szCs w:val="57"/>
          <w:lang w:eastAsia="cs-CZ"/>
        </w:rPr>
        <w:t>Prevention</w:t>
      </w:r>
      <w:proofErr w:type="spellEnd"/>
      <w:r w:rsidRPr="00021177">
        <w:rPr>
          <w:rFonts w:ascii="-apple-system-font" w:eastAsia="Times New Roman" w:hAnsi="-apple-system-font" w:cs="Times New Roman"/>
          <w:b/>
          <w:bCs/>
          <w:color w:val="000000"/>
          <w:sz w:val="57"/>
          <w:szCs w:val="57"/>
          <w:lang w:eastAsia="cs-CZ"/>
        </w:rPr>
        <w:t>'</w:t>
      </w:r>
    </w:p>
    <w:p w:rsidR="00021177" w:rsidRPr="00021177" w:rsidRDefault="00021177" w:rsidP="00021177">
      <w:pPr>
        <w:spacing w:line="240" w:lineRule="auto"/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</w:pP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risk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of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arterial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venous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thrombosis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patients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with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COVID-19 has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been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a major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issue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throughout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pandemic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how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best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to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manage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risk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subject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of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a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new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review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article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.</w:t>
      </w:r>
    </w:p>
    <w:p w:rsidR="00021177" w:rsidRPr="00021177" w:rsidRDefault="00021177" w:rsidP="00021177">
      <w:pPr>
        <w:spacing w:line="240" w:lineRule="auto"/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</w:pP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article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by Gregory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Piazza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MD,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David A.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Morrow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MD,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Brigham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Women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's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Hospital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Boston, Massachusetts,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was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 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fldChar w:fldCharType="begin"/>
      </w:r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instrText xml:space="preserve"> HYPERLINK "https://srv-74.fnol.loc/owa/redir.aspx?C=2DszP2lKjft5YD8IG7lFw6vapJHvoBrALwpqpxaNFuFzChaUx5bYCA..&amp;URL=https%3a%2f%2fjamanetwork.com%2fjournals%2fjama%2ffullarticle%2f2773516" \t "_blank" </w:instrText>
      </w:r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fldChar w:fldCharType="separate"/>
      </w:r>
      <w:r w:rsidRPr="00021177">
        <w:rPr>
          <w:rFonts w:ascii="-apple-system-font" w:eastAsia="Times New Roman" w:hAnsi="-apple-system-font" w:cs="Times New Roman"/>
          <w:color w:val="416ED2"/>
          <w:sz w:val="29"/>
          <w:u w:val="single"/>
          <w:lang w:eastAsia="cs-CZ"/>
        </w:rPr>
        <w:t>published</w:t>
      </w:r>
      <w:proofErr w:type="spellEnd"/>
      <w:r w:rsidRPr="00021177">
        <w:rPr>
          <w:rFonts w:ascii="-apple-system-font" w:eastAsia="Times New Roman" w:hAnsi="-apple-system-font" w:cs="Times New Roman"/>
          <w:color w:val="416ED2"/>
          <w:sz w:val="29"/>
          <w:u w:val="single"/>
          <w:lang w:eastAsia="cs-CZ"/>
        </w:rPr>
        <w:t xml:space="preserve"> online</w:t>
      </w:r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fldChar w:fldCharType="end"/>
      </w:r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 in </w:t>
      </w:r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JAMA</w:t>
      </w:r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 on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November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23.</w:t>
      </w:r>
    </w:p>
    <w:p w:rsidR="00021177" w:rsidRPr="00021177" w:rsidRDefault="00021177" w:rsidP="00021177">
      <w:pPr>
        <w:spacing w:line="240" w:lineRule="auto"/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</w:pPr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"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Basically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're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saying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: '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Be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proactive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about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prevention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,'"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Piazza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told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 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Medscape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Medical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News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.</w:t>
      </w:r>
    </w:p>
    <w:p w:rsidR="00021177" w:rsidRPr="00021177" w:rsidRDefault="00021177" w:rsidP="00021177">
      <w:pPr>
        <w:spacing w:line="240" w:lineRule="auto"/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</w:pP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There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growing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recognition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among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those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on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front line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that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there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increased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risk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of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thrombosis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in COVID-19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patients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Piazza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said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.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risk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highest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patients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intensive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care unit (ICU),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but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risk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also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increased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patients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hospitalized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with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COVID-19,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even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those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not in ICU.</w:t>
      </w:r>
    </w:p>
    <w:p w:rsidR="00021177" w:rsidRPr="00021177" w:rsidRDefault="00021177" w:rsidP="00021177">
      <w:pPr>
        <w:spacing w:after="0" w:line="240" w:lineRule="auto"/>
        <w:rPr>
          <w:rFonts w:ascii="-apple-system-font" w:eastAsia="Times New Roman" w:hAnsi="-apple-system-font" w:cs="Times New Roman"/>
          <w:color w:val="000000"/>
          <w:lang w:eastAsia="cs-CZ"/>
        </w:rPr>
      </w:pPr>
      <w:r w:rsidRPr="00021177">
        <w:rPr>
          <w:rFonts w:ascii="-apple-system-font" w:eastAsia="Times New Roman" w:hAnsi="-apple-system-font" w:cs="Times New Roman"/>
          <w:color w:val="00000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21177" w:rsidRPr="00021177" w:rsidRDefault="00021177" w:rsidP="00021177">
      <w:pPr>
        <w:spacing w:line="240" w:lineRule="auto"/>
        <w:rPr>
          <w:rFonts w:ascii="-apple-system-font" w:eastAsia="Times New Roman" w:hAnsi="-apple-system-font" w:cs="Times New Roman"/>
          <w:color w:val="000000"/>
          <w:lang w:eastAsia="cs-CZ"/>
        </w:rPr>
      </w:pPr>
      <w:proofErr w:type="spellStart"/>
      <w:r w:rsidRPr="00021177">
        <w:rPr>
          <w:rFonts w:ascii="-apple-system-font" w:eastAsia="Times New Roman" w:hAnsi="-apple-system-font" w:cs="Times New Roman"/>
          <w:color w:val="000000"/>
          <w:lang w:eastAsia="cs-CZ"/>
        </w:rPr>
        <w:t>Dr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lang w:eastAsia="cs-CZ"/>
        </w:rPr>
        <w:t xml:space="preserve"> Gregory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lang w:eastAsia="cs-CZ"/>
        </w:rPr>
        <w:t>Piazza</w:t>
      </w:r>
      <w:proofErr w:type="spellEnd"/>
    </w:p>
    <w:p w:rsidR="00021177" w:rsidRPr="00021177" w:rsidRDefault="00021177" w:rsidP="00021177">
      <w:pPr>
        <w:spacing w:line="240" w:lineRule="auto"/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</w:pPr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"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don't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really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know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what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risk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nonhospitalized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COVID-19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patients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but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think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's much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lower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than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those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who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are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hospitalized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," he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said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. "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are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waiting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for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data on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optimal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way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of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managing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increased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risk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of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thrombosis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in COVID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patients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but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for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time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being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believe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a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systematic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way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of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addressing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risk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best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with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every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patient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hospitalized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with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COVID-19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receiving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some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type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of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thromboprophylaxis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.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would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mainly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be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with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anticoagulation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but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patients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whom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anticoagulation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contraindicated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mechanical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methods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could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be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used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such as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pneumatic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compression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boots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compression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stockings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."</w:t>
      </w:r>
    </w:p>
    <w:p w:rsidR="00021177" w:rsidRPr="00021177" w:rsidRDefault="00021177" w:rsidP="00021177">
      <w:pPr>
        <w:spacing w:line="240" w:lineRule="auto"/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</w:pP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authors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report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thrombotic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complication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rates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of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2.6% in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noncritically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ill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hospitalized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patients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with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COVID-19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35.3% in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critically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ill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patients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from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a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recent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US registry study.</w:t>
      </w:r>
    </w:p>
    <w:p w:rsidR="00021177" w:rsidRPr="00021177" w:rsidRDefault="00021177" w:rsidP="00021177">
      <w:pPr>
        <w:spacing w:line="240" w:lineRule="auto"/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</w:pP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Autopsy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findings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of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microthrombi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in multiple organ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systems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including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lungs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heart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kidneys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suggest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that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thrombosis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may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contribute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to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multisystem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organ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dysfunction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in </w:t>
      </w:r>
      <w:proofErr w:type="gram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severe</w:t>
      </w:r>
      <w:proofErr w:type="gram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COVID-19,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note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.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Although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pathophysiology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not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fully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defined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prothrombotic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abnormalities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have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been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identified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patients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with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COVID-19,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including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elevated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levels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of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 </w:t>
      </w:r>
      <w:hyperlink r:id="rId4" w:tgtFrame="_blank" w:history="1">
        <w:r w:rsidRPr="00021177">
          <w:rPr>
            <w:rFonts w:ascii="-apple-system-font" w:eastAsia="Times New Roman" w:hAnsi="-apple-system-font" w:cs="Times New Roman"/>
            <w:color w:val="416ED2"/>
            <w:sz w:val="29"/>
            <w:u w:val="single"/>
            <w:lang w:eastAsia="cs-CZ"/>
          </w:rPr>
          <w:t>D-dimer</w:t>
        </w:r>
      </w:hyperlink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, </w:t>
      </w:r>
      <w:hyperlink r:id="rId5" w:tgtFrame="_blank" w:history="1">
        <w:r w:rsidRPr="00021177">
          <w:rPr>
            <w:rFonts w:ascii="-apple-system-font" w:eastAsia="Times New Roman" w:hAnsi="-apple-system-font" w:cs="Times New Roman"/>
            <w:color w:val="416ED2"/>
            <w:sz w:val="29"/>
            <w:u w:val="single"/>
            <w:lang w:eastAsia="cs-CZ"/>
          </w:rPr>
          <w:t>fibrinogen</w:t>
        </w:r>
      </w:hyperlink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 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fldChar w:fldCharType="begin"/>
      </w:r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instrText xml:space="preserve"> HYPERLINK "https://srv-74.fnol.loc/owa/redir.aspx?C=x_wAQItr9zRM1WXHLq-hJjQdEqD-LiTp3pOdBX9KziVzChaUx5bYCA..&amp;URL=https%3a%2f%2femedicine.medscape.com%2farticle%2f2085293-overview" \t "_blank" </w:instrText>
      </w:r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fldChar w:fldCharType="separate"/>
      </w:r>
      <w:r w:rsidRPr="00021177">
        <w:rPr>
          <w:rFonts w:ascii="-apple-system-font" w:eastAsia="Times New Roman" w:hAnsi="-apple-system-font" w:cs="Times New Roman"/>
          <w:color w:val="416ED2"/>
          <w:sz w:val="29"/>
          <w:u w:val="single"/>
          <w:lang w:eastAsia="cs-CZ"/>
        </w:rPr>
        <w:t>factor</w:t>
      </w:r>
      <w:proofErr w:type="spellEnd"/>
      <w:r w:rsidRPr="00021177">
        <w:rPr>
          <w:rFonts w:ascii="-apple-system-font" w:eastAsia="Times New Roman" w:hAnsi="-apple-system-font" w:cs="Times New Roman"/>
          <w:color w:val="416ED2"/>
          <w:sz w:val="29"/>
          <w:u w:val="single"/>
          <w:lang w:eastAsia="cs-CZ"/>
        </w:rPr>
        <w:t xml:space="preserve"> VIII</w:t>
      </w:r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fldChar w:fldCharType="end"/>
      </w:r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add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.</w:t>
      </w:r>
    </w:p>
    <w:p w:rsidR="00021177" w:rsidRPr="00021177" w:rsidRDefault="00021177" w:rsidP="00021177">
      <w:pPr>
        <w:spacing w:line="240" w:lineRule="auto"/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</w:pPr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lastRenderedPageBreak/>
        <w:t>"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There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are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several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major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questions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about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which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COVID-19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patients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to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treat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with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thromboprophylaxis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how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to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treat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them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in term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of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levels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of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anticoagulation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there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are many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ongoing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clinical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trials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to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try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answer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these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questions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,"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Piazza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commented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. "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need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results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from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these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randomized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trials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to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provide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a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better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compass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for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COVID-19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patients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risk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of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clotting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."</w:t>
      </w:r>
    </w:p>
    <w:p w:rsidR="00021177" w:rsidRPr="00021177" w:rsidRDefault="00021177" w:rsidP="00021177">
      <w:pPr>
        <w:spacing w:line="240" w:lineRule="auto"/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</w:pP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present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clinicians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can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follow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two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different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sets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of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guidelines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on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issue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one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from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American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College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of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Chest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Physicians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(ACCP)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other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from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International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Society on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Thrombosis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Hemostasis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(ISTH),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authors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note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.</w:t>
      </w:r>
    </w:p>
    <w:p w:rsidR="00021177" w:rsidRPr="00021177" w:rsidRDefault="00021177" w:rsidP="00021177">
      <w:pPr>
        <w:spacing w:line="240" w:lineRule="auto"/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</w:pPr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"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ACCP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guidelines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are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very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conservative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basically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follow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evidence base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for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medical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patients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while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ISTH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guidelines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are more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aggressive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recommend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increased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levels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of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anticoagulation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both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ICU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hospitalized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non-ICU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patients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also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extend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prophylaxis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after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discharge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,"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Piazza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said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.</w:t>
      </w:r>
    </w:p>
    <w:p w:rsidR="00021177" w:rsidRPr="00021177" w:rsidRDefault="00021177" w:rsidP="00021177">
      <w:pPr>
        <w:spacing w:line="240" w:lineRule="auto"/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</w:pPr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"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There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quite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a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difference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between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two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sets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of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guidelines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which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can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be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a point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of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confusion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," he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added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96"/>
        <w:gridCol w:w="2628"/>
        <w:gridCol w:w="4388"/>
      </w:tblGrid>
      <w:tr w:rsidR="00021177" w:rsidRPr="00021177" w:rsidTr="00021177">
        <w:tc>
          <w:tcPr>
            <w:tcW w:w="0" w:type="auto"/>
            <w:gridSpan w:val="3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1177" w:rsidRPr="00021177" w:rsidRDefault="00021177" w:rsidP="00021177">
            <w:pPr>
              <w:spacing w:after="0" w:line="240" w:lineRule="auto"/>
              <w:divId w:val="27259607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02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Table</w:t>
            </w:r>
            <w:proofErr w:type="gramEnd"/>
            <w:r w:rsidRPr="0002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Current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Guideline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Recommendations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for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Venous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Thromboembolism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Prevention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Hospitalized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Patients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With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Coronavirus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Disease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2019</w:t>
            </w:r>
          </w:p>
        </w:tc>
      </w:tr>
      <w:tr w:rsidR="00021177" w:rsidRPr="00021177" w:rsidTr="0002117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1177" w:rsidRPr="00021177" w:rsidRDefault="00021177" w:rsidP="000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2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Patient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/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Setting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1177" w:rsidRPr="00021177" w:rsidRDefault="00021177" w:rsidP="000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ACCP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Guidelines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1177" w:rsidRPr="00021177" w:rsidRDefault="00021177" w:rsidP="000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ISTH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Guidelines</w:t>
            </w:r>
            <w:proofErr w:type="spellEnd"/>
          </w:p>
        </w:tc>
      </w:tr>
      <w:tr w:rsidR="00021177" w:rsidRPr="00021177" w:rsidTr="0002117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1177" w:rsidRPr="00021177" w:rsidRDefault="00021177" w:rsidP="000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Critically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ill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hospitalized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1177" w:rsidRPr="00021177" w:rsidRDefault="00021177" w:rsidP="000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Prophylactic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low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dose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LMWH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1177" w:rsidRPr="00021177" w:rsidRDefault="00021177" w:rsidP="000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Prophylactic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dose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LMWH; half-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therapeutic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dose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LMWH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considered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if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patient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high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risk</w:t>
            </w:r>
          </w:p>
        </w:tc>
      </w:tr>
      <w:tr w:rsidR="00021177" w:rsidRPr="00021177" w:rsidTr="0002117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1177" w:rsidRPr="00021177" w:rsidRDefault="00021177" w:rsidP="000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Non-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critically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ill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hospitalized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1177" w:rsidRPr="00021177" w:rsidRDefault="00021177" w:rsidP="000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Prophylactic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dose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LMWH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fondaparinux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1177" w:rsidRPr="00021177" w:rsidRDefault="00021177" w:rsidP="000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Prophylactic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dose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LMWH</w:t>
            </w:r>
          </w:p>
        </w:tc>
      </w:tr>
      <w:tr w:rsidR="00021177" w:rsidRPr="00021177" w:rsidTr="0002117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1177" w:rsidRPr="00021177" w:rsidRDefault="00021177" w:rsidP="000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After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discharge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1177" w:rsidRPr="00021177" w:rsidRDefault="00021177" w:rsidP="000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Extended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prophylaxis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not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recommended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1177" w:rsidRPr="00021177" w:rsidRDefault="00021177" w:rsidP="000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LMWH/DOAC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up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to 30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days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considered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if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high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thrombosis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risk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and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low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bleeding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risk</w:t>
            </w:r>
          </w:p>
        </w:tc>
      </w:tr>
      <w:tr w:rsidR="00021177" w:rsidRPr="00021177" w:rsidTr="00021177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1177" w:rsidRPr="00021177" w:rsidRDefault="00021177" w:rsidP="000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Nonhospitalized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1177" w:rsidRPr="00021177" w:rsidRDefault="00021177" w:rsidP="000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Routine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prophylaxis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not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recommended</w:t>
            </w:r>
            <w:proofErr w:type="spellEnd"/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1177" w:rsidRPr="00021177" w:rsidRDefault="00021177" w:rsidP="000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Routine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prophylaxis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not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recommended</w:t>
            </w:r>
            <w:proofErr w:type="spellEnd"/>
          </w:p>
        </w:tc>
      </w:tr>
      <w:tr w:rsidR="00021177" w:rsidRPr="00021177" w:rsidTr="00021177">
        <w:tc>
          <w:tcPr>
            <w:tcW w:w="0" w:type="auto"/>
            <w:gridSpan w:val="3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21177" w:rsidRPr="00021177" w:rsidRDefault="00021177" w:rsidP="00021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Abbreviations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DOAC,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direct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oral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anticoagulant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; LMWH,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low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molecular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weight</w:t>
            </w:r>
            <w:proofErr w:type="spellEnd"/>
            <w:r w:rsidRPr="0002117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heparin</w:t>
            </w:r>
          </w:p>
        </w:tc>
      </w:tr>
    </w:tbl>
    <w:p w:rsidR="00021177" w:rsidRPr="00021177" w:rsidRDefault="00021177" w:rsidP="00021177">
      <w:pPr>
        <w:spacing w:line="240" w:lineRule="auto"/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</w:pP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Piazza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notes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that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his center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every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hospitalized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COVID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patient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who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does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not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have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a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contraindication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to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anticoagulation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receives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a standard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prophylactic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dose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of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a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once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-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daily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low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molecular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weight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 </w:t>
      </w:r>
      <w:hyperlink r:id="rId6" w:tgtFrame="_blank" w:history="1">
        <w:r w:rsidRPr="00021177">
          <w:rPr>
            <w:rFonts w:ascii="-apple-system-font" w:eastAsia="Times New Roman" w:hAnsi="-apple-system-font" w:cs="Times New Roman"/>
            <w:color w:val="416ED2"/>
            <w:sz w:val="29"/>
            <w:u w:val="single"/>
            <w:lang w:eastAsia="cs-CZ"/>
          </w:rPr>
          <w:t>heparin</w:t>
        </w:r>
      </w:hyperlink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 (eg, 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fldChar w:fldCharType="begin"/>
      </w:r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instrText xml:space="preserve"> HYPERLINK "https://srv-74.fnol.loc/owa/redir.aspx?C=e5HnnOcddqphZR5Omh07KuRF_PeeOByO-b7O3tHfdBJzChaUx5bYCA..&amp;URL=https%3a%2f%2freference.medscape.com%2fdrug%2flovenox-enoxaparin-342174" \t "_blank" </w:instrText>
      </w:r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fldChar w:fldCharType="separate"/>
      </w:r>
      <w:r w:rsidRPr="00021177">
        <w:rPr>
          <w:rFonts w:ascii="-apple-system-font" w:eastAsia="Times New Roman" w:hAnsi="-apple-system-font" w:cs="Times New Roman"/>
          <w:color w:val="416ED2"/>
          <w:sz w:val="29"/>
          <w:u w:val="single"/>
          <w:lang w:eastAsia="cs-CZ"/>
        </w:rPr>
        <w:t>enoxaparin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fldChar w:fldCharType="end"/>
      </w:r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 40 mg). A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once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-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daily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product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proofErr w:type="gram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used</w:t>
      </w:r>
      <w:proofErr w:type="spellEnd"/>
      <w:proofErr w:type="gram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to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minimize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infection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risk to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staff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.</w:t>
      </w:r>
    </w:p>
    <w:p w:rsidR="00021177" w:rsidRPr="00021177" w:rsidRDefault="00021177" w:rsidP="00021177">
      <w:pPr>
        <w:spacing w:line="240" w:lineRule="auto"/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</w:pP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While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all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COVID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patients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ICU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should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automatically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receive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some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anticoagulation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optimal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dose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area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of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active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investigation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he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lastRenderedPageBreak/>
        <w:t>explained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. "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There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were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several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early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reports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of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ICU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patients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developing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blood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clots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despite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receiving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standard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thromboprophylaxis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so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perhaps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need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to use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higher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doses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.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There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are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trials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underway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looking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would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advise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enrolling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patients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into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these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trials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."</w:t>
      </w:r>
    </w:p>
    <w:p w:rsidR="00021177" w:rsidRPr="00021177" w:rsidRDefault="00021177" w:rsidP="00021177">
      <w:pPr>
        <w:spacing w:line="240" w:lineRule="auto"/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</w:pP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If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patients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can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't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be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enrolled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into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trials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clinicians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feel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higher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anticoagulation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levels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are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needed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Piazza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advises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following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ISTH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guidance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which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allows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intermediate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dose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of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low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molecular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weight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heparin (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up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to 1 mg/kg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enoxaparin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).</w:t>
      </w:r>
    </w:p>
    <w:p w:rsidR="00021177" w:rsidRPr="00021177" w:rsidRDefault="00021177" w:rsidP="00021177">
      <w:pPr>
        <w:spacing w:line="240" w:lineRule="auto"/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</w:pPr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"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Some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experts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are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suggesting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even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higher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doses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may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be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needed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some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ICU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patients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such as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full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therapeutic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dose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but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I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worry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about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risk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of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bleeding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with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such a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strategy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," he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said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.</w:t>
      </w:r>
    </w:p>
    <w:p w:rsidR="00021177" w:rsidRPr="00021177" w:rsidRDefault="00021177" w:rsidP="00021177">
      <w:pPr>
        <w:spacing w:line="240" w:lineRule="auto"/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</w:pP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Piazza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says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do not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routinely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give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anticoagulation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after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discharge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but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if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desired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patients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could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be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switched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to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oral agent,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some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of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direct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-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acting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oral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anticoagulants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are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approved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for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prophylactic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use in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medically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ill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patients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.</w:t>
      </w:r>
    </w:p>
    <w:p w:rsidR="00021177" w:rsidRPr="00021177" w:rsidRDefault="00021177" w:rsidP="00021177">
      <w:pPr>
        <w:spacing w:line="240" w:lineRule="auto"/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</w:pP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Piazza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points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out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that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whether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thromboprophylaxis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should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be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used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for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nonhospitalized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COVID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patients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who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have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risk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factors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for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clotting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such as a prior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history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of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thrombosis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 </w:t>
      </w:r>
      <w:hyperlink r:id="rId7" w:tgtFrame="_blank" w:history="1">
        <w:r w:rsidRPr="00021177">
          <w:rPr>
            <w:rFonts w:ascii="-apple-system-font" w:eastAsia="Times New Roman" w:hAnsi="-apple-system-font" w:cs="Times New Roman"/>
            <w:color w:val="416ED2"/>
            <w:sz w:val="29"/>
            <w:u w:val="single"/>
            <w:lang w:eastAsia="cs-CZ"/>
          </w:rPr>
          <w:t>obesity</w:t>
        </w:r>
      </w:hyperlink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 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a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pressing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question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he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encourages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clinicians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to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enroll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these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patients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clinical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trials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evaluating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issue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such as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PREVENT-HD trial.</w:t>
      </w:r>
    </w:p>
    <w:p w:rsidR="00021177" w:rsidRPr="00021177" w:rsidRDefault="00021177" w:rsidP="00021177">
      <w:pPr>
        <w:spacing w:line="240" w:lineRule="auto"/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</w:pPr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"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If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can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't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enroll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patents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in a trial,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have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to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make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a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decision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whether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patient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high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enough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risk to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justify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off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-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label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use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of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anticoagulant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.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There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a case to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be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made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for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but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there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no evidence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for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against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such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action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present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," he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noted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.</w:t>
      </w:r>
    </w:p>
    <w:p w:rsidR="00021177" w:rsidRPr="00021177" w:rsidRDefault="00021177" w:rsidP="00021177">
      <w:pPr>
        <w:spacing w:line="240" w:lineRule="auto"/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</w:pP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time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neither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ISTH nor ACCP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recommend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measuring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D-dimer to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screen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for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venous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 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fldChar w:fldCharType="begin"/>
      </w:r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instrText xml:space="preserve"> HYPERLINK "https://srv-74.fnol.loc/owa/redir.aspx?C=X14K3brba4VmvMc5oa_jIB1fu0m50yqdCSR2xfqUv1tzChaUx5bYCA..&amp;URL=https%3a%2f%2femedicine.medscape.com%2farticle%2f1267714-overview" \t "_blank" </w:instrText>
      </w:r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fldChar w:fldCharType="separate"/>
      </w:r>
      <w:r w:rsidRPr="00021177">
        <w:rPr>
          <w:rFonts w:ascii="-apple-system-font" w:eastAsia="Times New Roman" w:hAnsi="-apple-system-font" w:cs="Times New Roman"/>
          <w:color w:val="416ED2"/>
          <w:sz w:val="29"/>
          <w:u w:val="single"/>
          <w:lang w:eastAsia="cs-CZ"/>
        </w:rPr>
        <w:t>thromboembolism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fldChar w:fldCharType="end"/>
      </w:r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 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for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determining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intensity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of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prophylaxis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treatment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authors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note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.</w:t>
      </w:r>
    </w:p>
    <w:p w:rsidR="00021177" w:rsidRPr="00021177" w:rsidRDefault="00021177" w:rsidP="00021177">
      <w:pPr>
        <w:spacing w:line="240" w:lineRule="auto"/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</w:pPr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"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Ongoing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investigation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will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determine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optimal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preventive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regimens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in COVID-19 in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intensive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care unit,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hospital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discharge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and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in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nonhospitalized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patients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at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high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-risk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for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thrombosis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,"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they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conclude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.</w:t>
      </w:r>
    </w:p>
    <w:p w:rsidR="00021177" w:rsidRPr="00021177" w:rsidRDefault="00021177" w:rsidP="00021177">
      <w:pPr>
        <w:spacing w:line="240" w:lineRule="auto"/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</w:pP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Piazza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reported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grants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from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Bristol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Myers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Squibb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Janssen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, Boston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Scientific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Corporation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Portola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and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Bayer;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and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personal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fees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from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Prairie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Education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and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Research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Cooperative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Amgen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Pfizer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and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Agile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outside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submitted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work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.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Morrow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reported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grants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from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Abbott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Laboratories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Amgen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Anthos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Therapeutics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Esai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GlaxoSmithKline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Takeda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and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Medicines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Company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;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grants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and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personal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fees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from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AstraZeneca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Merck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Novartis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and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lastRenderedPageBreak/>
        <w:t>Roche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Diagnostics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;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and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personal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fees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from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Bayer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Pharma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and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InCarda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outside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the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submitted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work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.</w:t>
      </w:r>
    </w:p>
    <w:p w:rsidR="00021177" w:rsidRPr="00021177" w:rsidRDefault="00021177" w:rsidP="00021177">
      <w:pPr>
        <w:spacing w:line="240" w:lineRule="auto"/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</w:pPr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JAMA.</w:t>
      </w:r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 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Published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online 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>November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t xml:space="preserve"> 23, 2020. 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fldChar w:fldCharType="begin"/>
      </w:r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instrText xml:space="preserve"> HYPERLINK "https://srv-74.fnol.loc/owa/redir.aspx?C=2DszP2lKjft5YD8IG7lFw6vapJHvoBrALwpqpxaNFuFzChaUx5bYCA..&amp;URL=https%3a%2f%2fjamanetwork.com%2fjournals%2fjama%2ffullarticle%2f2773516" \t "_blank" </w:instrText>
      </w:r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fldChar w:fldCharType="separate"/>
      </w:r>
      <w:r w:rsidRPr="00021177">
        <w:rPr>
          <w:rFonts w:ascii="-apple-system-font" w:eastAsia="Times New Roman" w:hAnsi="-apple-system-font" w:cs="Times New Roman"/>
          <w:color w:val="416ED2"/>
          <w:sz w:val="29"/>
          <w:u w:val="single"/>
          <w:lang w:eastAsia="cs-CZ"/>
        </w:rPr>
        <w:t>Full</w:t>
      </w:r>
      <w:proofErr w:type="spellEnd"/>
      <w:r w:rsidRPr="00021177">
        <w:rPr>
          <w:rFonts w:ascii="-apple-system-font" w:eastAsia="Times New Roman" w:hAnsi="-apple-system-font" w:cs="Times New Roman"/>
          <w:color w:val="416ED2"/>
          <w:sz w:val="29"/>
          <w:u w:val="single"/>
          <w:lang w:eastAsia="cs-CZ"/>
        </w:rPr>
        <w:t xml:space="preserve"> text</w:t>
      </w:r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fldChar w:fldCharType="end"/>
      </w:r>
    </w:p>
    <w:p w:rsidR="00021177" w:rsidRPr="00021177" w:rsidRDefault="00021177" w:rsidP="00021177">
      <w:pPr>
        <w:spacing w:line="240" w:lineRule="auto"/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</w:pP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For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more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Medscape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Neurology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news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,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join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us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 xml:space="preserve"> on 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fldChar w:fldCharType="begin"/>
      </w:r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instrText xml:space="preserve"> HYPERLINK "https://srv-74.fnol.loc/owa/redir.aspx?C=rbfVYWbQj2XIqGHsngQBCjkXwcYTRaax8liKpuaRYnhzChaUx5bYCA..&amp;URL=https%3a%2f%2fwww.facebook.com%2fmedscapeneurology%2f" \t "_blank" </w:instrText>
      </w:r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fldChar w:fldCharType="separate"/>
      </w:r>
      <w:r w:rsidRPr="00021177">
        <w:rPr>
          <w:rFonts w:ascii="-apple-system-font" w:eastAsia="Times New Roman" w:hAnsi="-apple-system-font" w:cs="Times New Roman"/>
          <w:i/>
          <w:iCs/>
          <w:color w:val="416ED2"/>
          <w:sz w:val="29"/>
          <w:u w:val="single"/>
          <w:lang w:eastAsia="cs-CZ"/>
        </w:rPr>
        <w:t>Facebook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fldChar w:fldCharType="end"/>
      </w:r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 </w:t>
      </w:r>
      <w:proofErr w:type="spellStart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and</w:t>
      </w:r>
      <w:proofErr w:type="spellEnd"/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 </w:t>
      </w:r>
      <w:proofErr w:type="spellStart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fldChar w:fldCharType="begin"/>
      </w:r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instrText xml:space="preserve"> HYPERLINK "https://srv-74.fnol.loc/owa/redir.aspx?C=qhhZAel9X4HyK2TlaAUBoF8OvTpbZHfkuaPk70MKYnNzChaUx5bYCA..&amp;URL=https%3a%2f%2ftwitter.com%2fMedscapeNeuro" \t "_blank" </w:instrText>
      </w:r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fldChar w:fldCharType="separate"/>
      </w:r>
      <w:r w:rsidRPr="00021177">
        <w:rPr>
          <w:rFonts w:ascii="-apple-system-font" w:eastAsia="Times New Roman" w:hAnsi="-apple-system-font" w:cs="Times New Roman"/>
          <w:i/>
          <w:iCs/>
          <w:color w:val="416ED2"/>
          <w:sz w:val="29"/>
          <w:u w:val="single"/>
          <w:lang w:eastAsia="cs-CZ"/>
        </w:rPr>
        <w:t>Twitter</w:t>
      </w:r>
      <w:proofErr w:type="spellEnd"/>
      <w:r w:rsidRPr="00021177">
        <w:rPr>
          <w:rFonts w:ascii="-apple-system-font" w:eastAsia="Times New Roman" w:hAnsi="-apple-system-font" w:cs="Times New Roman"/>
          <w:color w:val="000000"/>
          <w:sz w:val="29"/>
          <w:szCs w:val="29"/>
          <w:lang w:eastAsia="cs-CZ"/>
        </w:rPr>
        <w:fldChar w:fldCharType="end"/>
      </w:r>
      <w:r w:rsidRPr="00021177">
        <w:rPr>
          <w:rFonts w:ascii="-apple-system-font" w:eastAsia="Times New Roman" w:hAnsi="-apple-system-font" w:cs="Times New Roman"/>
          <w:i/>
          <w:iCs/>
          <w:color w:val="000000"/>
          <w:sz w:val="29"/>
          <w:szCs w:val="29"/>
          <w:lang w:eastAsia="cs-CZ"/>
        </w:rPr>
        <w:t>.</w:t>
      </w:r>
    </w:p>
    <w:p w:rsidR="00076DD2" w:rsidRDefault="00076DD2"/>
    <w:sectPr w:rsidR="00076DD2" w:rsidSect="0007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-apple-system-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1177"/>
    <w:rsid w:val="00021177"/>
    <w:rsid w:val="0007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D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211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4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773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500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58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733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7493">
              <w:marLeft w:val="0"/>
              <w:marRight w:val="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433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4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053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195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033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303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9007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587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1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0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7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3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70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76041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9299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488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689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3768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858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8250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535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5112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258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876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992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rv-74.fnol.loc/owa/redir.aspx?C=Mg2orx0NBHC0-QIKdbUugeqvIpmxgkDUErmNy9qaybBzChaUx5bYCA..&amp;URL=https%3a%2f%2femedicine.medscape.com%2farticle%2f123702-overvi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rv-74.fnol.loc/owa/redir.aspx?C=CVe97PgXQDaClA_ai6EkpyUZO79QT0U1edx04VfbiXRzChaUx5bYCA..&amp;URL=https%3a%2f%2freference.medscape.com%2fdrug%2fcalciparine-monoparin-heparin-342169" TargetMode="External"/><Relationship Id="rId5" Type="http://schemas.openxmlformats.org/officeDocument/2006/relationships/hyperlink" Target="https://srv-74.fnol.loc/owa/redir.aspx?C=QL8utfIYXCBT7L1ozcGa5YQezXHI0ahKggStRrMZBIVzChaUx5bYCA..&amp;URL=https%3a%2f%2femedicine.medscape.com%2farticle%2f2085501-overview" TargetMode="External"/><Relationship Id="rId4" Type="http://schemas.openxmlformats.org/officeDocument/2006/relationships/hyperlink" Target="https://srv-74.fnol.loc/owa/redir.aspx?C=QHt42dgcb9WJgHSICtk6O25nSgJeIexv10yao2q1BSZzChaUx5bYCA..&amp;URL=https%3a%2f%2femedicine.medscape.com%2farticle%2f2085111-overvie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1342</Words>
  <Characters>7919</Characters>
  <Application>Microsoft Office Word</Application>
  <DocSecurity>0</DocSecurity>
  <Lines>65</Lines>
  <Paragraphs>18</Paragraphs>
  <ScaleCrop>false</ScaleCrop>
  <Company>FNOL</Company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2020-12-02T13:43:00Z</dcterms:created>
  <dcterms:modified xsi:type="dcterms:W3CDTF">2020-12-02T13:43:00Z</dcterms:modified>
</cp:coreProperties>
</file>