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698E" w:rsidRDefault="00FF557E" w:rsidP="00BA1290">
      <w:pPr>
        <w:pStyle w:val="Nzev"/>
      </w:pPr>
      <w:proofErr w:type="spellStart"/>
      <w:r>
        <w:t>Lactate</w:t>
      </w:r>
      <w:proofErr w:type="spellEnd"/>
      <w:r>
        <w:t xml:space="preserve"> Scout step test</w:t>
      </w:r>
    </w:p>
    <w:p w:rsidR="00FF557E" w:rsidRDefault="00FF557E" w:rsidP="00BA1290">
      <w:pPr>
        <w:pStyle w:val="Odstavecseseznamem"/>
        <w:numPr>
          <w:ilvl w:val="0"/>
          <w:numId w:val="2"/>
        </w:numPr>
        <w:contextualSpacing w:val="0"/>
      </w:pPr>
      <w:r>
        <w:t>Zapněte přístroj podržením kolečka vpravo</w:t>
      </w:r>
    </w:p>
    <w:p w:rsidR="00FF557E" w:rsidRDefault="00FF557E" w:rsidP="00BA1290">
      <w:pPr>
        <w:pStyle w:val="Odstavecseseznamem"/>
        <w:numPr>
          <w:ilvl w:val="0"/>
          <w:numId w:val="2"/>
        </w:numPr>
        <w:contextualSpacing w:val="0"/>
      </w:pPr>
      <w:r>
        <w:t>Po zapnutí zkontrolujte, zdali číslo sedí s číslem na krabičce testovacích tyčinek. Pokud ne, změňte podobně, jako se mění čas na hodinkách – ke změně hodnot otáčejte kolečkem.</w:t>
      </w:r>
    </w:p>
    <w:p w:rsidR="00FF557E" w:rsidRDefault="00FF557E" w:rsidP="00BA1290">
      <w:pPr>
        <w:pStyle w:val="Odstavecseseznamem"/>
        <w:numPr>
          <w:ilvl w:val="0"/>
          <w:numId w:val="2"/>
        </w:numPr>
        <w:contextualSpacing w:val="0"/>
      </w:pPr>
      <w:r>
        <w:t>Řádně si omyjte a osušte ruce. Poté zasuňte testovací tyčinku do čela přístroje tak, aby černá sorpční plocha směřovala stejným směrem jako display</w:t>
      </w:r>
      <w:r w:rsidR="002B6EF6">
        <w:t xml:space="preserve"> </w:t>
      </w:r>
      <w:r w:rsidR="002B6EF6" w:rsidRPr="00BA1290">
        <w:rPr>
          <w:b/>
          <w:bCs/>
          <w:color w:val="00B0F0"/>
        </w:rPr>
        <w:t>(Obr. 1)</w:t>
      </w:r>
      <w:r>
        <w:t>. Správné zasunutí přístroj indikuje zobrazením kapky na displeji.</w:t>
      </w:r>
    </w:p>
    <w:p w:rsidR="00FF557E" w:rsidRDefault="00FF557E" w:rsidP="00BA1290">
      <w:pPr>
        <w:pStyle w:val="Odstavecseseznamem"/>
        <w:numPr>
          <w:ilvl w:val="0"/>
          <w:numId w:val="2"/>
        </w:numPr>
        <w:ind w:left="357" w:hanging="357"/>
        <w:contextualSpacing w:val="0"/>
      </w:pPr>
      <w:r>
        <w:t>Kolečkem vyberte, o kterou fázi testu se jedná:</w:t>
      </w:r>
    </w:p>
    <w:p w:rsidR="00FF557E" w:rsidRDefault="00FF557E" w:rsidP="00FF557E">
      <w:pPr>
        <w:pStyle w:val="Odstavecseseznamem"/>
        <w:numPr>
          <w:ilvl w:val="0"/>
          <w:numId w:val="1"/>
        </w:numPr>
      </w:pPr>
      <w:r w:rsidRPr="00D7338B">
        <w:rPr>
          <w:b/>
          <w:bCs/>
        </w:rPr>
        <w:t>PL</w:t>
      </w:r>
      <w:r>
        <w:t xml:space="preserve"> = </w:t>
      </w:r>
      <w:proofErr w:type="spellStart"/>
      <w:r w:rsidRPr="00D7338B">
        <w:rPr>
          <w:b/>
          <w:bCs/>
        </w:rPr>
        <w:t>P</w:t>
      </w:r>
      <w:r>
        <w:t>re</w:t>
      </w:r>
      <w:r w:rsidRPr="00D7338B">
        <w:rPr>
          <w:b/>
          <w:bCs/>
        </w:rPr>
        <w:t>L</w:t>
      </w:r>
      <w:r>
        <w:t>oad</w:t>
      </w:r>
      <w:proofErr w:type="spellEnd"/>
      <w:r>
        <w:t xml:space="preserve"> = před zátěží</w:t>
      </w:r>
      <w:r w:rsidR="002B6EF6">
        <w:t xml:space="preserve"> </w:t>
      </w:r>
      <w:r w:rsidR="002B6EF6" w:rsidRPr="00BA1290">
        <w:rPr>
          <w:b/>
          <w:bCs/>
          <w:color w:val="00B0F0"/>
        </w:rPr>
        <w:t>(Obr. 2)</w:t>
      </w:r>
    </w:p>
    <w:p w:rsidR="00FF557E" w:rsidRDefault="00FF557E" w:rsidP="00FF557E">
      <w:pPr>
        <w:pStyle w:val="Odstavecseseznamem"/>
        <w:numPr>
          <w:ilvl w:val="0"/>
          <w:numId w:val="1"/>
        </w:numPr>
      </w:pPr>
      <w:r w:rsidRPr="00D7338B">
        <w:rPr>
          <w:b/>
          <w:bCs/>
        </w:rPr>
        <w:t>LOAD</w:t>
      </w:r>
      <w:r>
        <w:t xml:space="preserve"> = během zátěže</w:t>
      </w:r>
      <w:r w:rsidR="002B6EF6">
        <w:t xml:space="preserve"> </w:t>
      </w:r>
      <w:r w:rsidR="002B6EF6" w:rsidRPr="00BA1290">
        <w:rPr>
          <w:b/>
          <w:bCs/>
          <w:color w:val="00B0F0"/>
        </w:rPr>
        <w:t>(Obr. 3)</w:t>
      </w:r>
    </w:p>
    <w:p w:rsidR="00FF557E" w:rsidRDefault="00FF557E" w:rsidP="00FF557E">
      <w:pPr>
        <w:pStyle w:val="Odstavecseseznamem"/>
        <w:numPr>
          <w:ilvl w:val="0"/>
          <w:numId w:val="1"/>
        </w:numPr>
      </w:pPr>
      <w:r w:rsidRPr="00D7338B">
        <w:rPr>
          <w:b/>
          <w:bCs/>
        </w:rPr>
        <w:t>AFL</w:t>
      </w:r>
      <w:r>
        <w:t xml:space="preserve"> = </w:t>
      </w:r>
      <w:proofErr w:type="spellStart"/>
      <w:r w:rsidRPr="00D7338B">
        <w:rPr>
          <w:b/>
          <w:bCs/>
        </w:rPr>
        <w:t>AF</w:t>
      </w:r>
      <w:r>
        <w:t>ter</w:t>
      </w:r>
      <w:r w:rsidRPr="00D7338B">
        <w:rPr>
          <w:b/>
          <w:bCs/>
        </w:rPr>
        <w:t>L</w:t>
      </w:r>
      <w:r>
        <w:t>oad</w:t>
      </w:r>
      <w:proofErr w:type="spellEnd"/>
      <w:r>
        <w:t xml:space="preserve"> = po zátěži</w:t>
      </w:r>
      <w:r w:rsidR="002B6EF6">
        <w:t xml:space="preserve"> </w:t>
      </w:r>
      <w:r w:rsidR="002B6EF6" w:rsidRPr="00BA1290">
        <w:rPr>
          <w:b/>
          <w:bCs/>
          <w:color w:val="00B0F0"/>
        </w:rPr>
        <w:t>(Obr. 4)</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C72CF" w:rsidTr="00D7338B">
        <w:tc>
          <w:tcPr>
            <w:tcW w:w="2265" w:type="dxa"/>
            <w:vAlign w:val="bottom"/>
          </w:tcPr>
          <w:p w:rsidR="005C72CF" w:rsidRDefault="002B6EF6" w:rsidP="002B6EF6">
            <w:pPr>
              <w:jc w:val="center"/>
            </w:pPr>
            <w:r>
              <w:object w:dxaOrig="5655" w:dyaOrig="5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99pt;height:89.25pt" o:ole="">
                  <v:imagedata r:id="rId5" o:title=""/>
                </v:shape>
                <o:OLEObject Type="Embed" ProgID="PBrush" ShapeID="_x0000_i1088" DrawAspect="Content" ObjectID="_1626844122" r:id="rId6"/>
              </w:object>
            </w:r>
          </w:p>
        </w:tc>
        <w:tc>
          <w:tcPr>
            <w:tcW w:w="2265" w:type="dxa"/>
            <w:vAlign w:val="bottom"/>
          </w:tcPr>
          <w:p w:rsidR="005C72CF" w:rsidRDefault="002B6EF6" w:rsidP="002B6EF6">
            <w:pPr>
              <w:jc w:val="center"/>
            </w:pPr>
            <w:r>
              <w:object w:dxaOrig="3330" w:dyaOrig="4230">
                <v:shape id="_x0000_i1159" type="#_x0000_t75" style="width:91.5pt;height:116.25pt" o:ole="">
                  <v:imagedata r:id="rId7" o:title=""/>
                </v:shape>
                <o:OLEObject Type="Embed" ProgID="PBrush" ShapeID="_x0000_i1159" DrawAspect="Content" ObjectID="_1626844123" r:id="rId8"/>
              </w:object>
            </w:r>
          </w:p>
        </w:tc>
        <w:tc>
          <w:tcPr>
            <w:tcW w:w="2266" w:type="dxa"/>
            <w:vAlign w:val="bottom"/>
          </w:tcPr>
          <w:p w:rsidR="005C72CF" w:rsidRDefault="002B6EF6" w:rsidP="002B6EF6">
            <w:pPr>
              <w:jc w:val="center"/>
            </w:pPr>
            <w:r>
              <w:object w:dxaOrig="3615" w:dyaOrig="4305">
                <v:shape id="_x0000_i1107" type="#_x0000_t75" style="width:99pt;height:118.5pt" o:ole="">
                  <v:imagedata r:id="rId9" o:title=""/>
                </v:shape>
                <o:OLEObject Type="Embed" ProgID="PBrush" ShapeID="_x0000_i1107" DrawAspect="Content" ObjectID="_1626844124" r:id="rId10"/>
              </w:object>
            </w:r>
          </w:p>
        </w:tc>
        <w:tc>
          <w:tcPr>
            <w:tcW w:w="2266" w:type="dxa"/>
            <w:vAlign w:val="bottom"/>
          </w:tcPr>
          <w:p w:rsidR="005C72CF" w:rsidRDefault="002B6EF6" w:rsidP="002B6EF6">
            <w:pPr>
              <w:jc w:val="center"/>
            </w:pPr>
            <w:r>
              <w:object w:dxaOrig="3375" w:dyaOrig="4275">
                <v:shape id="_x0000_i1174" type="#_x0000_t75" style="width:96pt;height:122.25pt" o:ole="">
                  <v:imagedata r:id="rId11" o:title=""/>
                </v:shape>
                <o:OLEObject Type="Embed" ProgID="PBrush" ShapeID="_x0000_i1174" DrawAspect="Content" ObjectID="_1626844125" r:id="rId12"/>
              </w:object>
            </w:r>
          </w:p>
        </w:tc>
      </w:tr>
      <w:tr w:rsidR="005C72CF" w:rsidTr="00D7338B">
        <w:tc>
          <w:tcPr>
            <w:tcW w:w="2265" w:type="dxa"/>
          </w:tcPr>
          <w:p w:rsidR="005C72CF" w:rsidRPr="002B6EF6" w:rsidRDefault="002B6EF6" w:rsidP="00BA1290">
            <w:pPr>
              <w:spacing w:after="0"/>
              <w:contextualSpacing/>
              <w:jc w:val="center"/>
              <w:rPr>
                <w:sz w:val="20"/>
                <w:szCs w:val="20"/>
              </w:rPr>
            </w:pPr>
            <w:r w:rsidRPr="002B6EF6">
              <w:rPr>
                <w:b/>
                <w:bCs/>
                <w:sz w:val="20"/>
                <w:szCs w:val="20"/>
              </w:rPr>
              <w:t>Obr. 1:</w:t>
            </w:r>
            <w:r w:rsidRPr="002B6EF6">
              <w:rPr>
                <w:sz w:val="20"/>
                <w:szCs w:val="20"/>
              </w:rPr>
              <w:t xml:space="preserve"> Zasunutí testovací tyčinky</w:t>
            </w:r>
          </w:p>
        </w:tc>
        <w:tc>
          <w:tcPr>
            <w:tcW w:w="2265" w:type="dxa"/>
          </w:tcPr>
          <w:p w:rsidR="005C72CF" w:rsidRPr="002B6EF6" w:rsidRDefault="002B6EF6" w:rsidP="00BA1290">
            <w:pPr>
              <w:spacing w:after="0"/>
              <w:contextualSpacing/>
              <w:jc w:val="center"/>
              <w:rPr>
                <w:sz w:val="20"/>
                <w:szCs w:val="20"/>
              </w:rPr>
            </w:pPr>
            <w:r w:rsidRPr="002B6EF6">
              <w:rPr>
                <w:b/>
                <w:bCs/>
                <w:sz w:val="20"/>
                <w:szCs w:val="20"/>
              </w:rPr>
              <w:t>Obr. 2:</w:t>
            </w:r>
            <w:r w:rsidRPr="002B6EF6">
              <w:rPr>
                <w:sz w:val="20"/>
                <w:szCs w:val="20"/>
              </w:rPr>
              <w:t xml:space="preserve"> Selekce fáze „Před zátěží“</w:t>
            </w:r>
          </w:p>
        </w:tc>
        <w:tc>
          <w:tcPr>
            <w:tcW w:w="2266" w:type="dxa"/>
          </w:tcPr>
          <w:p w:rsidR="005C72CF" w:rsidRPr="002B6EF6" w:rsidRDefault="002B6EF6" w:rsidP="00BA1290">
            <w:pPr>
              <w:spacing w:after="0"/>
              <w:contextualSpacing/>
              <w:jc w:val="center"/>
              <w:rPr>
                <w:sz w:val="20"/>
                <w:szCs w:val="20"/>
              </w:rPr>
            </w:pPr>
            <w:r w:rsidRPr="002B6EF6">
              <w:rPr>
                <w:b/>
                <w:bCs/>
                <w:sz w:val="20"/>
                <w:szCs w:val="20"/>
              </w:rPr>
              <w:t>Obr. 3</w:t>
            </w:r>
            <w:r w:rsidRPr="002B6EF6">
              <w:rPr>
                <w:sz w:val="20"/>
                <w:szCs w:val="20"/>
              </w:rPr>
              <w:t>: Selekce fáze „Během zátěže“</w:t>
            </w:r>
          </w:p>
        </w:tc>
        <w:tc>
          <w:tcPr>
            <w:tcW w:w="2266" w:type="dxa"/>
          </w:tcPr>
          <w:p w:rsidR="002B6EF6" w:rsidRDefault="002B6EF6" w:rsidP="00BA1290">
            <w:pPr>
              <w:spacing w:after="0"/>
              <w:contextualSpacing/>
              <w:jc w:val="center"/>
              <w:rPr>
                <w:sz w:val="20"/>
                <w:szCs w:val="20"/>
              </w:rPr>
            </w:pPr>
            <w:r w:rsidRPr="002B6EF6">
              <w:rPr>
                <w:b/>
                <w:bCs/>
                <w:sz w:val="20"/>
                <w:szCs w:val="20"/>
              </w:rPr>
              <w:t>Obr. 4:</w:t>
            </w:r>
            <w:r w:rsidRPr="002B6EF6">
              <w:rPr>
                <w:sz w:val="20"/>
                <w:szCs w:val="20"/>
              </w:rPr>
              <w:t xml:space="preserve"> Selekce fáze</w:t>
            </w:r>
          </w:p>
          <w:p w:rsidR="005C72CF" w:rsidRPr="002B6EF6" w:rsidRDefault="002B6EF6" w:rsidP="00BA1290">
            <w:pPr>
              <w:spacing w:after="0"/>
              <w:contextualSpacing/>
              <w:jc w:val="center"/>
              <w:rPr>
                <w:sz w:val="20"/>
                <w:szCs w:val="20"/>
              </w:rPr>
            </w:pPr>
            <w:r w:rsidRPr="002B6EF6">
              <w:rPr>
                <w:sz w:val="20"/>
                <w:szCs w:val="20"/>
              </w:rPr>
              <w:t>„Po zátěži“</w:t>
            </w:r>
          </w:p>
        </w:tc>
      </w:tr>
    </w:tbl>
    <w:p w:rsidR="00FF557E" w:rsidRDefault="00FF557E" w:rsidP="00D7338B">
      <w:pPr>
        <w:pStyle w:val="Odstavecseseznamem"/>
        <w:numPr>
          <w:ilvl w:val="0"/>
          <w:numId w:val="3"/>
        </w:numPr>
        <w:spacing w:before="360"/>
        <w:ind w:left="357" w:hanging="357"/>
        <w:contextualSpacing w:val="0"/>
      </w:pPr>
      <w:r>
        <w:t>Napíchněte subjekt a ke kapce krve přiložte testovací tyčinku. Na sorpční ploše tyčinky je stupnice, jenž se musí zcela naplnit. Přístroj signalizuje uspokojující naplnění pípnutím, po kterém se na displeji zobrazí načítací kolečko, značící průběh měření, a text „LAC“</w:t>
      </w:r>
      <w:r w:rsidR="00BA1290">
        <w:t xml:space="preserve"> </w:t>
      </w:r>
      <w:r w:rsidR="00BA1290" w:rsidRPr="00BA1290">
        <w:rPr>
          <w:b/>
          <w:bCs/>
          <w:color w:val="00B0F0"/>
        </w:rPr>
        <w:t>(Obr. 5)</w:t>
      </w:r>
      <w:r>
        <w:t xml:space="preserve">. </w:t>
      </w:r>
    </w:p>
    <w:p w:rsidR="00FF557E" w:rsidRDefault="00FF557E" w:rsidP="00BA1290">
      <w:pPr>
        <w:pStyle w:val="Odstavecseseznamem"/>
        <w:numPr>
          <w:ilvl w:val="0"/>
          <w:numId w:val="3"/>
        </w:numPr>
        <w:ind w:left="357" w:hanging="357"/>
        <w:contextualSpacing w:val="0"/>
      </w:pPr>
      <w:r>
        <w:t>Do deseti sekund přístroj znovu pípne a na displeji se zobrazí výsledek měření</w:t>
      </w:r>
      <w:r w:rsidR="00BA1290">
        <w:t xml:space="preserve"> </w:t>
      </w:r>
      <w:r w:rsidR="00BA1290" w:rsidRPr="00BA1290">
        <w:rPr>
          <w:b/>
          <w:bCs/>
          <w:color w:val="00B0F0"/>
        </w:rPr>
        <w:t>(Obr.</w:t>
      </w:r>
      <w:r w:rsidR="00BA1290">
        <w:rPr>
          <w:b/>
          <w:bCs/>
          <w:color w:val="00B0F0"/>
        </w:rPr>
        <w:t> </w:t>
      </w:r>
      <w:r w:rsidR="00BA1290" w:rsidRPr="00BA1290">
        <w:rPr>
          <w:b/>
          <w:bCs/>
          <w:color w:val="00B0F0"/>
        </w:rPr>
        <w:t>6)</w:t>
      </w:r>
      <w:r>
        <w:t>.</w:t>
      </w:r>
    </w:p>
    <w:p w:rsidR="00FF557E" w:rsidRDefault="00FF557E" w:rsidP="00BA1290">
      <w:pPr>
        <w:pStyle w:val="Odstavecseseznamem"/>
        <w:numPr>
          <w:ilvl w:val="0"/>
          <w:numId w:val="3"/>
        </w:numPr>
        <w:ind w:left="357" w:hanging="357"/>
        <w:contextualSpacing w:val="0"/>
      </w:pPr>
      <w:r>
        <w:t>Tyčinku vyjměte a vyhoďte, pokračujte vložením další testovací tyčinky a postup s výběrem příslušné fáze opakujte</w:t>
      </w:r>
      <w:r w:rsidR="005C72CF">
        <w:t>. Všimněte si, že číslice vedle fáze se auto</w:t>
      </w:r>
      <w:bookmarkStart w:id="0" w:name="_GoBack"/>
      <w:bookmarkEnd w:id="0"/>
      <w:r w:rsidR="005C72CF">
        <w:t>maticky navyšuje, čímž Vám dává vědět, o kolikátý test v této fázi se bude jednat.</w:t>
      </w:r>
    </w:p>
    <w:p w:rsidR="005C72CF" w:rsidRDefault="005C72CF" w:rsidP="00BA1290">
      <w:pPr>
        <w:pStyle w:val="Odstavecseseznamem"/>
        <w:numPr>
          <w:ilvl w:val="0"/>
          <w:numId w:val="3"/>
        </w:numPr>
        <w:ind w:left="357" w:hanging="357"/>
        <w:contextualSpacing w:val="0"/>
      </w:pPr>
      <w:r>
        <w:t>Po výběru AFL (</w:t>
      </w:r>
      <w:proofErr w:type="spellStart"/>
      <w:r>
        <w:t>Afterload</w:t>
      </w:r>
      <w:proofErr w:type="spellEnd"/>
      <w:r>
        <w:t>, po zátěži) se ve spodní části displeje začne načítat čas uplynulý od posledního měření ve fázi LOAD (během zátěže). Každou uplynulou minutu přístroj pípne, a to do dovršení hodnoty 20 minut. Práce s přístrojem zůstává nadále stejná jako v předešlých krocích.</w:t>
      </w:r>
    </w:p>
    <w:p w:rsidR="00BA1290" w:rsidRDefault="00BA1290" w:rsidP="00BA1290">
      <w:pPr>
        <w:pStyle w:val="Odstavecseseznamem"/>
        <w:numPr>
          <w:ilvl w:val="0"/>
          <w:numId w:val="3"/>
        </w:numPr>
        <w:ind w:left="357" w:hanging="357"/>
        <w:contextualSpacing w:val="0"/>
      </w:pPr>
      <w:r>
        <w:t xml:space="preserve">Všechna měření pacienta ukončíte tak, že kolečkem přejedete všechny testovací fáze, až se Vám na displeji ukáže „END“. Potvrďte stisknutím kolečka </w:t>
      </w:r>
      <w:r w:rsidRPr="00BA1290">
        <w:rPr>
          <w:b/>
          <w:bCs/>
          <w:color w:val="00B0F0"/>
        </w:rPr>
        <w:t>(Obr. 7)</w:t>
      </w:r>
      <w: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B6EF6" w:rsidTr="00BA1290">
        <w:tc>
          <w:tcPr>
            <w:tcW w:w="3020" w:type="dxa"/>
            <w:vAlign w:val="bottom"/>
          </w:tcPr>
          <w:p w:rsidR="002B6EF6" w:rsidRDefault="00BA1290" w:rsidP="00BA1290">
            <w:r>
              <w:object w:dxaOrig="3615" w:dyaOrig="4485">
                <v:shape id="_x0000_i1175" type="#_x0000_t75" style="width:113.25pt;height:141pt" o:ole="">
                  <v:imagedata r:id="rId13" o:title=""/>
                </v:shape>
                <o:OLEObject Type="Embed" ProgID="PBrush" ShapeID="_x0000_i1175" DrawAspect="Content" ObjectID="_1626844126" r:id="rId14"/>
              </w:object>
            </w:r>
          </w:p>
        </w:tc>
        <w:tc>
          <w:tcPr>
            <w:tcW w:w="3021" w:type="dxa"/>
            <w:vAlign w:val="bottom"/>
          </w:tcPr>
          <w:p w:rsidR="002B6EF6" w:rsidRDefault="00BA1290" w:rsidP="00BA1290">
            <w:pPr>
              <w:jc w:val="center"/>
            </w:pPr>
            <w:r>
              <w:object w:dxaOrig="3405" w:dyaOrig="4065">
                <v:shape id="_x0000_i1178" type="#_x0000_t75" style="width:113.25pt;height:135pt" o:ole="">
                  <v:imagedata r:id="rId15" o:title=""/>
                </v:shape>
                <o:OLEObject Type="Embed" ProgID="PBrush" ShapeID="_x0000_i1178" DrawAspect="Content" ObjectID="_1626844127" r:id="rId16"/>
              </w:object>
            </w:r>
          </w:p>
        </w:tc>
        <w:tc>
          <w:tcPr>
            <w:tcW w:w="3021" w:type="dxa"/>
            <w:vAlign w:val="bottom"/>
          </w:tcPr>
          <w:p w:rsidR="002B6EF6" w:rsidRDefault="00BA1290" w:rsidP="00BA1290">
            <w:pPr>
              <w:jc w:val="right"/>
            </w:pPr>
            <w:r>
              <w:object w:dxaOrig="3435" w:dyaOrig="3990">
                <v:shape id="_x0000_i1183" type="#_x0000_t75" style="width:113.25pt;height:132pt" o:ole="">
                  <v:imagedata r:id="rId17" o:title=""/>
                </v:shape>
                <o:OLEObject Type="Embed" ProgID="PBrush" ShapeID="_x0000_i1183" DrawAspect="Content" ObjectID="_1626844128" r:id="rId18"/>
              </w:object>
            </w:r>
          </w:p>
        </w:tc>
      </w:tr>
      <w:tr w:rsidR="002B6EF6" w:rsidTr="00BA1290">
        <w:tc>
          <w:tcPr>
            <w:tcW w:w="3020" w:type="dxa"/>
          </w:tcPr>
          <w:p w:rsidR="002B6EF6" w:rsidRPr="00BA1290" w:rsidRDefault="002B6EF6" w:rsidP="00BA1290">
            <w:pPr>
              <w:spacing w:after="0"/>
              <w:contextualSpacing/>
              <w:jc w:val="center"/>
              <w:rPr>
                <w:sz w:val="20"/>
                <w:szCs w:val="20"/>
              </w:rPr>
            </w:pPr>
            <w:r w:rsidRPr="00BA1290">
              <w:rPr>
                <w:b/>
                <w:bCs/>
                <w:sz w:val="20"/>
                <w:szCs w:val="20"/>
              </w:rPr>
              <w:t>Obr. 5:</w:t>
            </w:r>
            <w:r w:rsidRPr="00BA1290">
              <w:rPr>
                <w:sz w:val="20"/>
                <w:szCs w:val="20"/>
              </w:rPr>
              <w:t xml:space="preserve"> Displej během </w:t>
            </w:r>
            <w:r w:rsidR="00BA1290" w:rsidRPr="00BA1290">
              <w:rPr>
                <w:sz w:val="20"/>
                <w:szCs w:val="20"/>
              </w:rPr>
              <w:t>měření koncentrace</w:t>
            </w:r>
          </w:p>
        </w:tc>
        <w:tc>
          <w:tcPr>
            <w:tcW w:w="3021" w:type="dxa"/>
          </w:tcPr>
          <w:p w:rsidR="002B6EF6" w:rsidRPr="00BA1290" w:rsidRDefault="00BA1290" w:rsidP="00BA1290">
            <w:pPr>
              <w:spacing w:after="0"/>
              <w:contextualSpacing/>
              <w:jc w:val="center"/>
              <w:rPr>
                <w:sz w:val="20"/>
                <w:szCs w:val="20"/>
              </w:rPr>
            </w:pPr>
            <w:r w:rsidRPr="00BA1290">
              <w:rPr>
                <w:b/>
                <w:bCs/>
                <w:sz w:val="20"/>
                <w:szCs w:val="20"/>
              </w:rPr>
              <w:t xml:space="preserve">Obr. 6: </w:t>
            </w:r>
            <w:r w:rsidRPr="00BA1290">
              <w:rPr>
                <w:sz w:val="20"/>
                <w:szCs w:val="20"/>
              </w:rPr>
              <w:t>Výsledek měření</w:t>
            </w:r>
          </w:p>
        </w:tc>
        <w:tc>
          <w:tcPr>
            <w:tcW w:w="3021" w:type="dxa"/>
          </w:tcPr>
          <w:p w:rsidR="002B6EF6" w:rsidRPr="00BA1290" w:rsidRDefault="00BA1290" w:rsidP="00BA1290">
            <w:pPr>
              <w:spacing w:after="0"/>
              <w:contextualSpacing/>
              <w:jc w:val="center"/>
              <w:rPr>
                <w:sz w:val="20"/>
                <w:szCs w:val="20"/>
              </w:rPr>
            </w:pPr>
            <w:r w:rsidRPr="00BA1290">
              <w:rPr>
                <w:b/>
                <w:bCs/>
                <w:sz w:val="20"/>
                <w:szCs w:val="20"/>
              </w:rPr>
              <w:t>Obr. 7:</w:t>
            </w:r>
            <w:r w:rsidRPr="00BA1290">
              <w:rPr>
                <w:sz w:val="20"/>
                <w:szCs w:val="20"/>
              </w:rPr>
              <w:t xml:space="preserve"> Ukončení pacienta</w:t>
            </w:r>
          </w:p>
        </w:tc>
      </w:tr>
    </w:tbl>
    <w:p w:rsidR="00FF557E" w:rsidRDefault="00FF557E" w:rsidP="00BA1290"/>
    <w:sectPr w:rsidR="00FF557E" w:rsidSect="00D7338B">
      <w:pgSz w:w="11906" w:h="16838"/>
      <w:pgMar w:top="851"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09A3"/>
    <w:multiLevelType w:val="multilevel"/>
    <w:tmpl w:val="0B52AF4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2C3E70B6"/>
    <w:multiLevelType w:val="multilevel"/>
    <w:tmpl w:val="0B52AF4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431541B7"/>
    <w:multiLevelType w:val="hybridMultilevel"/>
    <w:tmpl w:val="BBC035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57E"/>
    <w:rsid w:val="002B6EF6"/>
    <w:rsid w:val="005C72CF"/>
    <w:rsid w:val="00A9698E"/>
    <w:rsid w:val="00BA1290"/>
    <w:rsid w:val="00D7338B"/>
    <w:rsid w:val="00FF55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256AD"/>
  <w15:chartTrackingRefBased/>
  <w15:docId w15:val="{BCE0412E-8D1F-4186-8BCA-417184216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1290"/>
    <w:pPr>
      <w:spacing w:after="120" w:line="240"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F557E"/>
    <w:pPr>
      <w:ind w:left="720"/>
      <w:contextualSpacing/>
    </w:pPr>
  </w:style>
  <w:style w:type="table" w:styleId="Mkatabulky">
    <w:name w:val="Table Grid"/>
    <w:basedOn w:val="Normlntabulka"/>
    <w:uiPriority w:val="39"/>
    <w:rsid w:val="005C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uiPriority w:val="10"/>
    <w:qFormat/>
    <w:rsid w:val="00BA1290"/>
    <w:pPr>
      <w:spacing w:after="240"/>
      <w:jc w:val="center"/>
    </w:pPr>
    <w:rPr>
      <w:rFonts w:asciiTheme="majorHAnsi" w:eastAsiaTheme="majorEastAsia" w:hAnsiTheme="majorHAnsi" w:cstheme="majorBidi"/>
      <w:b/>
      <w:spacing w:val="-10"/>
      <w:kern w:val="28"/>
      <w:sz w:val="40"/>
      <w:szCs w:val="56"/>
    </w:rPr>
  </w:style>
  <w:style w:type="character" w:customStyle="1" w:styleId="NzevChar">
    <w:name w:val="Název Char"/>
    <w:basedOn w:val="Standardnpsmoodstavce"/>
    <w:link w:val="Nzev"/>
    <w:uiPriority w:val="10"/>
    <w:rsid w:val="00BA1290"/>
    <w:rPr>
      <w:rFonts w:asciiTheme="majorHAnsi" w:eastAsiaTheme="majorEastAsia" w:hAnsiTheme="majorHAnsi" w:cstheme="majorBidi"/>
      <w:b/>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295</Words>
  <Characters>1747</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Škoda David, Ing.</dc:creator>
  <cp:keywords/>
  <dc:description/>
  <cp:lastModifiedBy>Škoda David, Ing.</cp:lastModifiedBy>
  <cp:revision>1</cp:revision>
  <dcterms:created xsi:type="dcterms:W3CDTF">2019-08-09T05:39:00Z</dcterms:created>
  <dcterms:modified xsi:type="dcterms:W3CDTF">2019-08-09T06:22:00Z</dcterms:modified>
</cp:coreProperties>
</file>