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D8" w:rsidRPr="00140925" w:rsidRDefault="009036AF" w:rsidP="0014092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Farmakoekonomická analýza přípravku </w:t>
      </w:r>
      <w:proofErr w:type="spellStart"/>
      <w:r>
        <w:rPr>
          <w:b/>
          <w:sz w:val="36"/>
          <w:szCs w:val="36"/>
          <w:u w:val="single"/>
        </w:rPr>
        <w:t>Emgality</w:t>
      </w:r>
      <w:proofErr w:type="spellEnd"/>
      <w:r>
        <w:rPr>
          <w:b/>
          <w:sz w:val="36"/>
          <w:szCs w:val="36"/>
          <w:u w:val="single"/>
        </w:rPr>
        <w:t xml:space="preserve"> </w:t>
      </w:r>
      <w:proofErr w:type="spellStart"/>
      <w:r>
        <w:rPr>
          <w:b/>
          <w:sz w:val="36"/>
          <w:szCs w:val="36"/>
          <w:u w:val="single"/>
        </w:rPr>
        <w:t>inj</w:t>
      </w:r>
      <w:proofErr w:type="spellEnd"/>
      <w:r w:rsidR="00814ACF">
        <w:rPr>
          <w:b/>
          <w:sz w:val="36"/>
          <w:szCs w:val="36"/>
          <w:u w:val="single"/>
        </w:rPr>
        <w:t>.</w:t>
      </w:r>
    </w:p>
    <w:p w:rsidR="00ED14C4" w:rsidRDefault="00ED14C4" w:rsidP="00013A1B">
      <w:pPr>
        <w:spacing w:after="0"/>
        <w:jc w:val="both"/>
      </w:pPr>
    </w:p>
    <w:p w:rsidR="00736306" w:rsidRPr="00736306" w:rsidRDefault="00736306" w:rsidP="00736306">
      <w:pPr>
        <w:pStyle w:val="Odstavecseseznamem"/>
        <w:numPr>
          <w:ilvl w:val="0"/>
          <w:numId w:val="5"/>
        </w:numPr>
        <w:spacing w:after="0"/>
        <w:jc w:val="both"/>
        <w:rPr>
          <w:b/>
          <w:sz w:val="28"/>
          <w:szCs w:val="28"/>
          <w:u w:val="single"/>
        </w:rPr>
      </w:pPr>
      <w:r w:rsidRPr="00736306">
        <w:rPr>
          <w:b/>
          <w:sz w:val="28"/>
          <w:szCs w:val="28"/>
          <w:u w:val="single"/>
        </w:rPr>
        <w:t>Účinnost a bezpečnost</w:t>
      </w:r>
    </w:p>
    <w:p w:rsidR="00013A1B" w:rsidRDefault="00553C5C" w:rsidP="00013A1B">
      <w:pPr>
        <w:spacing w:after="0"/>
        <w:jc w:val="both"/>
      </w:pPr>
      <w:r>
        <w:t>Přípravek</w:t>
      </w:r>
      <w:r w:rsidR="00E21919">
        <w:t xml:space="preserve"> </w:t>
      </w:r>
      <w:proofErr w:type="spellStart"/>
      <w:r w:rsidR="00E21919" w:rsidRPr="007C0907">
        <w:rPr>
          <w:b/>
          <w:highlight w:val="yellow"/>
          <w:u w:val="single"/>
        </w:rPr>
        <w:t>Emgality</w:t>
      </w:r>
      <w:proofErr w:type="spellEnd"/>
      <w:r w:rsidR="00E21919" w:rsidRPr="007C0907">
        <w:rPr>
          <w:b/>
          <w:highlight w:val="yellow"/>
          <w:u w:val="single"/>
        </w:rPr>
        <w:t xml:space="preserve"> (</w:t>
      </w:r>
      <w:proofErr w:type="spellStart"/>
      <w:r w:rsidR="00E21919" w:rsidRPr="007C0907">
        <w:rPr>
          <w:b/>
          <w:highlight w:val="yellow"/>
          <w:u w:val="single"/>
        </w:rPr>
        <w:t>gal</w:t>
      </w:r>
      <w:r w:rsidR="000A7A05">
        <w:rPr>
          <w:b/>
          <w:highlight w:val="yellow"/>
          <w:u w:val="single"/>
        </w:rPr>
        <w:t>k</w:t>
      </w:r>
      <w:r w:rsidR="00E21919" w:rsidRPr="007C0907">
        <w:rPr>
          <w:b/>
          <w:highlight w:val="yellow"/>
          <w:u w:val="single"/>
        </w:rPr>
        <w:t>anezumab</w:t>
      </w:r>
      <w:proofErr w:type="spellEnd"/>
      <w:r w:rsidR="00E21919" w:rsidRPr="007C0907">
        <w:rPr>
          <w:b/>
          <w:highlight w:val="yellow"/>
          <w:u w:val="single"/>
        </w:rPr>
        <w:t xml:space="preserve">) </w:t>
      </w:r>
      <w:proofErr w:type="spellStart"/>
      <w:r w:rsidR="00E21919" w:rsidRPr="007C0907">
        <w:rPr>
          <w:b/>
          <w:highlight w:val="yellow"/>
          <w:u w:val="single"/>
        </w:rPr>
        <w:t>inj</w:t>
      </w:r>
      <w:proofErr w:type="spellEnd"/>
      <w:r w:rsidR="00E21919" w:rsidRPr="007C0907">
        <w:rPr>
          <w:highlight w:val="yellow"/>
        </w:rPr>
        <w:t>.</w:t>
      </w:r>
      <w:r w:rsidR="00E21919">
        <w:t xml:space="preserve"> patří do skupiny monoklonálních protilátek (dále jen „</w:t>
      </w:r>
      <w:proofErr w:type="spellStart"/>
      <w:r w:rsidR="00E21919">
        <w:t>mAb</w:t>
      </w:r>
      <w:proofErr w:type="spellEnd"/>
      <w:r w:rsidR="00E21919">
        <w:t xml:space="preserve">“) proti </w:t>
      </w:r>
      <w:proofErr w:type="gramStart"/>
      <w:r w:rsidR="007C0907">
        <w:t>kalcitonin</w:t>
      </w:r>
      <w:proofErr w:type="gramEnd"/>
      <w:r w:rsidR="007C0907">
        <w:t xml:space="preserve"> gene </w:t>
      </w:r>
      <w:proofErr w:type="spellStart"/>
      <w:r w:rsidR="007C0907">
        <w:t>related</w:t>
      </w:r>
      <w:proofErr w:type="spellEnd"/>
      <w:r w:rsidR="007C0907">
        <w:t xml:space="preserve"> peptide (dále jen „CGRP“) a dle SPC </w:t>
      </w:r>
      <w:r w:rsidR="007C0907" w:rsidRPr="00A53783">
        <w:rPr>
          <w:rFonts w:cstheme="minorHAnsi"/>
        </w:rPr>
        <w:t>[1]</w:t>
      </w:r>
      <w:r w:rsidR="007C0907" w:rsidRPr="00F73296">
        <w:rPr>
          <w:rFonts w:eastAsia="Times New Roman" w:cstheme="minorHAnsi"/>
          <w:lang w:eastAsia="cs-CZ"/>
        </w:rPr>
        <w:t xml:space="preserve"> </w:t>
      </w:r>
      <w:r w:rsidR="007C0907">
        <w:t xml:space="preserve">má </w:t>
      </w:r>
      <w:r w:rsidR="007C0907" w:rsidRPr="007C0907">
        <w:rPr>
          <w:b/>
          <w:highlight w:val="yellow"/>
          <w:u w:val="single"/>
        </w:rPr>
        <w:t>indikaci</w:t>
      </w:r>
      <w:r w:rsidR="007C0907" w:rsidRPr="00013A1B">
        <w:rPr>
          <w:highlight w:val="yellow"/>
        </w:rPr>
        <w:t xml:space="preserve">: </w:t>
      </w:r>
      <w:r w:rsidR="00013A1B" w:rsidRPr="00013A1B">
        <w:rPr>
          <w:highlight w:val="yellow"/>
        </w:rPr>
        <w:t>„</w:t>
      </w:r>
      <w:r w:rsidR="00013A1B" w:rsidRPr="00013A1B">
        <w:rPr>
          <w:b/>
          <w:i/>
          <w:highlight w:val="yellow"/>
        </w:rPr>
        <w:t>k profylaxi migrény u dospělých, kteří trpí migrénou nejméně 4 dny v měsíci</w:t>
      </w:r>
      <w:r w:rsidR="00013A1B" w:rsidRPr="00013A1B">
        <w:rPr>
          <w:highlight w:val="yellow"/>
        </w:rPr>
        <w:t>“.</w:t>
      </w:r>
      <w:r w:rsidR="00013A1B">
        <w:t xml:space="preserve"> </w:t>
      </w:r>
    </w:p>
    <w:p w:rsidR="00A35052" w:rsidRDefault="00013A1B" w:rsidP="00013A1B">
      <w:pPr>
        <w:spacing w:after="0"/>
        <w:jc w:val="both"/>
      </w:pPr>
      <w:r>
        <w:t xml:space="preserve">Přípravek má dle </w:t>
      </w:r>
      <w:proofErr w:type="spellStart"/>
      <w:proofErr w:type="gramStart"/>
      <w:r>
        <w:t>SUKLu</w:t>
      </w:r>
      <w:proofErr w:type="spellEnd"/>
      <w:r w:rsidR="009C2339">
        <w:t xml:space="preserve"> </w:t>
      </w:r>
      <w:r w:rsidR="009C2339" w:rsidRPr="00A53783">
        <w:rPr>
          <w:rFonts w:cstheme="minorHAnsi"/>
        </w:rPr>
        <w:t>[1]</w:t>
      </w:r>
      <w:r w:rsidR="009C2339" w:rsidRPr="00F73296">
        <w:rPr>
          <w:rFonts w:eastAsia="Times New Roman" w:cstheme="minorHAnsi"/>
          <w:lang w:eastAsia="cs-CZ"/>
        </w:rPr>
        <w:t xml:space="preserve"> </w:t>
      </w:r>
      <w:r>
        <w:t xml:space="preserve"> </w:t>
      </w:r>
      <w:r w:rsidR="00DE0A53">
        <w:t>v ČR</w:t>
      </w:r>
      <w:proofErr w:type="gramEnd"/>
      <w:r w:rsidR="00DE0A53">
        <w:t xml:space="preserve"> </w:t>
      </w:r>
      <w:r>
        <w:t xml:space="preserve">úhradu a </w:t>
      </w:r>
      <w:r w:rsidR="00DE0A53">
        <w:t xml:space="preserve">také </w:t>
      </w:r>
      <w:r>
        <w:t>následující úhradové podmínky:</w:t>
      </w:r>
    </w:p>
    <w:p w:rsidR="00013A1B" w:rsidRDefault="009C2339" w:rsidP="00013A1B">
      <w:pPr>
        <w:pStyle w:val="Odstavecseseznamem"/>
        <w:numPr>
          <w:ilvl w:val="0"/>
          <w:numId w:val="4"/>
        </w:numPr>
        <w:spacing w:after="0"/>
        <w:jc w:val="both"/>
      </w:pPr>
      <w:r>
        <w:t>„</w:t>
      </w:r>
      <w:r w:rsidRPr="009C2339">
        <w:rPr>
          <w:i/>
        </w:rPr>
        <w:t xml:space="preserve">U pacientů s diagnózou migréna, kteří před iniciálním podáním mají v průměru za poslední 3 měsíce více než 4 migrenózní dny/měsíc (MMD), a to po selhání (nedostatečné účinnosti) nebo intoleranci minimálně 2 zástupců rozdílných skupin konvenční </w:t>
      </w:r>
      <w:proofErr w:type="spellStart"/>
      <w:r w:rsidRPr="009C2339">
        <w:rPr>
          <w:i/>
        </w:rPr>
        <w:t>profylakt</w:t>
      </w:r>
      <w:proofErr w:type="spellEnd"/>
      <w:r w:rsidRPr="009C2339">
        <w:rPr>
          <w:i/>
        </w:rPr>
        <w:t>. medikace, z nichž alespoň 1 lék musí být antikonvulzivum (</w:t>
      </w:r>
      <w:proofErr w:type="spellStart"/>
      <w:r w:rsidRPr="009C2339">
        <w:rPr>
          <w:i/>
        </w:rPr>
        <w:t>topiramát</w:t>
      </w:r>
      <w:proofErr w:type="spellEnd"/>
      <w:r w:rsidRPr="009C2339">
        <w:rPr>
          <w:i/>
        </w:rPr>
        <w:t xml:space="preserve"> nebo </w:t>
      </w:r>
      <w:proofErr w:type="spellStart"/>
      <w:r w:rsidRPr="009C2339">
        <w:rPr>
          <w:i/>
        </w:rPr>
        <w:t>valproát</w:t>
      </w:r>
      <w:proofErr w:type="spellEnd"/>
      <w:r w:rsidRPr="009C2339">
        <w:rPr>
          <w:i/>
        </w:rPr>
        <w:t>), pokud k nim pacient není KI. Pacienti, kteří ve 3. měsíci terapie nedosáhnou adekvátní terapeutické odpovědi (pokles minimálně o 50% MMD v porovnání s výchozím stavem před nasazením), nejsou dále hrazeni z prostředků veřejného zdravotního pojištění. Terapie není dále hrazena, pokud počet MMD v každém jednotlivém měsíci u 3 po sobě jdoucích měsíců byl větší než 50% výchozí hodnoty MMD (před nasazením).</w:t>
      </w:r>
      <w:r>
        <w:t>“</w:t>
      </w:r>
    </w:p>
    <w:p w:rsidR="007F66F7" w:rsidRDefault="007F66F7" w:rsidP="007F66F7">
      <w:pPr>
        <w:spacing w:after="0"/>
        <w:ind w:left="360"/>
        <w:jc w:val="both"/>
      </w:pPr>
    </w:p>
    <w:p w:rsidR="00013A1B" w:rsidRDefault="007F66F7" w:rsidP="005B4FB0">
      <w:pPr>
        <w:spacing w:after="0"/>
      </w:pPr>
      <w:r w:rsidRPr="00774CC2">
        <w:rPr>
          <w:b/>
          <w:highlight w:val="yellow"/>
          <w:u w:val="single"/>
        </w:rPr>
        <w:t>Relevantní komparátory</w:t>
      </w:r>
      <w:r>
        <w:t xml:space="preserve">: v ČR jsou registrovány, </w:t>
      </w:r>
      <w:r w:rsidRPr="00C668B3">
        <w:rPr>
          <w:b/>
          <w:highlight w:val="yellow"/>
        </w:rPr>
        <w:t xml:space="preserve">mají stejnou indikaci a úhradové podmínky </w:t>
      </w:r>
      <w:r w:rsidRPr="00C668B3">
        <w:rPr>
          <w:rFonts w:cstheme="minorHAnsi"/>
          <w:b/>
          <w:highlight w:val="yellow"/>
        </w:rPr>
        <w:t xml:space="preserve">[1] jako </w:t>
      </w:r>
      <w:proofErr w:type="spellStart"/>
      <w:r w:rsidRPr="00C668B3">
        <w:rPr>
          <w:rFonts w:cstheme="minorHAnsi"/>
          <w:b/>
          <w:highlight w:val="yellow"/>
        </w:rPr>
        <w:t>Emgality</w:t>
      </w:r>
      <w:proofErr w:type="spellEnd"/>
      <w:r>
        <w:rPr>
          <w:rFonts w:cstheme="minorHAnsi"/>
        </w:rPr>
        <w:t xml:space="preserve"> přípravky: </w:t>
      </w:r>
      <w:proofErr w:type="spellStart"/>
      <w:r w:rsidRPr="00774CC2">
        <w:rPr>
          <w:rFonts w:cstheme="minorHAnsi"/>
          <w:b/>
          <w:highlight w:val="yellow"/>
        </w:rPr>
        <w:t>Aimovig</w:t>
      </w:r>
      <w:proofErr w:type="spellEnd"/>
      <w:r w:rsidRPr="00774CC2">
        <w:rPr>
          <w:rFonts w:cstheme="minorHAnsi"/>
          <w:b/>
          <w:highlight w:val="yellow"/>
        </w:rPr>
        <w:t xml:space="preserve"> </w:t>
      </w:r>
      <w:proofErr w:type="spellStart"/>
      <w:r w:rsidRPr="00774CC2">
        <w:rPr>
          <w:rFonts w:cstheme="minorHAnsi"/>
          <w:b/>
          <w:highlight w:val="yellow"/>
        </w:rPr>
        <w:t>inj</w:t>
      </w:r>
      <w:proofErr w:type="spellEnd"/>
      <w:r w:rsidRPr="00774CC2">
        <w:rPr>
          <w:rFonts w:cstheme="minorHAnsi"/>
          <w:b/>
          <w:highlight w:val="yellow"/>
        </w:rPr>
        <w:t>.</w:t>
      </w:r>
      <w:r>
        <w:rPr>
          <w:rFonts w:cstheme="minorHAnsi"/>
        </w:rPr>
        <w:t xml:space="preserve"> a </w:t>
      </w:r>
      <w:proofErr w:type="spellStart"/>
      <w:r w:rsidRPr="00774CC2">
        <w:rPr>
          <w:rFonts w:cstheme="minorHAnsi"/>
          <w:b/>
          <w:highlight w:val="yellow"/>
        </w:rPr>
        <w:t>Ajovy</w:t>
      </w:r>
      <w:proofErr w:type="spellEnd"/>
      <w:r w:rsidRPr="00774CC2">
        <w:rPr>
          <w:rFonts w:cstheme="minorHAnsi"/>
          <w:b/>
          <w:highlight w:val="yellow"/>
        </w:rPr>
        <w:t xml:space="preserve"> </w:t>
      </w:r>
      <w:proofErr w:type="spellStart"/>
      <w:r w:rsidRPr="00774CC2">
        <w:rPr>
          <w:rFonts w:cstheme="minorHAnsi"/>
          <w:b/>
          <w:highlight w:val="yellow"/>
        </w:rPr>
        <w:t>inj</w:t>
      </w:r>
      <w:proofErr w:type="spellEnd"/>
      <w:r w:rsidRPr="00774CC2">
        <w:rPr>
          <w:rFonts w:cstheme="minorHAnsi"/>
          <w:b/>
          <w:highlight w:val="yellow"/>
        </w:rPr>
        <w:t>.</w:t>
      </w:r>
    </w:p>
    <w:p w:rsidR="00553C5C" w:rsidRDefault="00553C5C" w:rsidP="005B4FB0">
      <w:pPr>
        <w:spacing w:after="0"/>
      </w:pPr>
    </w:p>
    <w:p w:rsidR="005B4FB0" w:rsidRDefault="00D02B8C" w:rsidP="005B4FB0">
      <w:pPr>
        <w:spacing w:after="0"/>
      </w:pPr>
      <w:r>
        <w:t xml:space="preserve">Srovnání všech tří přípravků s obsahem </w:t>
      </w:r>
      <w:proofErr w:type="spellStart"/>
      <w:r>
        <w:t>mAb</w:t>
      </w:r>
      <w:proofErr w:type="spellEnd"/>
      <w:r>
        <w:t xml:space="preserve"> dle </w:t>
      </w:r>
      <w:r w:rsidRPr="00A53783">
        <w:rPr>
          <w:rFonts w:cstheme="minorHAnsi"/>
        </w:rPr>
        <w:t>[</w:t>
      </w:r>
      <w:r>
        <w:rPr>
          <w:rFonts w:cstheme="minorHAnsi"/>
        </w:rPr>
        <w:t>3</w:t>
      </w:r>
      <w:r w:rsidRPr="00A53783">
        <w:rPr>
          <w:rFonts w:cstheme="minorHAnsi"/>
        </w:rPr>
        <w:t>]</w:t>
      </w:r>
      <w:r w:rsidR="00D901EE">
        <w:t>:</w:t>
      </w:r>
    </w:p>
    <w:p w:rsidR="00D901EE" w:rsidRDefault="00D42D2A" w:rsidP="005B4FB0">
      <w:pPr>
        <w:spacing w:after="0"/>
      </w:pPr>
      <w:r>
        <w:rPr>
          <w:noProof/>
          <w:lang w:eastAsia="cs-CZ"/>
        </w:rPr>
        <w:drawing>
          <wp:inline distT="0" distB="0" distL="0" distR="0" wp14:anchorId="2BDD8352" wp14:editId="6C039A2F">
            <wp:extent cx="7289003" cy="19563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3780" cy="1960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656" w:rsidRDefault="00CE3656" w:rsidP="00610624">
      <w:pPr>
        <w:spacing w:after="0"/>
        <w:jc w:val="both"/>
      </w:pPr>
    </w:p>
    <w:p w:rsidR="005B4FB0" w:rsidRDefault="00D42D2A" w:rsidP="00610624">
      <w:pPr>
        <w:spacing w:after="0"/>
        <w:jc w:val="both"/>
      </w:pPr>
      <w:r>
        <w:t>Ve studiích se tyto</w:t>
      </w:r>
      <w:r w:rsidR="00DE0A53">
        <w:t xml:space="preserve"> anti-CGRP </w:t>
      </w:r>
      <w:proofErr w:type="spellStart"/>
      <w:r>
        <w:t>mAb</w:t>
      </w:r>
      <w:proofErr w:type="spellEnd"/>
      <w:r>
        <w:t xml:space="preserve"> </w:t>
      </w:r>
      <w:r w:rsidR="00E5433D">
        <w:t>podávaly u dvou skupin pacientů</w:t>
      </w:r>
      <w:r>
        <w:t>:</w:t>
      </w:r>
    </w:p>
    <w:p w:rsidR="00D42D2A" w:rsidRDefault="00E5433D" w:rsidP="00610624">
      <w:pPr>
        <w:pStyle w:val="Odstavecseseznamem"/>
        <w:numPr>
          <w:ilvl w:val="0"/>
          <w:numId w:val="1"/>
        </w:numPr>
        <w:jc w:val="both"/>
      </w:pPr>
      <w:r>
        <w:t>pacienti s chronickou migrénou (</w:t>
      </w:r>
      <w:proofErr w:type="gramStart"/>
      <w:r>
        <w:t>zjednodušeně : typ</w:t>
      </w:r>
      <w:proofErr w:type="gramEnd"/>
      <w:r>
        <w:t xml:space="preserve"> migrény s bolestmi hlavy nejméně po dobu 15 dnů v měsíci po dobu delší než 3 měsíce),</w:t>
      </w:r>
    </w:p>
    <w:p w:rsidR="00E5433D" w:rsidRDefault="00E5433D" w:rsidP="00610624">
      <w:pPr>
        <w:pStyle w:val="Odstavecseseznamem"/>
        <w:numPr>
          <w:ilvl w:val="0"/>
          <w:numId w:val="1"/>
        </w:numPr>
        <w:jc w:val="both"/>
      </w:pPr>
      <w:r>
        <w:t>pacienti s epizodickou migrénou (</w:t>
      </w:r>
      <w:proofErr w:type="gramStart"/>
      <w:r>
        <w:t>zjednodušeně : bolesti</w:t>
      </w:r>
      <w:proofErr w:type="gramEnd"/>
      <w:r>
        <w:t xml:space="preserve"> hlavy méně než 15 dnů v měsíci).</w:t>
      </w:r>
    </w:p>
    <w:p w:rsidR="00ED14C4" w:rsidRDefault="00ED14C4" w:rsidP="00ED14C4">
      <w:pPr>
        <w:spacing w:after="0"/>
        <w:jc w:val="both"/>
      </w:pPr>
      <w:r>
        <w:lastRenderedPageBreak/>
        <w:t xml:space="preserve">S </w:t>
      </w:r>
      <w:proofErr w:type="spellStart"/>
      <w:r w:rsidRPr="00C543F9">
        <w:rPr>
          <w:b/>
        </w:rPr>
        <w:t>galkanezumab</w:t>
      </w:r>
      <w:r w:rsidR="00E50326">
        <w:rPr>
          <w:b/>
        </w:rPr>
        <w:t>em</w:t>
      </w:r>
      <w:proofErr w:type="spellEnd"/>
      <w:r w:rsidRPr="00C543F9">
        <w:rPr>
          <w:b/>
        </w:rPr>
        <w:t xml:space="preserve"> byly provedeny 3 RCT fáze 3 oproti placebu</w:t>
      </w:r>
      <w:r w:rsidR="00C543F9">
        <w:rPr>
          <w:b/>
        </w:rPr>
        <w:t xml:space="preserve"> </w:t>
      </w:r>
      <w:r w:rsidR="00C543F9" w:rsidRPr="00A53783">
        <w:rPr>
          <w:rFonts w:cstheme="minorHAnsi"/>
        </w:rPr>
        <w:t>[</w:t>
      </w:r>
      <w:r w:rsidR="00C543F9">
        <w:rPr>
          <w:rFonts w:cstheme="minorHAnsi"/>
        </w:rPr>
        <w:t>5</w:t>
      </w:r>
      <w:r w:rsidR="00C543F9" w:rsidRPr="00A53783">
        <w:rPr>
          <w:rFonts w:cstheme="minorHAnsi"/>
        </w:rPr>
        <w:t>]</w:t>
      </w:r>
      <w:r>
        <w:t>:</w:t>
      </w:r>
    </w:p>
    <w:p w:rsidR="00ED14C4" w:rsidRDefault="00ED14C4" w:rsidP="00ED14C4">
      <w:pPr>
        <w:pStyle w:val="Odstavecseseznamem"/>
        <w:numPr>
          <w:ilvl w:val="0"/>
          <w:numId w:val="1"/>
        </w:numPr>
        <w:jc w:val="both"/>
      </w:pPr>
      <w:r>
        <w:t>pro epizodickou migrénu studie EVOLVE-1 a EVOLVE-2 (</w:t>
      </w:r>
      <w:r w:rsidR="00C543F9">
        <w:t xml:space="preserve">obě s dávkami 120mg nebo 240mg 1xměsíčně po dobu 6 </w:t>
      </w:r>
      <w:proofErr w:type="gramStart"/>
      <w:r w:rsidR="00C543F9">
        <w:t>měsíců),</w:t>
      </w:r>
      <w:r>
        <w:t>,</w:t>
      </w:r>
      <w:proofErr w:type="gramEnd"/>
    </w:p>
    <w:p w:rsidR="00ED14C4" w:rsidRDefault="00ED14C4" w:rsidP="00C543F9">
      <w:pPr>
        <w:pStyle w:val="Odstavecseseznamem"/>
        <w:numPr>
          <w:ilvl w:val="0"/>
          <w:numId w:val="1"/>
        </w:numPr>
        <w:spacing w:after="0"/>
        <w:jc w:val="both"/>
      </w:pPr>
      <w:r>
        <w:t>pro chronickou migrénu studie REGAIN</w:t>
      </w:r>
      <w:r w:rsidR="00C543F9">
        <w:t xml:space="preserve"> (opět s dávkami 120mg nebo 240mg 1xměsíčně po dobu 3 + 9 měsíců).</w:t>
      </w:r>
    </w:p>
    <w:p w:rsidR="00CE3656" w:rsidRDefault="00C543F9" w:rsidP="00610624">
      <w:pPr>
        <w:jc w:val="both"/>
        <w:rPr>
          <w:rFonts w:cstheme="minorHAnsi"/>
        </w:rPr>
      </w:pPr>
      <w:r>
        <w:t xml:space="preserve">V hodnocení účinnosti nebyl ve výše uvedených 3 studiích zjištěn statisticky významný rozdíl mezi dávkami 120 a 240 mg, přičemž první uvedená je tedy obvyklou registrovanou dávkou dle SPC. Obě dávky snižovaly stejně účinně počet MHD, působily stejně dobře i na další parametry migrény a bolesti hlavy, stejně tak i zlepšovaly fungování a kvalitu života </w:t>
      </w:r>
      <w:r w:rsidRPr="00A53783">
        <w:rPr>
          <w:rFonts w:cstheme="minorHAnsi"/>
        </w:rPr>
        <w:t>[</w:t>
      </w:r>
      <w:r>
        <w:rPr>
          <w:rFonts w:cstheme="minorHAnsi"/>
        </w:rPr>
        <w:t>5</w:t>
      </w:r>
      <w:r w:rsidRPr="00A53783">
        <w:rPr>
          <w:rFonts w:cstheme="minorHAnsi"/>
        </w:rPr>
        <w:t>]</w:t>
      </w:r>
      <w:r>
        <w:rPr>
          <w:rFonts w:cstheme="minorHAnsi"/>
        </w:rPr>
        <w:t>.</w:t>
      </w:r>
    </w:p>
    <w:p w:rsidR="00CE3656" w:rsidRPr="006A3FA6" w:rsidRDefault="006A3FA6" w:rsidP="00CE3656">
      <w:pPr>
        <w:spacing w:after="0"/>
        <w:jc w:val="both"/>
        <w:rPr>
          <w:rFonts w:cstheme="minorHAnsi"/>
          <w:b/>
          <w:u w:val="single"/>
        </w:rPr>
      </w:pPr>
      <w:r>
        <w:t xml:space="preserve">     </w:t>
      </w:r>
      <w:r w:rsidR="00CE3656" w:rsidRPr="006A3FA6">
        <w:rPr>
          <w:b/>
          <w:highlight w:val="yellow"/>
          <w:u w:val="single"/>
        </w:rPr>
        <w:t>Srovnání výsledků RCT s </w:t>
      </w:r>
      <w:proofErr w:type="spellStart"/>
      <w:r w:rsidR="00CE3656" w:rsidRPr="006A3FA6">
        <w:rPr>
          <w:b/>
          <w:highlight w:val="yellow"/>
          <w:u w:val="single"/>
        </w:rPr>
        <w:t>galkanezumabem</w:t>
      </w:r>
      <w:proofErr w:type="spellEnd"/>
      <w:r w:rsidR="00CE3656" w:rsidRPr="006A3FA6">
        <w:rPr>
          <w:b/>
          <w:highlight w:val="yellow"/>
          <w:u w:val="single"/>
        </w:rPr>
        <w:t xml:space="preserve"> a ostatními 2 komparátory dle </w:t>
      </w:r>
      <w:r w:rsidR="00CE3656" w:rsidRPr="006A3FA6">
        <w:rPr>
          <w:rFonts w:cstheme="minorHAnsi"/>
          <w:b/>
          <w:highlight w:val="yellow"/>
          <w:u w:val="single"/>
        </w:rPr>
        <w:t>[5]:</w:t>
      </w:r>
    </w:p>
    <w:p w:rsidR="00CE3656" w:rsidRDefault="006A3FA6" w:rsidP="00610624">
      <w:pPr>
        <w:jc w:val="both"/>
      </w:pPr>
      <w:r>
        <w:rPr>
          <w:noProof/>
          <w:lang w:eastAsia="cs-CZ"/>
        </w:rPr>
        <w:drawing>
          <wp:inline distT="0" distB="0" distL="0" distR="0" wp14:anchorId="613EDC28" wp14:editId="4390D7B4">
            <wp:extent cx="7017489" cy="3806456"/>
            <wp:effectExtent l="0" t="0" r="0" b="0"/>
            <wp:docPr id="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4747" cy="3810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4C4" w:rsidRDefault="006D0F1B" w:rsidP="0034343F">
      <w:pPr>
        <w:spacing w:after="0"/>
        <w:jc w:val="both"/>
      </w:pPr>
      <w:proofErr w:type="spellStart"/>
      <w:r w:rsidRPr="0034343F">
        <w:t>Head</w:t>
      </w:r>
      <w:proofErr w:type="spellEnd"/>
      <w:r w:rsidRPr="0034343F">
        <w:t>-to-</w:t>
      </w:r>
      <w:proofErr w:type="spellStart"/>
      <w:r w:rsidRPr="0034343F">
        <w:t>head</w:t>
      </w:r>
      <w:proofErr w:type="spellEnd"/>
      <w:r w:rsidRPr="0034343F">
        <w:t xml:space="preserve"> </w:t>
      </w:r>
      <w:r w:rsidR="00ED14C4" w:rsidRPr="0034343F">
        <w:t>studie</w:t>
      </w:r>
      <w:r w:rsidR="00E50326">
        <w:t xml:space="preserve"> mezi jednotlivými anti-CGRP </w:t>
      </w:r>
      <w:proofErr w:type="spellStart"/>
      <w:r w:rsidR="00E50326">
        <w:t>mAb</w:t>
      </w:r>
      <w:proofErr w:type="spellEnd"/>
      <w:r w:rsidR="00ED14C4" w:rsidRPr="0034343F">
        <w:rPr>
          <w:b/>
        </w:rPr>
        <w:t xml:space="preserve"> </w:t>
      </w:r>
      <w:r w:rsidRPr="0034343F">
        <w:t>nejsou k dispozici, níže uvádím srovnání účinnosti a bezpečnosti výše uved</w:t>
      </w:r>
      <w:r w:rsidR="00ED14C4" w:rsidRPr="0034343F">
        <w:t xml:space="preserve">ených přípravků </w:t>
      </w:r>
      <w:r w:rsidR="0034343F">
        <w:t xml:space="preserve">(společně i s přípravky </w:t>
      </w:r>
      <w:proofErr w:type="gramStart"/>
      <w:r w:rsidR="0034343F">
        <w:t>používanými v 1.linii</w:t>
      </w:r>
      <w:proofErr w:type="gramEnd"/>
      <w:r w:rsidR="0034343F">
        <w:t xml:space="preserve">) </w:t>
      </w:r>
      <w:r w:rsidR="00ED14C4" w:rsidRPr="0034343F">
        <w:t xml:space="preserve">dle </w:t>
      </w:r>
      <w:r w:rsidR="00ED14C4" w:rsidRPr="0034343F">
        <w:rPr>
          <w:b/>
        </w:rPr>
        <w:t>nepřímých srovnání</w:t>
      </w:r>
      <w:r w:rsidR="0034343F" w:rsidRPr="0034343F">
        <w:rPr>
          <w:b/>
        </w:rPr>
        <w:t xml:space="preserve"> jednotlivých RCT</w:t>
      </w:r>
      <w:r w:rsidR="00ED14C4" w:rsidRPr="0034343F">
        <w:rPr>
          <w:b/>
        </w:rPr>
        <w:t xml:space="preserve"> (např. metodou síťové </w:t>
      </w:r>
      <w:proofErr w:type="spellStart"/>
      <w:r w:rsidR="00ED14C4" w:rsidRPr="0034343F">
        <w:rPr>
          <w:b/>
        </w:rPr>
        <w:t>metaanalýzy</w:t>
      </w:r>
      <w:proofErr w:type="spellEnd"/>
      <w:r w:rsidR="00ED14C4" w:rsidRPr="0034343F">
        <w:rPr>
          <w:b/>
        </w:rPr>
        <w:t xml:space="preserve"> (NMA)</w:t>
      </w:r>
      <w:r w:rsidR="00ED14C4" w:rsidRPr="0034343F">
        <w:t xml:space="preserve"> - ta má samozřejmě nižší vypovídající hodnotu než přímo srovnávající randomizovaná studie dle zásad EBM</w:t>
      </w:r>
      <w:r w:rsidR="00E50326">
        <w:t xml:space="preserve"> !!!</w:t>
      </w:r>
      <w:r w:rsidR="00ED14C4" w:rsidRPr="0034343F">
        <w:t xml:space="preserve">). </w:t>
      </w:r>
    </w:p>
    <w:p w:rsidR="00996366" w:rsidRDefault="00996366" w:rsidP="0034343F">
      <w:pPr>
        <w:spacing w:after="0"/>
        <w:jc w:val="both"/>
      </w:pPr>
    </w:p>
    <w:p w:rsidR="00996366" w:rsidRDefault="00996366" w:rsidP="0034343F">
      <w:pPr>
        <w:spacing w:after="0"/>
        <w:jc w:val="both"/>
      </w:pPr>
    </w:p>
    <w:p w:rsidR="0034343F" w:rsidRPr="0034343F" w:rsidRDefault="0034343F" w:rsidP="0034343F">
      <w:pPr>
        <w:spacing w:after="0"/>
        <w:jc w:val="both"/>
        <w:rPr>
          <w:sz w:val="8"/>
          <w:szCs w:val="8"/>
        </w:rPr>
      </w:pPr>
    </w:p>
    <w:p w:rsidR="00C57F8F" w:rsidRPr="0034343F" w:rsidRDefault="0034343F" w:rsidP="00610624">
      <w:pPr>
        <w:spacing w:after="0"/>
        <w:jc w:val="both"/>
        <w:rPr>
          <w:b/>
          <w:u w:val="single"/>
        </w:rPr>
      </w:pPr>
      <w:r>
        <w:t xml:space="preserve">    </w:t>
      </w:r>
      <w:r w:rsidRPr="0034343F">
        <w:rPr>
          <w:b/>
          <w:u w:val="single"/>
        </w:rPr>
        <w:t xml:space="preserve"> </w:t>
      </w:r>
      <w:r w:rsidRPr="0034343F">
        <w:rPr>
          <w:b/>
          <w:highlight w:val="yellow"/>
          <w:u w:val="single"/>
        </w:rPr>
        <w:t xml:space="preserve">NMA pro epizodickou migrénu dle </w:t>
      </w:r>
      <w:r w:rsidRPr="0034343F">
        <w:rPr>
          <w:rFonts w:cstheme="minorHAnsi"/>
          <w:b/>
          <w:highlight w:val="yellow"/>
          <w:u w:val="single"/>
        </w:rPr>
        <w:t>[4]</w:t>
      </w:r>
      <w:r w:rsidR="00610624" w:rsidRPr="0034343F">
        <w:rPr>
          <w:b/>
          <w:highlight w:val="yellow"/>
          <w:u w:val="single"/>
        </w:rPr>
        <w:t>:</w:t>
      </w:r>
    </w:p>
    <w:p w:rsidR="00A35052" w:rsidRDefault="00A35052" w:rsidP="00610624">
      <w:pPr>
        <w:jc w:val="both"/>
      </w:pPr>
      <w:r>
        <w:rPr>
          <w:noProof/>
          <w:lang w:eastAsia="cs-CZ"/>
        </w:rPr>
        <w:drawing>
          <wp:inline distT="0" distB="0" distL="0" distR="0" wp14:anchorId="26AFE0D2" wp14:editId="44509641">
            <wp:extent cx="7378996" cy="454458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3769" cy="454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366" w:rsidRDefault="0073676D" w:rsidP="004A376A">
      <w:pPr>
        <w:spacing w:after="0"/>
        <w:jc w:val="both"/>
      </w:pPr>
      <w:r>
        <w:t xml:space="preserve">   </w:t>
      </w:r>
    </w:p>
    <w:p w:rsidR="00996366" w:rsidRDefault="00996366" w:rsidP="004A376A">
      <w:pPr>
        <w:spacing w:after="0"/>
        <w:jc w:val="both"/>
      </w:pPr>
    </w:p>
    <w:p w:rsidR="00996366" w:rsidRDefault="00996366" w:rsidP="004A376A">
      <w:pPr>
        <w:spacing w:after="0"/>
        <w:jc w:val="both"/>
      </w:pPr>
    </w:p>
    <w:p w:rsidR="00996366" w:rsidRDefault="00996366" w:rsidP="004A376A">
      <w:pPr>
        <w:spacing w:after="0"/>
        <w:jc w:val="both"/>
      </w:pPr>
    </w:p>
    <w:p w:rsidR="00996366" w:rsidRDefault="00996366" w:rsidP="004A376A">
      <w:pPr>
        <w:spacing w:after="0"/>
        <w:jc w:val="both"/>
      </w:pPr>
    </w:p>
    <w:p w:rsidR="00610624" w:rsidRPr="0073676D" w:rsidRDefault="0073676D" w:rsidP="004A376A">
      <w:pPr>
        <w:spacing w:after="0"/>
        <w:jc w:val="both"/>
        <w:rPr>
          <w:b/>
          <w:u w:val="single"/>
        </w:rPr>
      </w:pPr>
      <w:r>
        <w:lastRenderedPageBreak/>
        <w:t xml:space="preserve"> </w:t>
      </w:r>
      <w:r w:rsidRPr="0073676D">
        <w:rPr>
          <w:b/>
          <w:highlight w:val="yellow"/>
          <w:u w:val="single"/>
        </w:rPr>
        <w:t>NMA pro epizodickou migrénu</w:t>
      </w:r>
      <w:r w:rsidR="00C370A2">
        <w:rPr>
          <w:b/>
          <w:highlight w:val="yellow"/>
          <w:u w:val="single"/>
        </w:rPr>
        <w:t xml:space="preserve"> (výsledky pro parametr MMD)</w:t>
      </w:r>
      <w:r w:rsidRPr="0073676D">
        <w:rPr>
          <w:b/>
          <w:highlight w:val="yellow"/>
          <w:u w:val="single"/>
        </w:rPr>
        <w:t xml:space="preserve"> dle </w:t>
      </w:r>
      <w:r w:rsidRPr="0073676D">
        <w:rPr>
          <w:rFonts w:cstheme="minorHAnsi"/>
          <w:b/>
          <w:highlight w:val="yellow"/>
          <w:u w:val="single"/>
        </w:rPr>
        <w:t>[2]</w:t>
      </w:r>
      <w:r w:rsidRPr="0073676D">
        <w:rPr>
          <w:b/>
          <w:highlight w:val="yellow"/>
          <w:u w:val="single"/>
        </w:rPr>
        <w:t>:</w:t>
      </w:r>
    </w:p>
    <w:p w:rsidR="004A376A" w:rsidRDefault="00D70823" w:rsidP="00610624">
      <w:pPr>
        <w:jc w:val="both"/>
      </w:pPr>
      <w:r>
        <w:rPr>
          <w:noProof/>
          <w:lang w:eastAsia="cs-CZ"/>
        </w:rPr>
        <w:drawing>
          <wp:inline distT="0" distB="0" distL="0" distR="0" wp14:anchorId="62A11DC4" wp14:editId="59FFE675">
            <wp:extent cx="7495954" cy="5721177"/>
            <wp:effectExtent l="0" t="0" r="0" b="0"/>
            <wp:docPr id="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005" cy="5722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09E" w:rsidRPr="0034343F" w:rsidRDefault="00A1709E" w:rsidP="00A1709E">
      <w:pPr>
        <w:spacing w:after="0"/>
        <w:jc w:val="both"/>
        <w:rPr>
          <w:b/>
          <w:u w:val="single"/>
        </w:rPr>
      </w:pPr>
      <w:r>
        <w:lastRenderedPageBreak/>
        <w:t xml:space="preserve">      </w:t>
      </w:r>
      <w:r w:rsidRPr="0034343F">
        <w:rPr>
          <w:b/>
          <w:u w:val="single"/>
        </w:rPr>
        <w:t xml:space="preserve"> </w:t>
      </w:r>
      <w:r w:rsidRPr="0034343F">
        <w:rPr>
          <w:b/>
          <w:highlight w:val="yellow"/>
          <w:u w:val="single"/>
        </w:rPr>
        <w:t xml:space="preserve">NMA pro </w:t>
      </w:r>
      <w:r>
        <w:rPr>
          <w:b/>
          <w:highlight w:val="yellow"/>
          <w:u w:val="single"/>
        </w:rPr>
        <w:t xml:space="preserve">chronickou </w:t>
      </w:r>
      <w:r w:rsidRPr="0034343F">
        <w:rPr>
          <w:b/>
          <w:highlight w:val="yellow"/>
          <w:u w:val="single"/>
        </w:rPr>
        <w:t xml:space="preserve">migrénu dle </w:t>
      </w:r>
      <w:r w:rsidRPr="0034343F">
        <w:rPr>
          <w:rFonts w:cstheme="minorHAnsi"/>
          <w:b/>
          <w:highlight w:val="yellow"/>
          <w:u w:val="single"/>
        </w:rPr>
        <w:t>[4]</w:t>
      </w:r>
      <w:r w:rsidRPr="0034343F">
        <w:rPr>
          <w:b/>
          <w:highlight w:val="yellow"/>
          <w:u w:val="single"/>
        </w:rPr>
        <w:t>:</w:t>
      </w:r>
    </w:p>
    <w:p w:rsidR="0034343F" w:rsidRDefault="0034343F" w:rsidP="00610624">
      <w:pPr>
        <w:jc w:val="both"/>
      </w:pPr>
      <w:r w:rsidRPr="0034343F">
        <w:rPr>
          <w:noProof/>
          <w:lang w:eastAsia="cs-CZ"/>
        </w:rPr>
        <w:drawing>
          <wp:inline distT="0" distB="0" distL="0" distR="0" wp14:anchorId="4938F2D1" wp14:editId="28C80D60">
            <wp:extent cx="6974958" cy="2551813"/>
            <wp:effectExtent l="0" t="0" r="0" b="0"/>
            <wp:docPr id="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923" cy="2554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366" w:rsidRPr="00996366" w:rsidRDefault="0006388F" w:rsidP="0006388F">
      <w:pPr>
        <w:spacing w:after="0"/>
        <w:jc w:val="both"/>
        <w:rPr>
          <w:b/>
          <w:sz w:val="16"/>
          <w:szCs w:val="16"/>
        </w:rPr>
      </w:pPr>
      <w:r w:rsidRPr="0006388F">
        <w:rPr>
          <w:b/>
        </w:rPr>
        <w:t xml:space="preserve">   </w:t>
      </w:r>
    </w:p>
    <w:p w:rsidR="00A1709E" w:rsidRDefault="0006388F" w:rsidP="0006388F">
      <w:pPr>
        <w:spacing w:after="0"/>
        <w:jc w:val="both"/>
        <w:rPr>
          <w:noProof/>
          <w:lang w:eastAsia="cs-CZ"/>
        </w:rPr>
      </w:pPr>
      <w:r w:rsidRPr="0006388F">
        <w:rPr>
          <w:b/>
        </w:rPr>
        <w:t xml:space="preserve">   </w:t>
      </w:r>
      <w:r w:rsidR="0001337A">
        <w:rPr>
          <w:b/>
          <w:highlight w:val="yellow"/>
          <w:u w:val="single"/>
        </w:rPr>
        <w:t xml:space="preserve">NMA </w:t>
      </w:r>
      <w:r>
        <w:rPr>
          <w:b/>
          <w:highlight w:val="yellow"/>
          <w:u w:val="single"/>
        </w:rPr>
        <w:t xml:space="preserve">týkající se </w:t>
      </w:r>
      <w:r w:rsidR="0001337A">
        <w:rPr>
          <w:b/>
          <w:highlight w:val="yellow"/>
          <w:u w:val="single"/>
        </w:rPr>
        <w:t>závažných NÚ</w:t>
      </w:r>
      <w:r w:rsidRPr="0034343F">
        <w:rPr>
          <w:b/>
          <w:highlight w:val="yellow"/>
          <w:u w:val="single"/>
        </w:rPr>
        <w:t xml:space="preserve"> dle</w:t>
      </w:r>
      <w:r w:rsidR="0001337A">
        <w:rPr>
          <w:b/>
          <w:highlight w:val="yellow"/>
          <w:u w:val="single"/>
        </w:rPr>
        <w:t xml:space="preserve"> </w:t>
      </w:r>
      <w:r w:rsidRPr="0034343F">
        <w:rPr>
          <w:rFonts w:cstheme="minorHAnsi"/>
          <w:b/>
          <w:highlight w:val="yellow"/>
          <w:u w:val="single"/>
        </w:rPr>
        <w:t>[</w:t>
      </w:r>
      <w:r w:rsidR="0001337A">
        <w:rPr>
          <w:rFonts w:cstheme="minorHAnsi"/>
          <w:b/>
          <w:highlight w:val="yellow"/>
          <w:u w:val="single"/>
        </w:rPr>
        <w:t>4</w:t>
      </w:r>
      <w:r w:rsidRPr="0034343F">
        <w:rPr>
          <w:rFonts w:cstheme="minorHAnsi"/>
          <w:b/>
          <w:highlight w:val="yellow"/>
          <w:u w:val="single"/>
        </w:rPr>
        <w:t>]</w:t>
      </w:r>
      <w:r w:rsidRPr="0034343F">
        <w:rPr>
          <w:b/>
          <w:highlight w:val="yellow"/>
          <w:u w:val="single"/>
        </w:rPr>
        <w:t>:</w:t>
      </w:r>
    </w:p>
    <w:p w:rsidR="00A1709E" w:rsidRDefault="0001337A" w:rsidP="00610624">
      <w:pPr>
        <w:jc w:val="both"/>
      </w:pPr>
      <w:r>
        <w:rPr>
          <w:noProof/>
          <w:lang w:eastAsia="cs-CZ"/>
        </w:rPr>
        <w:drawing>
          <wp:inline distT="0" distB="0" distL="0" distR="0" wp14:anchorId="1DB5E05D" wp14:editId="656D0402">
            <wp:extent cx="7240772" cy="2977116"/>
            <wp:effectExtent l="0" t="0" r="0" b="0"/>
            <wp:docPr id="12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7546" cy="2979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463" w:rsidRDefault="00655F99" w:rsidP="00AF4CEA">
      <w:pPr>
        <w:spacing w:after="0"/>
        <w:jc w:val="both"/>
      </w:pPr>
      <w:r>
        <w:rPr>
          <w:noProof/>
          <w:lang w:eastAsia="cs-CZ"/>
        </w:rPr>
        <w:lastRenderedPageBreak/>
        <w:pict>
          <v:rect id="_x0000_s1026" style="position:absolute;left:0;text-align:left;margin-left:11.85pt;margin-top:.8pt;width:709.45pt;height:75.55pt;z-index:251658240">
            <v:textbox>
              <w:txbxContent>
                <w:p w:rsidR="001D282A" w:rsidRPr="001D282A" w:rsidRDefault="001D282A" w:rsidP="001D282A">
                  <w:pPr>
                    <w:spacing w:after="0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1D282A">
                    <w:rPr>
                      <w:b/>
                      <w:sz w:val="24"/>
                      <w:szCs w:val="24"/>
                      <w:highlight w:val="yellow"/>
                      <w:u w:val="single"/>
                    </w:rPr>
                    <w:t xml:space="preserve">Závěr týkající se srovnání účinnosti a bezpečnosti </w:t>
                  </w:r>
                  <w:proofErr w:type="spellStart"/>
                  <w:r w:rsidRPr="001D282A">
                    <w:rPr>
                      <w:b/>
                      <w:sz w:val="24"/>
                      <w:szCs w:val="24"/>
                      <w:highlight w:val="yellow"/>
                      <w:u w:val="single"/>
                    </w:rPr>
                    <w:t>gal</w:t>
                  </w:r>
                  <w:r w:rsidR="00861EDB">
                    <w:rPr>
                      <w:b/>
                      <w:sz w:val="24"/>
                      <w:szCs w:val="24"/>
                      <w:highlight w:val="yellow"/>
                      <w:u w:val="single"/>
                    </w:rPr>
                    <w:t>k</w:t>
                  </w:r>
                  <w:r w:rsidRPr="001D282A">
                    <w:rPr>
                      <w:b/>
                      <w:sz w:val="24"/>
                      <w:szCs w:val="24"/>
                      <w:highlight w:val="yellow"/>
                      <w:u w:val="single"/>
                    </w:rPr>
                    <w:t>anezumabu</w:t>
                  </w:r>
                  <w:proofErr w:type="spellEnd"/>
                  <w:r w:rsidRPr="001D282A">
                    <w:rPr>
                      <w:b/>
                      <w:sz w:val="24"/>
                      <w:szCs w:val="24"/>
                      <w:highlight w:val="yellow"/>
                      <w:u w:val="single"/>
                    </w:rPr>
                    <w:t xml:space="preserve"> s komparátory:</w:t>
                  </w:r>
                </w:p>
                <w:p w:rsidR="001D282A" w:rsidRPr="001D282A" w:rsidRDefault="001D282A" w:rsidP="001D282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D282A">
                    <w:rPr>
                      <w:b/>
                      <w:sz w:val="24"/>
                      <w:szCs w:val="24"/>
                    </w:rPr>
                    <w:t xml:space="preserve">Dle výše uvedených dat lze na základě aktuálního stavu vědeckého poznání konstatovat obdobnou účinnost a bezpečnost </w:t>
                  </w:r>
                  <w:proofErr w:type="spellStart"/>
                  <w:r w:rsidRPr="001D282A">
                    <w:rPr>
                      <w:b/>
                      <w:sz w:val="24"/>
                      <w:szCs w:val="24"/>
                    </w:rPr>
                    <w:t>gal</w:t>
                  </w:r>
                  <w:r w:rsidR="00996366">
                    <w:rPr>
                      <w:b/>
                      <w:sz w:val="24"/>
                      <w:szCs w:val="24"/>
                    </w:rPr>
                    <w:t>k</w:t>
                  </w:r>
                  <w:r w:rsidRPr="001D282A">
                    <w:rPr>
                      <w:b/>
                      <w:sz w:val="24"/>
                      <w:szCs w:val="24"/>
                    </w:rPr>
                    <w:t>anezumabu</w:t>
                  </w:r>
                  <w:proofErr w:type="spellEnd"/>
                  <w:r w:rsidRPr="001D282A">
                    <w:rPr>
                      <w:b/>
                      <w:sz w:val="24"/>
                      <w:szCs w:val="24"/>
                    </w:rPr>
                    <w:t xml:space="preserve"> s </w:t>
                  </w:r>
                  <w:proofErr w:type="spellStart"/>
                  <w:r w:rsidRPr="001D282A">
                    <w:rPr>
                      <w:b/>
                      <w:sz w:val="24"/>
                      <w:szCs w:val="24"/>
                    </w:rPr>
                    <w:t>erenumabem</w:t>
                  </w:r>
                  <w:proofErr w:type="spellEnd"/>
                  <w:r w:rsidRPr="001D282A">
                    <w:rPr>
                      <w:b/>
                      <w:sz w:val="24"/>
                      <w:szCs w:val="24"/>
                    </w:rPr>
                    <w:t xml:space="preserve"> a </w:t>
                  </w:r>
                  <w:proofErr w:type="spellStart"/>
                  <w:r w:rsidRPr="001D282A">
                    <w:rPr>
                      <w:b/>
                      <w:sz w:val="24"/>
                      <w:szCs w:val="24"/>
                    </w:rPr>
                    <w:t>fremanezumabem</w:t>
                  </w:r>
                  <w:proofErr w:type="spellEnd"/>
                  <w:r w:rsidRPr="001D282A">
                    <w:rPr>
                      <w:b/>
                      <w:sz w:val="24"/>
                      <w:szCs w:val="24"/>
                    </w:rPr>
                    <w:t xml:space="preserve">. SUKL </w:t>
                  </w:r>
                  <w:r w:rsidRPr="00CF3084">
                    <w:rPr>
                      <w:rFonts w:cstheme="minorHAnsi"/>
                      <w:b/>
                      <w:sz w:val="24"/>
                      <w:szCs w:val="24"/>
                    </w:rPr>
                    <w:t>[5]</w:t>
                  </w:r>
                  <w:r w:rsidR="00CF3084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Pr="001D282A">
                    <w:rPr>
                      <w:rFonts w:cstheme="minorHAnsi"/>
                      <w:b/>
                      <w:sz w:val="24"/>
                      <w:szCs w:val="24"/>
                    </w:rPr>
                    <w:t xml:space="preserve">také hodnotí </w:t>
                  </w:r>
                  <w:proofErr w:type="spellStart"/>
                  <w:r w:rsidRPr="001D282A">
                    <w:rPr>
                      <w:rFonts w:cstheme="minorHAnsi"/>
                      <w:b/>
                      <w:sz w:val="24"/>
                      <w:szCs w:val="24"/>
                    </w:rPr>
                    <w:t>gal</w:t>
                  </w:r>
                  <w:r w:rsidR="00996366">
                    <w:rPr>
                      <w:rFonts w:cstheme="minorHAnsi"/>
                      <w:b/>
                      <w:sz w:val="24"/>
                      <w:szCs w:val="24"/>
                    </w:rPr>
                    <w:t>k</w:t>
                  </w:r>
                  <w:r w:rsidRPr="001D282A">
                    <w:rPr>
                      <w:rFonts w:cstheme="minorHAnsi"/>
                      <w:b/>
                      <w:sz w:val="24"/>
                      <w:szCs w:val="24"/>
                    </w:rPr>
                    <w:t>anezumab</w:t>
                  </w:r>
                  <w:proofErr w:type="spellEnd"/>
                  <w:r w:rsidRPr="001D282A">
                    <w:rPr>
                      <w:rFonts w:cstheme="minorHAnsi"/>
                      <w:b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1D282A">
                    <w:rPr>
                      <w:rFonts w:cstheme="minorHAnsi"/>
                      <w:b/>
                      <w:sz w:val="24"/>
                      <w:szCs w:val="24"/>
                    </w:rPr>
                    <w:t>Emgality</w:t>
                  </w:r>
                  <w:proofErr w:type="spellEnd"/>
                  <w:r w:rsidRPr="001D282A">
                    <w:rPr>
                      <w:rFonts w:cstheme="minorHAnsi"/>
                      <w:b/>
                      <w:sz w:val="24"/>
                      <w:szCs w:val="24"/>
                    </w:rPr>
                    <w:t>) jako v zásadě terapeuticky zaměnitelný s </w:t>
                  </w:r>
                  <w:proofErr w:type="spellStart"/>
                  <w:r w:rsidRPr="001D282A">
                    <w:rPr>
                      <w:rFonts w:cstheme="minorHAnsi"/>
                      <w:b/>
                      <w:sz w:val="24"/>
                      <w:szCs w:val="24"/>
                    </w:rPr>
                    <w:t>erenumabem</w:t>
                  </w:r>
                  <w:proofErr w:type="spellEnd"/>
                  <w:r w:rsidRPr="001D282A">
                    <w:rPr>
                      <w:rFonts w:cstheme="minorHAnsi"/>
                      <w:b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1D282A">
                    <w:rPr>
                      <w:rFonts w:cstheme="minorHAnsi"/>
                      <w:b/>
                      <w:sz w:val="24"/>
                      <w:szCs w:val="24"/>
                    </w:rPr>
                    <w:t>Aimovig</w:t>
                  </w:r>
                  <w:proofErr w:type="spellEnd"/>
                  <w:r w:rsidRPr="001D282A">
                    <w:rPr>
                      <w:rFonts w:cstheme="minorHAnsi"/>
                      <w:b/>
                      <w:sz w:val="24"/>
                      <w:szCs w:val="24"/>
                    </w:rPr>
                    <w:t xml:space="preserve">) a  </w:t>
                  </w:r>
                  <w:proofErr w:type="spellStart"/>
                  <w:r w:rsidRPr="001D282A">
                    <w:rPr>
                      <w:rFonts w:cstheme="minorHAnsi"/>
                      <w:b/>
                      <w:sz w:val="24"/>
                      <w:szCs w:val="24"/>
                    </w:rPr>
                    <w:t>fremanezumabem</w:t>
                  </w:r>
                  <w:proofErr w:type="spellEnd"/>
                  <w:r w:rsidRPr="001D282A">
                    <w:rPr>
                      <w:rFonts w:cstheme="minorHAnsi"/>
                      <w:b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1D282A">
                    <w:rPr>
                      <w:rFonts w:cstheme="minorHAnsi"/>
                      <w:b/>
                      <w:sz w:val="24"/>
                      <w:szCs w:val="24"/>
                    </w:rPr>
                    <w:t>Ajovy</w:t>
                  </w:r>
                  <w:proofErr w:type="spellEnd"/>
                  <w:r w:rsidRPr="001D282A">
                    <w:rPr>
                      <w:rFonts w:cstheme="minorHAnsi"/>
                      <w:b/>
                      <w:sz w:val="24"/>
                      <w:szCs w:val="24"/>
                    </w:rPr>
                    <w:t>).</w:t>
                  </w:r>
                </w:p>
              </w:txbxContent>
            </v:textbox>
          </v:rect>
        </w:pict>
      </w:r>
    </w:p>
    <w:p w:rsidR="001D282A" w:rsidRDefault="001D282A" w:rsidP="00AF4CEA">
      <w:pPr>
        <w:spacing w:after="0"/>
        <w:jc w:val="both"/>
      </w:pPr>
    </w:p>
    <w:p w:rsidR="001D282A" w:rsidRDefault="001D282A" w:rsidP="00AF4CEA">
      <w:pPr>
        <w:spacing w:after="0"/>
        <w:jc w:val="both"/>
      </w:pPr>
    </w:p>
    <w:p w:rsidR="001C3463" w:rsidRDefault="001C3463" w:rsidP="00AF4CEA">
      <w:pPr>
        <w:spacing w:after="0"/>
        <w:jc w:val="both"/>
      </w:pPr>
    </w:p>
    <w:p w:rsidR="001D282A" w:rsidRDefault="001D282A" w:rsidP="00AF4CEA">
      <w:pPr>
        <w:spacing w:after="0"/>
        <w:jc w:val="both"/>
      </w:pPr>
    </w:p>
    <w:p w:rsidR="001D282A" w:rsidRDefault="001D282A" w:rsidP="00AF4CEA">
      <w:pPr>
        <w:spacing w:after="0"/>
        <w:jc w:val="both"/>
      </w:pPr>
    </w:p>
    <w:p w:rsidR="00736306" w:rsidRDefault="00736306" w:rsidP="00AF4CEA">
      <w:pPr>
        <w:spacing w:after="0"/>
        <w:jc w:val="both"/>
      </w:pPr>
    </w:p>
    <w:p w:rsidR="00C65065" w:rsidRDefault="00C65065" w:rsidP="00AF4CEA">
      <w:pPr>
        <w:spacing w:after="0"/>
        <w:jc w:val="both"/>
      </w:pPr>
    </w:p>
    <w:p w:rsidR="00C65065" w:rsidRDefault="00C65065" w:rsidP="00AF4CEA">
      <w:pPr>
        <w:spacing w:after="0"/>
        <w:jc w:val="both"/>
      </w:pPr>
    </w:p>
    <w:p w:rsidR="001D282A" w:rsidRPr="00EB3C1D" w:rsidRDefault="00736306" w:rsidP="00736306">
      <w:pPr>
        <w:pStyle w:val="Odstavecseseznamem"/>
        <w:numPr>
          <w:ilvl w:val="0"/>
          <w:numId w:val="5"/>
        </w:numPr>
        <w:spacing w:after="0"/>
        <w:jc w:val="both"/>
        <w:rPr>
          <w:b/>
          <w:sz w:val="28"/>
          <w:szCs w:val="28"/>
          <w:u w:val="single"/>
        </w:rPr>
      </w:pPr>
      <w:r w:rsidRPr="00EB3C1D">
        <w:rPr>
          <w:b/>
          <w:sz w:val="28"/>
          <w:szCs w:val="28"/>
          <w:u w:val="single"/>
        </w:rPr>
        <w:t>Far</w:t>
      </w:r>
      <w:r w:rsidR="00EB3C1D" w:rsidRPr="00EB3C1D">
        <w:rPr>
          <w:b/>
          <w:sz w:val="28"/>
          <w:szCs w:val="28"/>
          <w:u w:val="single"/>
        </w:rPr>
        <w:t>makoekonomická analýza</w:t>
      </w:r>
    </w:p>
    <w:p w:rsidR="001D282A" w:rsidRDefault="00EB3C1D" w:rsidP="00AF4CEA">
      <w:pPr>
        <w:spacing w:after="0"/>
        <w:jc w:val="both"/>
      </w:pPr>
      <w:r>
        <w:rPr>
          <w:sz w:val="20"/>
          <w:szCs w:val="20"/>
          <w:u w:val="single"/>
        </w:rPr>
        <w:t>Použitý model</w:t>
      </w:r>
      <w:r w:rsidR="00996366">
        <w:rPr>
          <w:sz w:val="20"/>
          <w:szCs w:val="20"/>
        </w:rPr>
        <w:t xml:space="preserve"> – CMN (tj. minimalizace nákladů)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  <w:u w:val="single"/>
        </w:rPr>
        <w:t>Diskontace</w:t>
      </w:r>
      <w:proofErr w:type="spellEnd"/>
      <w:r>
        <w:rPr>
          <w:sz w:val="20"/>
          <w:szCs w:val="20"/>
        </w:rPr>
        <w:t xml:space="preserve"> – nebyla použita, </w:t>
      </w:r>
      <w:r>
        <w:rPr>
          <w:sz w:val="20"/>
          <w:szCs w:val="20"/>
          <w:u w:val="single"/>
        </w:rPr>
        <w:t>Analýza senzitivity</w:t>
      </w:r>
      <w:r>
        <w:rPr>
          <w:sz w:val="20"/>
          <w:szCs w:val="20"/>
        </w:rPr>
        <w:t xml:space="preserve"> – nebyla použita, </w:t>
      </w:r>
      <w:r>
        <w:rPr>
          <w:sz w:val="20"/>
          <w:szCs w:val="20"/>
          <w:u w:val="single"/>
        </w:rPr>
        <w:t>Časový horizont</w:t>
      </w:r>
      <w:r>
        <w:rPr>
          <w:sz w:val="20"/>
          <w:szCs w:val="20"/>
        </w:rPr>
        <w:t>: první rok léčby</w:t>
      </w:r>
      <w:r w:rsidR="00996366">
        <w:rPr>
          <w:sz w:val="20"/>
          <w:szCs w:val="20"/>
        </w:rPr>
        <w:t xml:space="preserve"> a další roky léčby</w:t>
      </w:r>
    </w:p>
    <w:p w:rsidR="00996366" w:rsidRPr="00996366" w:rsidRDefault="00996366" w:rsidP="00AF4CEA">
      <w:pPr>
        <w:spacing w:after="0"/>
        <w:jc w:val="both"/>
        <w:rPr>
          <w:sz w:val="12"/>
          <w:szCs w:val="12"/>
        </w:rPr>
      </w:pPr>
    </w:p>
    <w:p w:rsidR="001D282A" w:rsidRPr="00996366" w:rsidRDefault="00996366" w:rsidP="00AF4CEA">
      <w:pPr>
        <w:spacing w:after="0"/>
        <w:jc w:val="both"/>
        <w:rPr>
          <w:b/>
          <w:u w:val="single"/>
        </w:rPr>
      </w:pPr>
      <w:r w:rsidRPr="00996366">
        <w:rPr>
          <w:b/>
          <w:highlight w:val="yellow"/>
          <w:u w:val="single"/>
        </w:rPr>
        <w:t>Výsledky:</w:t>
      </w:r>
    </w:p>
    <w:p w:rsidR="00996366" w:rsidRDefault="00230263" w:rsidP="00AF4CEA">
      <w:pPr>
        <w:spacing w:after="0"/>
        <w:jc w:val="both"/>
      </w:pPr>
      <w:r>
        <w:rPr>
          <w:noProof/>
          <w:lang w:eastAsia="cs-CZ"/>
        </w:rPr>
        <w:drawing>
          <wp:inline distT="0" distB="0" distL="0" distR="0">
            <wp:extent cx="9483505" cy="29051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5155" cy="290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366" w:rsidRDefault="00230263" w:rsidP="00AF4CEA">
      <w:pPr>
        <w:spacing w:after="0"/>
        <w:jc w:val="both"/>
      </w:pPr>
      <w:r>
        <w:rPr>
          <w:noProof/>
          <w:lang w:eastAsia="cs-CZ"/>
        </w:rPr>
        <w:drawing>
          <wp:inline distT="0" distB="0" distL="0" distR="0">
            <wp:extent cx="5210175" cy="58102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C1D" w:rsidRDefault="00EB3C1D" w:rsidP="00AF4CEA">
      <w:pPr>
        <w:spacing w:after="0"/>
        <w:jc w:val="both"/>
      </w:pPr>
    </w:p>
    <w:p w:rsidR="00EB3C1D" w:rsidRPr="00E20B8C" w:rsidRDefault="004B7A20" w:rsidP="00AF4CEA">
      <w:pPr>
        <w:spacing w:after="0"/>
        <w:jc w:val="both"/>
        <w:rPr>
          <w:b/>
          <w:u w:val="single"/>
        </w:rPr>
      </w:pPr>
      <w:r w:rsidRPr="00E20B8C">
        <w:rPr>
          <w:b/>
          <w:highlight w:val="yellow"/>
          <w:u w:val="single"/>
        </w:rPr>
        <w:lastRenderedPageBreak/>
        <w:t xml:space="preserve">Doplnění </w:t>
      </w:r>
      <w:r w:rsidR="00164A0E">
        <w:rPr>
          <w:b/>
          <w:highlight w:val="yellow"/>
          <w:u w:val="single"/>
        </w:rPr>
        <w:t xml:space="preserve">výsledků </w:t>
      </w:r>
      <w:r w:rsidRPr="00E20B8C">
        <w:rPr>
          <w:b/>
          <w:highlight w:val="yellow"/>
          <w:u w:val="single"/>
        </w:rPr>
        <w:t>CUA dle lékových regulačních agentur</w:t>
      </w:r>
      <w:r w:rsidR="000F5C28">
        <w:rPr>
          <w:b/>
          <w:highlight w:val="yellow"/>
          <w:u w:val="single"/>
        </w:rPr>
        <w:t xml:space="preserve"> a dalších zdrojů</w:t>
      </w:r>
      <w:r w:rsidRPr="00E20B8C">
        <w:rPr>
          <w:b/>
          <w:highlight w:val="yellow"/>
          <w:u w:val="single"/>
        </w:rPr>
        <w:t>:</w:t>
      </w:r>
    </w:p>
    <w:p w:rsidR="00E20B8C" w:rsidRDefault="004B7A20" w:rsidP="00AF4CEA">
      <w:pPr>
        <w:spacing w:after="0"/>
        <w:jc w:val="both"/>
      </w:pPr>
      <w:r>
        <w:t>Jako 1. přípravek z</w:t>
      </w:r>
      <w:r w:rsidR="00164A0E">
        <w:t> </w:t>
      </w:r>
      <w:r>
        <w:t>anti</w:t>
      </w:r>
      <w:r w:rsidR="00164A0E">
        <w:t>-</w:t>
      </w:r>
      <w:r>
        <w:t xml:space="preserve">CGRP </w:t>
      </w:r>
      <w:proofErr w:type="spellStart"/>
      <w:r>
        <w:t>mAb</w:t>
      </w:r>
      <w:proofErr w:type="spellEnd"/>
      <w:r>
        <w:t xml:space="preserve"> byl v ČR hrazen </w:t>
      </w:r>
      <w:proofErr w:type="spellStart"/>
      <w:r>
        <w:t>erenumab</w:t>
      </w:r>
      <w:proofErr w:type="spellEnd"/>
      <w:r>
        <w:t xml:space="preserve"> (přípravek </w:t>
      </w:r>
      <w:proofErr w:type="spellStart"/>
      <w:r>
        <w:t>Aimovig</w:t>
      </w:r>
      <w:proofErr w:type="spellEnd"/>
      <w:r>
        <w:t>)</w:t>
      </w:r>
      <w:r w:rsidR="00E717AF">
        <w:t xml:space="preserve"> – k němu jsem našel výsledky CUA</w:t>
      </w:r>
      <w:r>
        <w:t xml:space="preserve">. </w:t>
      </w:r>
      <w:r w:rsidRPr="00843148">
        <w:rPr>
          <w:b/>
        </w:rPr>
        <w:t>Vzhledem k obdobné účinnosti a bezpečnosti všech tří aktuálně hrazených anti</w:t>
      </w:r>
      <w:r w:rsidR="00164A0E">
        <w:rPr>
          <w:b/>
        </w:rPr>
        <w:t>-</w:t>
      </w:r>
      <w:r w:rsidRPr="00843148">
        <w:rPr>
          <w:b/>
        </w:rPr>
        <w:t xml:space="preserve">CGRP </w:t>
      </w:r>
      <w:proofErr w:type="spellStart"/>
      <w:r w:rsidRPr="00843148">
        <w:rPr>
          <w:b/>
        </w:rPr>
        <w:t>mAb</w:t>
      </w:r>
      <w:proofErr w:type="spellEnd"/>
      <w:r w:rsidRPr="00843148">
        <w:rPr>
          <w:b/>
        </w:rPr>
        <w:t xml:space="preserve"> lze předpokládat obdobný přínos QALY (rok života v plné kvalitě – dle CUA) všech tří an</w:t>
      </w:r>
      <w:r w:rsidR="00164A0E">
        <w:rPr>
          <w:b/>
        </w:rPr>
        <w:t>ti-</w:t>
      </w:r>
      <w:r w:rsidRPr="00843148">
        <w:rPr>
          <w:b/>
        </w:rPr>
        <w:t xml:space="preserve">CGRP </w:t>
      </w:r>
      <w:proofErr w:type="spellStart"/>
      <w:r w:rsidRPr="00843148">
        <w:rPr>
          <w:b/>
        </w:rPr>
        <w:t>mAb</w:t>
      </w:r>
      <w:proofErr w:type="spellEnd"/>
      <w:r w:rsidRPr="00843148">
        <w:rPr>
          <w:b/>
        </w:rPr>
        <w:t xml:space="preserve"> vůči nejlepší podpůrné péči (dále jen „BSC“)</w:t>
      </w:r>
      <w:r w:rsidR="00E717AF" w:rsidRPr="00843148">
        <w:rPr>
          <w:b/>
        </w:rPr>
        <w:t>.</w:t>
      </w:r>
      <w:r w:rsidR="00E717AF">
        <w:t xml:space="preserve"> </w:t>
      </w:r>
      <w:r w:rsidR="00E20B8C">
        <w:t xml:space="preserve"> </w:t>
      </w:r>
    </w:p>
    <w:p w:rsidR="004B7A20" w:rsidRDefault="00E20B8C" w:rsidP="00AF4CEA">
      <w:pPr>
        <w:spacing w:after="0"/>
        <w:jc w:val="both"/>
        <w:rPr>
          <w:rFonts w:cstheme="minorHAnsi"/>
        </w:rPr>
      </w:pPr>
      <w:r>
        <w:t xml:space="preserve">SUKL v ČR </w:t>
      </w:r>
      <w:r w:rsidRPr="00A53783">
        <w:rPr>
          <w:rFonts w:cstheme="minorHAnsi"/>
        </w:rPr>
        <w:t>[</w:t>
      </w:r>
      <w:r>
        <w:rPr>
          <w:rFonts w:cstheme="minorHAnsi"/>
        </w:rPr>
        <w:t>6</w:t>
      </w:r>
      <w:r w:rsidRPr="00A53783">
        <w:rPr>
          <w:rFonts w:cstheme="minorHAnsi"/>
        </w:rPr>
        <w:t>]</w:t>
      </w:r>
      <w:r>
        <w:rPr>
          <w:rFonts w:cstheme="minorHAnsi"/>
        </w:rPr>
        <w:t xml:space="preserve"> i irský NCPE </w:t>
      </w:r>
      <w:r w:rsidRPr="00A53783">
        <w:rPr>
          <w:rFonts w:cstheme="minorHAnsi"/>
        </w:rPr>
        <w:t>[</w:t>
      </w:r>
      <w:r>
        <w:rPr>
          <w:rFonts w:cstheme="minorHAnsi"/>
        </w:rPr>
        <w:t>7</w:t>
      </w:r>
      <w:r w:rsidRPr="00A53783">
        <w:rPr>
          <w:rFonts w:cstheme="minorHAnsi"/>
        </w:rPr>
        <w:t>]</w:t>
      </w:r>
      <w:r>
        <w:rPr>
          <w:rFonts w:cstheme="minorHAnsi"/>
        </w:rPr>
        <w:t xml:space="preserve"> použili u </w:t>
      </w:r>
      <w:proofErr w:type="spellStart"/>
      <w:r>
        <w:rPr>
          <w:rFonts w:cstheme="minorHAnsi"/>
        </w:rPr>
        <w:t>erenumabu</w:t>
      </w:r>
      <w:proofErr w:type="spellEnd"/>
      <w:r>
        <w:rPr>
          <w:rFonts w:cstheme="minorHAnsi"/>
        </w:rPr>
        <w:t xml:space="preserve"> jako CUA </w:t>
      </w:r>
      <w:r w:rsidR="00883737">
        <w:rPr>
          <w:rFonts w:cstheme="minorHAnsi"/>
        </w:rPr>
        <w:t xml:space="preserve">stejný </w:t>
      </w:r>
      <w:r>
        <w:rPr>
          <w:rFonts w:cstheme="minorHAnsi"/>
        </w:rPr>
        <w:t>model:</w:t>
      </w:r>
    </w:p>
    <w:p w:rsidR="00883737" w:rsidRPr="00883737" w:rsidRDefault="00883737" w:rsidP="00883737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883737">
        <w:rPr>
          <w:sz w:val="22"/>
          <w:szCs w:val="22"/>
        </w:rPr>
        <w:t xml:space="preserve">Cílová populace: dospělí pacienti trpící migrénou nejméně 4 dny v měsíci a kteří selhali na předchozích dvou profylaktických terapiích </w:t>
      </w:r>
    </w:p>
    <w:p w:rsidR="00883737" w:rsidRPr="00883737" w:rsidRDefault="00883737" w:rsidP="00883737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Časový horizont: 10 let</w:t>
      </w:r>
    </w:p>
    <w:p w:rsidR="00E20B8C" w:rsidRPr="00883737" w:rsidRDefault="00883737" w:rsidP="00E20B8C">
      <w:pPr>
        <w:pStyle w:val="Odstavecseseznamem"/>
        <w:numPr>
          <w:ilvl w:val="0"/>
          <w:numId w:val="1"/>
        </w:numPr>
        <w:spacing w:after="0"/>
        <w:jc w:val="both"/>
      </w:pPr>
      <w:r>
        <w:t>Komparátor: BSC (analgetika</w:t>
      </w:r>
      <w:r w:rsidR="00164A0E">
        <w:t xml:space="preserve"> </w:t>
      </w:r>
      <w:r>
        <w:t>+</w:t>
      </w:r>
      <w:r w:rsidR="00164A0E">
        <w:t xml:space="preserve"> </w:t>
      </w:r>
      <w:proofErr w:type="spellStart"/>
      <w:r>
        <w:t>triptany</w:t>
      </w:r>
      <w:proofErr w:type="spellEnd"/>
      <w:r>
        <w:t>)</w:t>
      </w:r>
    </w:p>
    <w:p w:rsidR="00230263" w:rsidRPr="00843148" w:rsidRDefault="006E769E" w:rsidP="00AF4CEA">
      <w:pPr>
        <w:spacing w:after="0"/>
        <w:jc w:val="both"/>
        <w:rPr>
          <w:highlight w:val="yellow"/>
          <w:u w:val="single"/>
        </w:rPr>
      </w:pPr>
      <w:r w:rsidRPr="00843148">
        <w:rPr>
          <w:highlight w:val="yellow"/>
          <w:u w:val="single"/>
        </w:rPr>
        <w:t>Výsledky:</w:t>
      </w:r>
    </w:p>
    <w:p w:rsidR="006E769E" w:rsidRPr="00843148" w:rsidRDefault="006E769E" w:rsidP="006E769E">
      <w:pPr>
        <w:pStyle w:val="Odstavecseseznamem"/>
        <w:numPr>
          <w:ilvl w:val="0"/>
          <w:numId w:val="1"/>
        </w:numPr>
        <w:spacing w:after="0"/>
        <w:jc w:val="both"/>
        <w:rPr>
          <w:highlight w:val="yellow"/>
        </w:rPr>
      </w:pPr>
      <w:proofErr w:type="spellStart"/>
      <w:r w:rsidRPr="00843148">
        <w:rPr>
          <w:highlight w:val="yellow"/>
        </w:rPr>
        <w:t>Incremental</w:t>
      </w:r>
      <w:proofErr w:type="spellEnd"/>
      <w:r w:rsidRPr="00843148">
        <w:rPr>
          <w:highlight w:val="yellow"/>
        </w:rPr>
        <w:t xml:space="preserve"> QALY pro </w:t>
      </w:r>
      <w:proofErr w:type="spellStart"/>
      <w:r w:rsidRPr="00843148">
        <w:rPr>
          <w:highlight w:val="yellow"/>
        </w:rPr>
        <w:t>erenumab</w:t>
      </w:r>
      <w:proofErr w:type="spellEnd"/>
      <w:r w:rsidRPr="00843148">
        <w:rPr>
          <w:highlight w:val="yellow"/>
        </w:rPr>
        <w:t xml:space="preserve"> 140mg/4 týdny vůči BSC </w:t>
      </w:r>
      <w:r w:rsidRPr="007E4749">
        <w:rPr>
          <w:b/>
          <w:highlight w:val="yellow"/>
        </w:rPr>
        <w:t xml:space="preserve">u chronické </w:t>
      </w:r>
      <w:proofErr w:type="gramStart"/>
      <w:r w:rsidRPr="007E4749">
        <w:rPr>
          <w:b/>
          <w:highlight w:val="yellow"/>
        </w:rPr>
        <w:t>migrény</w:t>
      </w:r>
      <w:r w:rsidRPr="00843148">
        <w:rPr>
          <w:highlight w:val="yellow"/>
        </w:rPr>
        <w:t xml:space="preserve"> </w:t>
      </w:r>
      <w:r w:rsidRPr="00843148">
        <w:rPr>
          <w:rFonts w:cstheme="minorHAnsi"/>
          <w:highlight w:val="yellow"/>
        </w:rPr>
        <w:t>[7]</w:t>
      </w:r>
      <w:r w:rsidRPr="00843148">
        <w:rPr>
          <w:rFonts w:cstheme="minorHAnsi"/>
          <w:highlight w:val="yellow"/>
        </w:rPr>
        <w:t xml:space="preserve">:  </w:t>
      </w:r>
      <w:r w:rsidRPr="007E4749">
        <w:rPr>
          <w:rFonts w:cstheme="minorHAnsi"/>
          <w:b/>
          <w:highlight w:val="yellow"/>
        </w:rPr>
        <w:t>0,42</w:t>
      </w:r>
      <w:proofErr w:type="gramEnd"/>
      <w:r w:rsidRPr="007E4749">
        <w:rPr>
          <w:rFonts w:cstheme="minorHAnsi"/>
          <w:b/>
          <w:highlight w:val="yellow"/>
        </w:rPr>
        <w:t xml:space="preserve"> QALY</w:t>
      </w:r>
    </w:p>
    <w:p w:rsidR="006E769E" w:rsidRPr="00843148" w:rsidRDefault="006E769E" w:rsidP="006E769E">
      <w:pPr>
        <w:pStyle w:val="Odstavecseseznamem"/>
        <w:numPr>
          <w:ilvl w:val="0"/>
          <w:numId w:val="1"/>
        </w:numPr>
        <w:spacing w:after="0"/>
        <w:jc w:val="both"/>
        <w:rPr>
          <w:highlight w:val="yellow"/>
        </w:rPr>
      </w:pPr>
      <w:proofErr w:type="spellStart"/>
      <w:r w:rsidRPr="00843148">
        <w:rPr>
          <w:highlight w:val="yellow"/>
        </w:rPr>
        <w:t>Incremental</w:t>
      </w:r>
      <w:proofErr w:type="spellEnd"/>
      <w:r w:rsidRPr="00843148">
        <w:rPr>
          <w:highlight w:val="yellow"/>
        </w:rPr>
        <w:t xml:space="preserve"> QALY pro </w:t>
      </w:r>
      <w:proofErr w:type="spellStart"/>
      <w:r w:rsidRPr="00843148">
        <w:rPr>
          <w:highlight w:val="yellow"/>
        </w:rPr>
        <w:t>erenumab</w:t>
      </w:r>
      <w:proofErr w:type="spellEnd"/>
      <w:r w:rsidRPr="00843148">
        <w:rPr>
          <w:highlight w:val="yellow"/>
        </w:rPr>
        <w:t xml:space="preserve"> 140mg/4 týdny vůči BSC </w:t>
      </w:r>
      <w:r w:rsidRPr="007E4749">
        <w:rPr>
          <w:b/>
          <w:highlight w:val="yellow"/>
        </w:rPr>
        <w:t xml:space="preserve">u </w:t>
      </w:r>
      <w:r w:rsidRPr="007E4749">
        <w:rPr>
          <w:b/>
          <w:highlight w:val="yellow"/>
        </w:rPr>
        <w:t>epizodické</w:t>
      </w:r>
      <w:r w:rsidRPr="007E4749">
        <w:rPr>
          <w:b/>
          <w:highlight w:val="yellow"/>
        </w:rPr>
        <w:t xml:space="preserve"> migrény</w:t>
      </w:r>
      <w:r w:rsidRPr="00843148">
        <w:rPr>
          <w:highlight w:val="yellow"/>
        </w:rPr>
        <w:t xml:space="preserve"> </w:t>
      </w:r>
      <w:r w:rsidRPr="00843148">
        <w:rPr>
          <w:rFonts w:cstheme="minorHAnsi"/>
          <w:highlight w:val="yellow"/>
        </w:rPr>
        <w:t>[7]:</w:t>
      </w:r>
      <w:r w:rsidRPr="00843148">
        <w:rPr>
          <w:rFonts w:cstheme="minorHAnsi"/>
          <w:highlight w:val="yellow"/>
        </w:rPr>
        <w:t xml:space="preserve"> </w:t>
      </w:r>
      <w:r w:rsidRPr="007E4749">
        <w:rPr>
          <w:rFonts w:cstheme="minorHAnsi"/>
          <w:b/>
          <w:highlight w:val="yellow"/>
        </w:rPr>
        <w:t>0,17 QALY</w:t>
      </w:r>
    </w:p>
    <w:p w:rsidR="006E769E" w:rsidRPr="007A0429" w:rsidRDefault="006E769E" w:rsidP="006E769E">
      <w:pPr>
        <w:pStyle w:val="Odstavecseseznamem"/>
        <w:numPr>
          <w:ilvl w:val="0"/>
          <w:numId w:val="1"/>
        </w:numPr>
        <w:spacing w:after="0"/>
        <w:jc w:val="both"/>
        <w:rPr>
          <w:b/>
          <w:highlight w:val="yellow"/>
        </w:rPr>
      </w:pPr>
      <w:r w:rsidRPr="007E4749">
        <w:rPr>
          <w:rFonts w:cstheme="minorHAnsi"/>
          <w:b/>
          <w:highlight w:val="yellow"/>
        </w:rPr>
        <w:t xml:space="preserve">ICUR pro </w:t>
      </w:r>
      <w:proofErr w:type="spellStart"/>
      <w:r w:rsidRPr="007E4749">
        <w:rPr>
          <w:rFonts w:cstheme="minorHAnsi"/>
          <w:b/>
          <w:highlight w:val="yellow"/>
        </w:rPr>
        <w:t>erenumab</w:t>
      </w:r>
      <w:proofErr w:type="spellEnd"/>
      <w:r w:rsidRPr="00843148">
        <w:rPr>
          <w:rFonts w:cstheme="minorHAnsi"/>
          <w:highlight w:val="yellow"/>
        </w:rPr>
        <w:t xml:space="preserve"> (SUKL kalkuloval </w:t>
      </w:r>
      <w:r w:rsidRPr="007E4749">
        <w:rPr>
          <w:rFonts w:cstheme="minorHAnsi"/>
          <w:b/>
          <w:highlight w:val="yellow"/>
        </w:rPr>
        <w:t xml:space="preserve">cenu za </w:t>
      </w:r>
      <w:proofErr w:type="spellStart"/>
      <w:r w:rsidRPr="007E4749">
        <w:rPr>
          <w:rFonts w:cstheme="minorHAnsi"/>
          <w:b/>
          <w:highlight w:val="yellow"/>
        </w:rPr>
        <w:t>Aimovig</w:t>
      </w:r>
      <w:proofErr w:type="spellEnd"/>
      <w:r w:rsidRPr="007E4749">
        <w:rPr>
          <w:rFonts w:cstheme="minorHAnsi"/>
          <w:b/>
          <w:highlight w:val="yellow"/>
        </w:rPr>
        <w:t xml:space="preserve"> 140mg 1 </w:t>
      </w:r>
      <w:proofErr w:type="spellStart"/>
      <w:r w:rsidRPr="007E4749">
        <w:rPr>
          <w:rFonts w:cstheme="minorHAnsi"/>
          <w:b/>
          <w:highlight w:val="yellow"/>
        </w:rPr>
        <w:t>inj</w:t>
      </w:r>
      <w:proofErr w:type="spellEnd"/>
      <w:r w:rsidRPr="007E4749">
        <w:rPr>
          <w:rFonts w:cstheme="minorHAnsi"/>
          <w:b/>
          <w:highlight w:val="yellow"/>
        </w:rPr>
        <w:t>.</w:t>
      </w:r>
      <w:r w:rsidR="00164A0E">
        <w:rPr>
          <w:rFonts w:cstheme="minorHAnsi"/>
          <w:b/>
          <w:highlight w:val="yellow"/>
        </w:rPr>
        <w:t xml:space="preserve"> </w:t>
      </w:r>
      <w:r w:rsidRPr="007E4749">
        <w:rPr>
          <w:rFonts w:cstheme="minorHAnsi"/>
          <w:b/>
          <w:highlight w:val="yellow"/>
        </w:rPr>
        <w:t>za 12.882,71 Kč</w:t>
      </w:r>
      <w:r w:rsidRPr="00843148">
        <w:rPr>
          <w:rFonts w:cstheme="minorHAnsi"/>
          <w:highlight w:val="yellow"/>
        </w:rPr>
        <w:t>) vůči BSC</w:t>
      </w:r>
      <w:r w:rsidR="00843148" w:rsidRPr="00843148">
        <w:rPr>
          <w:rFonts w:cstheme="minorHAnsi"/>
          <w:highlight w:val="yellow"/>
        </w:rPr>
        <w:t xml:space="preserve"> v profy</w:t>
      </w:r>
      <w:r w:rsidR="00164A0E">
        <w:rPr>
          <w:rFonts w:cstheme="minorHAnsi"/>
          <w:highlight w:val="yellow"/>
        </w:rPr>
        <w:t>laxi</w:t>
      </w:r>
      <w:r w:rsidR="00843148" w:rsidRPr="00843148">
        <w:rPr>
          <w:rFonts w:cstheme="minorHAnsi"/>
          <w:highlight w:val="yellow"/>
        </w:rPr>
        <w:t xml:space="preserve"> migrény u výše uvedené cílové </w:t>
      </w:r>
      <w:proofErr w:type="gramStart"/>
      <w:r w:rsidR="00843148" w:rsidRPr="00843148">
        <w:rPr>
          <w:rFonts w:cstheme="minorHAnsi"/>
          <w:highlight w:val="yellow"/>
        </w:rPr>
        <w:t>populace</w:t>
      </w:r>
      <w:r w:rsidR="00843148" w:rsidRPr="00843148">
        <w:rPr>
          <w:rFonts w:cstheme="minorHAnsi"/>
          <w:highlight w:val="yellow"/>
        </w:rPr>
        <w:t>[6]</w:t>
      </w:r>
      <w:r w:rsidR="00843148" w:rsidRPr="00843148">
        <w:rPr>
          <w:rFonts w:cstheme="minorHAnsi"/>
          <w:highlight w:val="yellow"/>
        </w:rPr>
        <w:t xml:space="preserve">:  </w:t>
      </w:r>
      <w:r w:rsidR="00843148" w:rsidRPr="007E4749">
        <w:rPr>
          <w:rFonts w:cstheme="minorHAnsi"/>
          <w:b/>
          <w:highlight w:val="yellow"/>
        </w:rPr>
        <w:t>1.120.595</w:t>
      </w:r>
      <w:proofErr w:type="gramEnd"/>
      <w:r w:rsidR="00843148" w:rsidRPr="007E4749">
        <w:rPr>
          <w:rFonts w:cstheme="minorHAnsi"/>
          <w:b/>
          <w:highlight w:val="yellow"/>
        </w:rPr>
        <w:t xml:space="preserve"> Kč/QALY</w:t>
      </w:r>
      <w:r w:rsidR="007E4749">
        <w:rPr>
          <w:rFonts w:cstheme="minorHAnsi"/>
          <w:b/>
          <w:highlight w:val="yellow"/>
        </w:rPr>
        <w:t xml:space="preserve"> – při naší ceně 10.621,60 Kč za balení by ICUR činil cca 920.000 Kč/QALY  (tj. vynaložíme 920.000 Kč navíc za 1 rok života v plné kvalitě navíc při použití </w:t>
      </w:r>
      <w:proofErr w:type="spellStart"/>
      <w:r w:rsidR="007E4749">
        <w:rPr>
          <w:rFonts w:cstheme="minorHAnsi"/>
          <w:b/>
          <w:highlight w:val="yellow"/>
        </w:rPr>
        <w:t>erenumabu</w:t>
      </w:r>
      <w:proofErr w:type="spellEnd"/>
      <w:r w:rsidR="007E4749">
        <w:rPr>
          <w:rFonts w:cstheme="minorHAnsi"/>
          <w:b/>
          <w:highlight w:val="yellow"/>
        </w:rPr>
        <w:t xml:space="preserve"> vůči BSC (tj. analgetika</w:t>
      </w:r>
      <w:r w:rsidR="00164A0E">
        <w:rPr>
          <w:rFonts w:cstheme="minorHAnsi"/>
          <w:b/>
          <w:highlight w:val="yellow"/>
        </w:rPr>
        <w:t xml:space="preserve"> </w:t>
      </w:r>
      <w:r w:rsidR="007E4749">
        <w:rPr>
          <w:rFonts w:cstheme="minorHAnsi"/>
          <w:b/>
          <w:highlight w:val="yellow"/>
        </w:rPr>
        <w:t>+</w:t>
      </w:r>
      <w:r w:rsidR="00164A0E">
        <w:rPr>
          <w:rFonts w:cstheme="minorHAnsi"/>
          <w:b/>
          <w:highlight w:val="yellow"/>
        </w:rPr>
        <w:t xml:space="preserve"> </w:t>
      </w:r>
      <w:proofErr w:type="spellStart"/>
      <w:r w:rsidR="007E4749">
        <w:rPr>
          <w:rFonts w:cstheme="minorHAnsi"/>
          <w:b/>
          <w:highlight w:val="yellow"/>
        </w:rPr>
        <w:t>triptany</w:t>
      </w:r>
      <w:proofErr w:type="spellEnd"/>
      <w:r w:rsidR="007E4749">
        <w:rPr>
          <w:rFonts w:cstheme="minorHAnsi"/>
          <w:b/>
          <w:highlight w:val="yellow"/>
        </w:rPr>
        <w:t>)</w:t>
      </w:r>
      <w:r w:rsidR="00391F6B">
        <w:rPr>
          <w:rFonts w:cstheme="minorHAnsi"/>
          <w:b/>
          <w:highlight w:val="yellow"/>
        </w:rPr>
        <w:t xml:space="preserve"> v časovém horizontu 10 let)</w:t>
      </w:r>
      <w:r w:rsidR="007E4749">
        <w:rPr>
          <w:rFonts w:cstheme="minorHAnsi"/>
          <w:b/>
          <w:highlight w:val="yellow"/>
        </w:rPr>
        <w:t>.</w:t>
      </w:r>
    </w:p>
    <w:p w:rsidR="007A0429" w:rsidRPr="000F5C28" w:rsidRDefault="007A0429" w:rsidP="007A0429">
      <w:pPr>
        <w:spacing w:after="0"/>
        <w:jc w:val="both"/>
        <w:rPr>
          <w:sz w:val="8"/>
          <w:szCs w:val="8"/>
          <w:highlight w:val="yellow"/>
        </w:rPr>
      </w:pPr>
    </w:p>
    <w:p w:rsidR="00230263" w:rsidRDefault="00F167BC" w:rsidP="00AF4CEA">
      <w:pPr>
        <w:spacing w:after="0"/>
        <w:jc w:val="both"/>
      </w:pPr>
      <w:r>
        <w:t xml:space="preserve">Z pohledu cen za léčbu NÚ ve Španělsku byla publikována studie </w:t>
      </w:r>
      <w:r w:rsidRPr="00A53783">
        <w:rPr>
          <w:rFonts w:cstheme="minorHAnsi"/>
        </w:rPr>
        <w:t>[</w:t>
      </w:r>
      <w:r>
        <w:rPr>
          <w:rFonts w:cstheme="minorHAnsi"/>
        </w:rPr>
        <w:t>8</w:t>
      </w:r>
      <w:r w:rsidRPr="00A53783">
        <w:rPr>
          <w:rFonts w:cstheme="minorHAnsi"/>
        </w:rPr>
        <w:t>]</w:t>
      </w:r>
      <w:r>
        <w:rPr>
          <w:rFonts w:cstheme="minorHAnsi"/>
        </w:rPr>
        <w:t xml:space="preserve"> </w:t>
      </w:r>
      <w:r>
        <w:t>nákladů za NÚ spojené s léčbou anti</w:t>
      </w:r>
      <w:r w:rsidR="00164A0E">
        <w:t>-</w:t>
      </w:r>
      <w:r>
        <w:t xml:space="preserve">CGRP </w:t>
      </w:r>
      <w:proofErr w:type="spellStart"/>
      <w:r>
        <w:t>mAb</w:t>
      </w:r>
      <w:proofErr w:type="spellEnd"/>
      <w:r w:rsidR="00024D65">
        <w:t xml:space="preserve"> z časového horizontu 12 týdnů.</w:t>
      </w:r>
    </w:p>
    <w:p w:rsidR="000F5C28" w:rsidRPr="000F5C28" w:rsidRDefault="000F5C28" w:rsidP="00AF4CEA">
      <w:pPr>
        <w:spacing w:after="0"/>
        <w:jc w:val="both"/>
        <w:rPr>
          <w:u w:val="single"/>
        </w:rPr>
      </w:pPr>
      <w:r>
        <w:t xml:space="preserve">          </w:t>
      </w:r>
      <w:r w:rsidRPr="000F5C28">
        <w:rPr>
          <w:highlight w:val="yellow"/>
          <w:u w:val="single"/>
        </w:rPr>
        <w:t>Výsledky</w:t>
      </w:r>
      <w:r w:rsidRPr="000F5C28">
        <w:rPr>
          <w:rFonts w:cstheme="minorHAnsi"/>
          <w:highlight w:val="yellow"/>
          <w:u w:val="single"/>
        </w:rPr>
        <w:t>[8]</w:t>
      </w:r>
      <w:r w:rsidRPr="000F5C28">
        <w:rPr>
          <w:highlight w:val="yellow"/>
          <w:u w:val="single"/>
        </w:rPr>
        <w:t>:</w:t>
      </w:r>
    </w:p>
    <w:p w:rsidR="000F5C28" w:rsidRDefault="000F5C28" w:rsidP="00AF4CEA">
      <w:pPr>
        <w:spacing w:after="0"/>
        <w:jc w:val="both"/>
      </w:pPr>
      <w:r>
        <w:rPr>
          <w:noProof/>
          <w:lang w:eastAsia="cs-CZ"/>
        </w:rPr>
        <w:drawing>
          <wp:inline distT="0" distB="0" distL="0" distR="0">
            <wp:extent cx="9494874" cy="2987749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5155" cy="2987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263" w:rsidRDefault="00024D65" w:rsidP="00024D65">
      <w:pPr>
        <w:spacing w:after="0"/>
        <w:ind w:firstLine="708"/>
        <w:jc w:val="both"/>
        <w:rPr>
          <w:u w:val="single"/>
        </w:rPr>
      </w:pPr>
      <w:r w:rsidRPr="000F5C28">
        <w:rPr>
          <w:highlight w:val="yellow"/>
          <w:u w:val="single"/>
        </w:rPr>
        <w:lastRenderedPageBreak/>
        <w:t>Výsledky</w:t>
      </w:r>
      <w:r w:rsidRPr="000F5C28">
        <w:rPr>
          <w:rFonts w:cstheme="minorHAnsi"/>
          <w:highlight w:val="yellow"/>
          <w:u w:val="single"/>
        </w:rPr>
        <w:t>[8]</w:t>
      </w:r>
      <w:r w:rsidRPr="000F5C28">
        <w:rPr>
          <w:highlight w:val="yellow"/>
          <w:u w:val="single"/>
        </w:rPr>
        <w:t>:</w:t>
      </w:r>
    </w:p>
    <w:p w:rsidR="00024D65" w:rsidRDefault="00024D65" w:rsidP="00024D65">
      <w:pPr>
        <w:spacing w:after="0"/>
        <w:jc w:val="both"/>
      </w:pPr>
      <w:r>
        <w:rPr>
          <w:noProof/>
          <w:lang w:eastAsia="cs-CZ"/>
        </w:rPr>
        <w:drawing>
          <wp:inline distT="0" distB="0" distL="0" distR="0">
            <wp:extent cx="7172325" cy="265747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7522" cy="2659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C28" w:rsidRDefault="000F5C28" w:rsidP="00AF4CEA">
      <w:pPr>
        <w:spacing w:after="0"/>
        <w:jc w:val="both"/>
      </w:pPr>
    </w:p>
    <w:p w:rsidR="000F5C28" w:rsidRDefault="00F3277C" w:rsidP="00AF4CEA">
      <w:pPr>
        <w:spacing w:after="0"/>
        <w:jc w:val="both"/>
      </w:pPr>
      <w:r>
        <w:rPr>
          <w:noProof/>
          <w:lang w:eastAsia="cs-CZ"/>
        </w:rPr>
        <w:pict>
          <v:rect id="_x0000_s1028" style="position:absolute;left:0;text-align:left;margin-left:4.65pt;margin-top:.3pt;width:761.05pt;height:205.5pt;z-index:251659264" strokeweight="2pt">
            <v:textbox>
              <w:txbxContent>
                <w:p w:rsidR="00024D65" w:rsidRPr="00F3277C" w:rsidRDefault="0009255F" w:rsidP="00024D65">
                  <w:pPr>
                    <w:spacing w:after="0"/>
                    <w:rPr>
                      <w:b/>
                      <w:sz w:val="32"/>
                      <w:szCs w:val="32"/>
                      <w:u w:val="single"/>
                    </w:rPr>
                  </w:pPr>
                  <w:r w:rsidRPr="00F3277C">
                    <w:rPr>
                      <w:b/>
                      <w:sz w:val="32"/>
                      <w:szCs w:val="32"/>
                      <w:highlight w:val="yellow"/>
                      <w:u w:val="single"/>
                    </w:rPr>
                    <w:t>Závěr</w:t>
                  </w:r>
                  <w:r w:rsidR="00024D65" w:rsidRPr="00F3277C">
                    <w:rPr>
                      <w:b/>
                      <w:sz w:val="32"/>
                      <w:szCs w:val="32"/>
                      <w:highlight w:val="yellow"/>
                      <w:u w:val="single"/>
                    </w:rPr>
                    <w:t>:</w:t>
                  </w:r>
                </w:p>
                <w:p w:rsidR="00024D65" w:rsidRDefault="0009255F" w:rsidP="00F32019">
                  <w:pPr>
                    <w:spacing w:after="0"/>
                    <w:jc w:val="both"/>
                    <w:rPr>
                      <w:rFonts w:cstheme="minorHAnsi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cstheme="minorHAnsi"/>
                      <w:b/>
                      <w:sz w:val="28"/>
                      <w:szCs w:val="28"/>
                    </w:rPr>
                    <w:t>G</w:t>
                  </w:r>
                  <w:r w:rsidR="00024D65" w:rsidRPr="0009255F">
                    <w:rPr>
                      <w:rFonts w:cstheme="minorHAnsi"/>
                      <w:b/>
                      <w:sz w:val="28"/>
                      <w:szCs w:val="28"/>
                    </w:rPr>
                    <w:t>alkanezumab</w:t>
                  </w:r>
                  <w:proofErr w:type="spellEnd"/>
                  <w:r w:rsidR="00024D65" w:rsidRPr="0009255F">
                    <w:rPr>
                      <w:rFonts w:cstheme="minorHAnsi"/>
                      <w:b/>
                      <w:sz w:val="28"/>
                      <w:szCs w:val="28"/>
                    </w:rPr>
                    <w:t xml:space="preserve"> (</w:t>
                  </w:r>
                  <w:proofErr w:type="spellStart"/>
                  <w:r w:rsidR="00024D65" w:rsidRPr="0009255F">
                    <w:rPr>
                      <w:rFonts w:cstheme="minorHAnsi"/>
                      <w:b/>
                      <w:sz w:val="28"/>
                      <w:szCs w:val="28"/>
                    </w:rPr>
                    <w:t>Emgality</w:t>
                  </w:r>
                  <w:proofErr w:type="spellEnd"/>
                  <w:r w:rsidR="00024D65" w:rsidRPr="0009255F">
                    <w:rPr>
                      <w:rFonts w:cstheme="minorHAnsi"/>
                      <w:b/>
                      <w:sz w:val="28"/>
                      <w:szCs w:val="28"/>
                    </w:rPr>
                    <w:t xml:space="preserve">) </w:t>
                  </w:r>
                  <w:r>
                    <w:rPr>
                      <w:rFonts w:cstheme="minorHAnsi"/>
                      <w:b/>
                      <w:sz w:val="28"/>
                      <w:szCs w:val="28"/>
                    </w:rPr>
                    <w:t>je z hlediska účinnosti a bezpečnosti</w:t>
                  </w:r>
                  <w:r w:rsidR="00024D65" w:rsidRPr="0009255F">
                    <w:rPr>
                      <w:rFonts w:cstheme="minorHAnsi"/>
                      <w:b/>
                      <w:sz w:val="28"/>
                      <w:szCs w:val="28"/>
                    </w:rPr>
                    <w:t xml:space="preserve"> v zásadě terapeuticky zaměnitelný s </w:t>
                  </w:r>
                  <w:proofErr w:type="spellStart"/>
                  <w:r w:rsidR="00024D65" w:rsidRPr="0009255F">
                    <w:rPr>
                      <w:rFonts w:cstheme="minorHAnsi"/>
                      <w:b/>
                      <w:sz w:val="28"/>
                      <w:szCs w:val="28"/>
                    </w:rPr>
                    <w:t>erenumabem</w:t>
                  </w:r>
                  <w:proofErr w:type="spellEnd"/>
                  <w:r w:rsidR="00024D65" w:rsidRPr="0009255F">
                    <w:rPr>
                      <w:rFonts w:cstheme="minorHAnsi"/>
                      <w:b/>
                      <w:sz w:val="28"/>
                      <w:szCs w:val="28"/>
                    </w:rPr>
                    <w:t xml:space="preserve"> (</w:t>
                  </w:r>
                  <w:proofErr w:type="spellStart"/>
                  <w:r w:rsidR="00024D65" w:rsidRPr="0009255F">
                    <w:rPr>
                      <w:rFonts w:cstheme="minorHAnsi"/>
                      <w:b/>
                      <w:sz w:val="28"/>
                      <w:szCs w:val="28"/>
                    </w:rPr>
                    <w:t>Aimovig</w:t>
                  </w:r>
                  <w:proofErr w:type="spellEnd"/>
                  <w:r w:rsidR="00024D65" w:rsidRPr="0009255F">
                    <w:rPr>
                      <w:rFonts w:cstheme="minorHAnsi"/>
                      <w:b/>
                      <w:sz w:val="28"/>
                      <w:szCs w:val="28"/>
                    </w:rPr>
                    <w:t xml:space="preserve">) a  </w:t>
                  </w:r>
                  <w:proofErr w:type="spellStart"/>
                  <w:r w:rsidR="00024D65" w:rsidRPr="0009255F">
                    <w:rPr>
                      <w:rFonts w:cstheme="minorHAnsi"/>
                      <w:b/>
                      <w:sz w:val="28"/>
                      <w:szCs w:val="28"/>
                    </w:rPr>
                    <w:t>fremanezumabem</w:t>
                  </w:r>
                  <w:proofErr w:type="spellEnd"/>
                  <w:r w:rsidR="00024D65" w:rsidRPr="0009255F">
                    <w:rPr>
                      <w:rFonts w:cstheme="minorHAnsi"/>
                      <w:b/>
                      <w:sz w:val="28"/>
                      <w:szCs w:val="28"/>
                    </w:rPr>
                    <w:t xml:space="preserve"> (</w:t>
                  </w:r>
                  <w:proofErr w:type="spellStart"/>
                  <w:r w:rsidR="00024D65" w:rsidRPr="0009255F">
                    <w:rPr>
                      <w:rFonts w:cstheme="minorHAnsi"/>
                      <w:b/>
                      <w:sz w:val="28"/>
                      <w:szCs w:val="28"/>
                    </w:rPr>
                    <w:t>Ajovy</w:t>
                  </w:r>
                  <w:proofErr w:type="spellEnd"/>
                  <w:r w:rsidR="00024D65" w:rsidRPr="0009255F">
                    <w:rPr>
                      <w:rFonts w:cstheme="minorHAnsi"/>
                      <w:b/>
                      <w:sz w:val="28"/>
                      <w:szCs w:val="28"/>
                    </w:rPr>
                    <w:t>).</w:t>
                  </w:r>
                  <w:r>
                    <w:rPr>
                      <w:rFonts w:cstheme="minorHAnsi"/>
                      <w:b/>
                      <w:sz w:val="28"/>
                      <w:szCs w:val="28"/>
                    </w:rPr>
                    <w:t xml:space="preserve"> Dle aktuálních cen pro FNOL jsou roční náklady na léčbu nejnižší u </w:t>
                  </w:r>
                  <w:proofErr w:type="spellStart"/>
                  <w:r>
                    <w:rPr>
                      <w:rFonts w:cstheme="minorHAnsi"/>
                      <w:b/>
                      <w:sz w:val="28"/>
                      <w:szCs w:val="28"/>
                    </w:rPr>
                    <w:t>Emgality</w:t>
                  </w:r>
                  <w:proofErr w:type="spellEnd"/>
                  <w:r>
                    <w:rPr>
                      <w:rFonts w:cstheme="minorHAnsi"/>
                      <w:b/>
                      <w:sz w:val="28"/>
                      <w:szCs w:val="28"/>
                    </w:rPr>
                    <w:t xml:space="preserve"> – 127.806 Kč za 1. rok léčby a 117.975 Kč za další roky. Cena </w:t>
                  </w:r>
                  <w:proofErr w:type="spellStart"/>
                  <w:r>
                    <w:rPr>
                      <w:rFonts w:cstheme="minorHAnsi"/>
                      <w:b/>
                      <w:sz w:val="28"/>
                      <w:szCs w:val="28"/>
                    </w:rPr>
                    <w:t>Emgality</w:t>
                  </w:r>
                  <w:proofErr w:type="spellEnd"/>
                  <w:r>
                    <w:rPr>
                      <w:rFonts w:cstheme="minorHAnsi"/>
                      <w:b/>
                      <w:sz w:val="28"/>
                      <w:szCs w:val="28"/>
                    </w:rPr>
                    <w:t xml:space="preserve"> za roční léčbu je nyní cca o 10.000 Kč (za 1. rok), resp. o 20.000 Kč (za další roky) </w:t>
                  </w:r>
                  <w:r w:rsidR="00906E3C">
                    <w:rPr>
                      <w:rFonts w:cstheme="minorHAnsi"/>
                      <w:b/>
                      <w:sz w:val="28"/>
                      <w:szCs w:val="28"/>
                    </w:rPr>
                    <w:t>nižší</w:t>
                  </w:r>
                  <w:r>
                    <w:rPr>
                      <w:rFonts w:cstheme="minorHAnsi"/>
                      <w:b/>
                      <w:sz w:val="28"/>
                      <w:szCs w:val="28"/>
                    </w:rPr>
                    <w:t xml:space="preserve"> než léčba </w:t>
                  </w:r>
                  <w:proofErr w:type="spellStart"/>
                  <w:r>
                    <w:rPr>
                      <w:rFonts w:cstheme="minorHAnsi"/>
                      <w:b/>
                      <w:sz w:val="28"/>
                      <w:szCs w:val="28"/>
                    </w:rPr>
                    <w:t>Amovig</w:t>
                  </w:r>
                  <w:proofErr w:type="spellEnd"/>
                  <w:r>
                    <w:rPr>
                      <w:rFonts w:cstheme="minorHAnsi"/>
                      <w:b/>
                      <w:sz w:val="28"/>
                      <w:szCs w:val="28"/>
                    </w:rPr>
                    <w:t xml:space="preserve"> či </w:t>
                  </w:r>
                  <w:proofErr w:type="spellStart"/>
                  <w:proofErr w:type="gramStart"/>
                  <w:r>
                    <w:rPr>
                      <w:rFonts w:cstheme="minorHAnsi"/>
                      <w:b/>
                      <w:sz w:val="28"/>
                      <w:szCs w:val="28"/>
                    </w:rPr>
                    <w:t>Ajovy</w:t>
                  </w:r>
                  <w:proofErr w:type="spellEnd"/>
                  <w:r>
                    <w:rPr>
                      <w:rFonts w:cstheme="minorHAnsi"/>
                      <w:b/>
                      <w:sz w:val="28"/>
                      <w:szCs w:val="28"/>
                    </w:rPr>
                    <w:t xml:space="preserve"> !   ICUR</w:t>
                  </w:r>
                  <w:proofErr w:type="gramEnd"/>
                  <w:r>
                    <w:rPr>
                      <w:rFonts w:cstheme="minorHAnsi"/>
                      <w:b/>
                      <w:sz w:val="28"/>
                      <w:szCs w:val="28"/>
                    </w:rPr>
                    <w:t xml:space="preserve"> pro všechny tři anti-CGRP </w:t>
                  </w:r>
                  <w:proofErr w:type="spellStart"/>
                  <w:r>
                    <w:rPr>
                      <w:rFonts w:cstheme="minorHAnsi"/>
                      <w:b/>
                      <w:sz w:val="28"/>
                      <w:szCs w:val="28"/>
                    </w:rPr>
                    <w:t>mAb</w:t>
                  </w:r>
                  <w:proofErr w:type="spellEnd"/>
                  <w:r>
                    <w:rPr>
                      <w:rFonts w:cstheme="minorHAnsi"/>
                      <w:b/>
                      <w:sz w:val="28"/>
                      <w:szCs w:val="28"/>
                    </w:rPr>
                    <w:t xml:space="preserve"> vůči BSC (tj. analgetika</w:t>
                  </w:r>
                  <w:r w:rsidR="004F6245">
                    <w:rPr>
                      <w:rFonts w:cstheme="minorHAnsi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28"/>
                      <w:szCs w:val="28"/>
                    </w:rPr>
                    <w:t>+</w:t>
                  </w:r>
                  <w:r w:rsidR="004F6245">
                    <w:rPr>
                      <w:rFonts w:cstheme="minorHAnsi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b/>
                      <w:sz w:val="28"/>
                      <w:szCs w:val="28"/>
                    </w:rPr>
                    <w:t>triptany</w:t>
                  </w:r>
                  <w:proofErr w:type="spellEnd"/>
                  <w:r>
                    <w:rPr>
                      <w:rFonts w:cstheme="minorHAnsi"/>
                      <w:b/>
                      <w:sz w:val="28"/>
                      <w:szCs w:val="28"/>
                    </w:rPr>
                    <w:t xml:space="preserve"> - viz výše) se z 10ti letého časového horizontu bude pravděpodobně pohybovat mezi 920.000 Kč ± 150.000 Kč.</w:t>
                  </w:r>
                </w:p>
                <w:p w:rsidR="00906E3C" w:rsidRDefault="00F32019" w:rsidP="004F6245">
                  <w:pPr>
                    <w:spacing w:after="0"/>
                    <w:jc w:val="both"/>
                    <w:rPr>
                      <w:rFonts w:cstheme="minorHAnsi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cstheme="minorHAnsi"/>
                      <w:b/>
                      <w:sz w:val="28"/>
                      <w:szCs w:val="28"/>
                    </w:rPr>
                    <w:t>Ajovy</w:t>
                  </w:r>
                  <w:proofErr w:type="spellEnd"/>
                  <w:r>
                    <w:rPr>
                      <w:rFonts w:cstheme="minorHAnsi"/>
                      <w:b/>
                      <w:sz w:val="28"/>
                      <w:szCs w:val="28"/>
                    </w:rPr>
                    <w:t xml:space="preserve"> vůči </w:t>
                  </w:r>
                  <w:proofErr w:type="spellStart"/>
                  <w:r>
                    <w:rPr>
                      <w:rFonts w:cstheme="minorHAnsi"/>
                      <w:b/>
                      <w:sz w:val="28"/>
                      <w:szCs w:val="28"/>
                    </w:rPr>
                    <w:t>Emgality</w:t>
                  </w:r>
                  <w:proofErr w:type="spellEnd"/>
                  <w:r w:rsidR="00906E3C">
                    <w:rPr>
                      <w:rFonts w:cstheme="minorHAnsi"/>
                      <w:b/>
                      <w:sz w:val="28"/>
                      <w:szCs w:val="28"/>
                    </w:rPr>
                    <w:t xml:space="preserve"> (i vůči </w:t>
                  </w:r>
                  <w:proofErr w:type="spellStart"/>
                  <w:r w:rsidR="00906E3C">
                    <w:rPr>
                      <w:rFonts w:cstheme="minorHAnsi"/>
                      <w:b/>
                      <w:sz w:val="28"/>
                      <w:szCs w:val="28"/>
                    </w:rPr>
                    <w:t>Aimovigu</w:t>
                  </w:r>
                  <w:proofErr w:type="spellEnd"/>
                  <w:r w:rsidR="00906E3C">
                    <w:rPr>
                      <w:rFonts w:cstheme="minorHAnsi"/>
                      <w:b/>
                      <w:sz w:val="28"/>
                      <w:szCs w:val="28"/>
                    </w:rPr>
                    <w:t xml:space="preserve">) </w:t>
                  </w:r>
                  <w:r>
                    <w:rPr>
                      <w:rFonts w:cstheme="minorHAnsi"/>
                      <w:b/>
                      <w:sz w:val="28"/>
                      <w:szCs w:val="28"/>
                    </w:rPr>
                    <w:t xml:space="preserve">pravděpodobně šetří náklady za léčbu spojenou s NÚ </w:t>
                  </w:r>
                  <w:r>
                    <w:rPr>
                      <w:rFonts w:cstheme="minorHAnsi"/>
                      <w:b/>
                      <w:sz w:val="28"/>
                      <w:szCs w:val="28"/>
                    </w:rPr>
                    <w:t xml:space="preserve">anti-CGRP </w:t>
                  </w:r>
                  <w:proofErr w:type="spellStart"/>
                  <w:r>
                    <w:rPr>
                      <w:rFonts w:cstheme="minorHAnsi"/>
                      <w:b/>
                      <w:sz w:val="28"/>
                      <w:szCs w:val="28"/>
                    </w:rPr>
                    <w:t>mAb</w:t>
                  </w:r>
                  <w:proofErr w:type="spellEnd"/>
                  <w:r w:rsidR="00140562">
                    <w:rPr>
                      <w:rFonts w:cstheme="minorHAnsi"/>
                      <w:b/>
                      <w:sz w:val="28"/>
                      <w:szCs w:val="28"/>
                    </w:rPr>
                    <w:t xml:space="preserve"> (úspora vůči </w:t>
                  </w:r>
                  <w:proofErr w:type="spellStart"/>
                  <w:r w:rsidR="00140562">
                    <w:rPr>
                      <w:rFonts w:cstheme="minorHAnsi"/>
                      <w:b/>
                      <w:sz w:val="28"/>
                      <w:szCs w:val="28"/>
                    </w:rPr>
                    <w:t>Emgality</w:t>
                  </w:r>
                  <w:proofErr w:type="spellEnd"/>
                  <w:r w:rsidR="00140562">
                    <w:rPr>
                      <w:rFonts w:cstheme="minorHAnsi"/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140562">
                    <w:rPr>
                      <w:rFonts w:cstheme="minorHAnsi"/>
                      <w:b/>
                      <w:sz w:val="28"/>
                      <w:szCs w:val="28"/>
                    </w:rPr>
                    <w:t xml:space="preserve">je u </w:t>
                  </w:r>
                  <w:proofErr w:type="spellStart"/>
                  <w:r w:rsidR="00B041FE">
                    <w:rPr>
                      <w:rFonts w:cstheme="minorHAnsi"/>
                      <w:b/>
                      <w:sz w:val="28"/>
                      <w:szCs w:val="28"/>
                    </w:rPr>
                    <w:t>chron</w:t>
                  </w:r>
                  <w:proofErr w:type="spellEnd"/>
                  <w:r w:rsidR="00B041FE">
                    <w:rPr>
                      <w:rFonts w:cstheme="minorHAnsi"/>
                      <w:b/>
                      <w:sz w:val="28"/>
                      <w:szCs w:val="28"/>
                    </w:rPr>
                    <w:t>. migrény</w:t>
                  </w:r>
                  <w:proofErr w:type="gramEnd"/>
                  <w:r w:rsidR="00B041FE">
                    <w:rPr>
                      <w:rFonts w:cstheme="minorHAnsi"/>
                      <w:b/>
                      <w:sz w:val="28"/>
                      <w:szCs w:val="28"/>
                    </w:rPr>
                    <w:t xml:space="preserve"> cca 3x větší než u epizodické migrény!!)</w:t>
                  </w:r>
                  <w:r w:rsidR="004F6245">
                    <w:rPr>
                      <w:rFonts w:cstheme="minorHAnsi"/>
                      <w:b/>
                      <w:sz w:val="28"/>
                      <w:szCs w:val="28"/>
                    </w:rPr>
                    <w:t xml:space="preserve"> - j</w:t>
                  </w:r>
                  <w:r>
                    <w:rPr>
                      <w:rFonts w:cstheme="minorHAnsi"/>
                      <w:b/>
                      <w:sz w:val="28"/>
                      <w:szCs w:val="28"/>
                    </w:rPr>
                    <w:t xml:space="preserve">estli tato úspora může dosahovat pro 1 pacienta cca 20.000 Kč/rok není pro data v ČR známo, studie byla prováděna jen pro ceny z pohledu španělského zdravotního systému (viz výše). </w:t>
                  </w:r>
                </w:p>
                <w:p w:rsidR="0009255F" w:rsidRDefault="004F6245" w:rsidP="004F6245">
                  <w:pPr>
                    <w:spacing w:after="0"/>
                    <w:jc w:val="both"/>
                    <w:rPr>
                      <w:rFonts w:cstheme="minorHAnsi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cstheme="minorHAnsi"/>
                      <w:b/>
                      <w:sz w:val="28"/>
                      <w:szCs w:val="28"/>
                    </w:rPr>
                    <w:t>Ajovy</w:t>
                  </w:r>
                  <w:proofErr w:type="spellEnd"/>
                  <w:r>
                    <w:rPr>
                      <w:rFonts w:cstheme="minorHAnsi"/>
                      <w:b/>
                      <w:sz w:val="28"/>
                      <w:szCs w:val="28"/>
                    </w:rPr>
                    <w:t xml:space="preserve"> lze </w:t>
                  </w:r>
                  <w:r w:rsidR="00906E3C">
                    <w:rPr>
                      <w:rFonts w:cstheme="minorHAnsi"/>
                      <w:b/>
                      <w:sz w:val="28"/>
                      <w:szCs w:val="28"/>
                    </w:rPr>
                    <w:t xml:space="preserve">aktuálně </w:t>
                  </w:r>
                  <w:r>
                    <w:rPr>
                      <w:rFonts w:cstheme="minorHAnsi"/>
                      <w:b/>
                      <w:sz w:val="28"/>
                      <w:szCs w:val="28"/>
                    </w:rPr>
                    <w:t xml:space="preserve">jako jediné anti-CGRP </w:t>
                  </w:r>
                  <w:proofErr w:type="spellStart"/>
                  <w:r>
                    <w:rPr>
                      <w:rFonts w:cstheme="minorHAnsi"/>
                      <w:b/>
                      <w:sz w:val="28"/>
                      <w:szCs w:val="28"/>
                    </w:rPr>
                    <w:t>mAb</w:t>
                  </w:r>
                  <w:proofErr w:type="spellEnd"/>
                  <w:r>
                    <w:rPr>
                      <w:rFonts w:cstheme="minorHAnsi"/>
                      <w:b/>
                      <w:sz w:val="28"/>
                      <w:szCs w:val="28"/>
                    </w:rPr>
                    <w:t xml:space="preserve"> </w:t>
                  </w:r>
                  <w:r w:rsidR="00906E3C">
                    <w:rPr>
                      <w:rFonts w:cstheme="minorHAnsi"/>
                      <w:b/>
                      <w:sz w:val="28"/>
                      <w:szCs w:val="28"/>
                    </w:rPr>
                    <w:t xml:space="preserve">podávat 1x za 3 měsíce – ostatní 1x za měsíc, resp. za 4 </w:t>
                  </w:r>
                  <w:proofErr w:type="gramStart"/>
                  <w:r w:rsidR="00906E3C">
                    <w:rPr>
                      <w:rFonts w:cstheme="minorHAnsi"/>
                      <w:b/>
                      <w:sz w:val="28"/>
                      <w:szCs w:val="28"/>
                    </w:rPr>
                    <w:t>týdny !</w:t>
                  </w:r>
                  <w:proofErr w:type="gramEnd"/>
                </w:p>
                <w:p w:rsidR="004F6245" w:rsidRDefault="004F6245" w:rsidP="00024D65">
                  <w:pPr>
                    <w:jc w:val="both"/>
                    <w:rPr>
                      <w:rFonts w:cstheme="minorHAnsi"/>
                      <w:b/>
                      <w:sz w:val="28"/>
                      <w:szCs w:val="28"/>
                    </w:rPr>
                  </w:pPr>
                </w:p>
                <w:p w:rsidR="004F6245" w:rsidRDefault="004F6245" w:rsidP="00024D65">
                  <w:pPr>
                    <w:jc w:val="both"/>
                    <w:rPr>
                      <w:rFonts w:cstheme="minorHAnsi"/>
                      <w:b/>
                      <w:sz w:val="28"/>
                      <w:szCs w:val="28"/>
                    </w:rPr>
                  </w:pPr>
                </w:p>
                <w:p w:rsidR="004F6245" w:rsidRDefault="004F6245" w:rsidP="00024D65">
                  <w:pPr>
                    <w:jc w:val="both"/>
                    <w:rPr>
                      <w:rFonts w:cstheme="minorHAnsi"/>
                      <w:b/>
                      <w:sz w:val="28"/>
                      <w:szCs w:val="28"/>
                    </w:rPr>
                  </w:pPr>
                </w:p>
                <w:p w:rsidR="004F6245" w:rsidRDefault="004F6245" w:rsidP="00024D65">
                  <w:pPr>
                    <w:jc w:val="both"/>
                    <w:rPr>
                      <w:rFonts w:cstheme="minorHAnsi"/>
                      <w:b/>
                      <w:sz w:val="28"/>
                      <w:szCs w:val="28"/>
                    </w:rPr>
                  </w:pPr>
                </w:p>
                <w:p w:rsidR="0009255F" w:rsidRPr="0009255F" w:rsidRDefault="0009255F" w:rsidP="00024D65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024D65" w:rsidRDefault="00024D65" w:rsidP="00AF4CEA">
      <w:pPr>
        <w:spacing w:after="0"/>
        <w:jc w:val="both"/>
      </w:pPr>
    </w:p>
    <w:p w:rsidR="00024D65" w:rsidRDefault="00024D65" w:rsidP="00AF4CEA">
      <w:pPr>
        <w:spacing w:after="0"/>
        <w:jc w:val="both"/>
      </w:pPr>
    </w:p>
    <w:p w:rsidR="00024D65" w:rsidRDefault="00024D65" w:rsidP="00AF4CEA">
      <w:pPr>
        <w:spacing w:after="0"/>
        <w:jc w:val="both"/>
      </w:pPr>
    </w:p>
    <w:p w:rsidR="00024D65" w:rsidRDefault="00024D65" w:rsidP="00AF4CEA">
      <w:pPr>
        <w:spacing w:after="0"/>
        <w:jc w:val="both"/>
      </w:pPr>
    </w:p>
    <w:p w:rsidR="00024D65" w:rsidRDefault="00024D65" w:rsidP="00AF4CEA">
      <w:pPr>
        <w:spacing w:after="0"/>
        <w:jc w:val="both"/>
      </w:pPr>
    </w:p>
    <w:p w:rsidR="00024D65" w:rsidRDefault="00024D65" w:rsidP="00AF4CEA">
      <w:pPr>
        <w:spacing w:after="0"/>
        <w:jc w:val="both"/>
      </w:pPr>
    </w:p>
    <w:p w:rsidR="00024D65" w:rsidRDefault="00024D65" w:rsidP="00AF4CEA">
      <w:pPr>
        <w:spacing w:after="0"/>
        <w:jc w:val="both"/>
      </w:pPr>
    </w:p>
    <w:p w:rsidR="00024D65" w:rsidRDefault="00024D65" w:rsidP="00AF4CEA">
      <w:pPr>
        <w:spacing w:after="0"/>
        <w:jc w:val="both"/>
      </w:pPr>
    </w:p>
    <w:p w:rsidR="00024D65" w:rsidRDefault="00024D65" w:rsidP="00AF4CEA">
      <w:pPr>
        <w:spacing w:after="0"/>
        <w:jc w:val="both"/>
      </w:pPr>
    </w:p>
    <w:p w:rsidR="00024D65" w:rsidRDefault="00024D65" w:rsidP="00AF4CEA">
      <w:pPr>
        <w:spacing w:after="0"/>
        <w:jc w:val="both"/>
      </w:pPr>
    </w:p>
    <w:p w:rsidR="00024D65" w:rsidRDefault="00024D65" w:rsidP="00AF4CEA">
      <w:pPr>
        <w:spacing w:after="0"/>
        <w:jc w:val="both"/>
      </w:pPr>
    </w:p>
    <w:p w:rsidR="00024D65" w:rsidRDefault="00024D65" w:rsidP="00AF4CEA">
      <w:pPr>
        <w:spacing w:after="0"/>
        <w:jc w:val="both"/>
      </w:pPr>
    </w:p>
    <w:p w:rsidR="00024D65" w:rsidRDefault="00024D65" w:rsidP="00AF4CEA">
      <w:pPr>
        <w:spacing w:after="0"/>
        <w:jc w:val="both"/>
      </w:pPr>
    </w:p>
    <w:p w:rsidR="00906E3C" w:rsidRDefault="00906E3C" w:rsidP="00AF4CEA">
      <w:pPr>
        <w:spacing w:after="0"/>
        <w:jc w:val="both"/>
      </w:pPr>
    </w:p>
    <w:p w:rsidR="00AF4CEA" w:rsidRDefault="00AF4CEA" w:rsidP="00AF4CEA">
      <w:pPr>
        <w:spacing w:after="0"/>
        <w:jc w:val="both"/>
      </w:pPr>
      <w:r>
        <w:t xml:space="preserve">Zpracoval Mgr. </w:t>
      </w:r>
      <w:proofErr w:type="gramStart"/>
      <w:r>
        <w:t>Duda                                     dne</w:t>
      </w:r>
      <w:proofErr w:type="gramEnd"/>
      <w:r>
        <w:t xml:space="preserve">:  </w:t>
      </w:r>
      <w:proofErr w:type="gramStart"/>
      <w:r>
        <w:t>28.1.2021</w:t>
      </w:r>
      <w:proofErr w:type="gramEnd"/>
    </w:p>
    <w:p w:rsidR="00906E3C" w:rsidRPr="000F203D" w:rsidRDefault="00906E3C" w:rsidP="00AF4CEA">
      <w:pPr>
        <w:spacing w:after="0"/>
        <w:jc w:val="both"/>
      </w:pPr>
    </w:p>
    <w:p w:rsidR="000F203D" w:rsidRPr="00AF4CEA" w:rsidRDefault="000F203D" w:rsidP="000F203D">
      <w:pPr>
        <w:spacing w:after="0"/>
        <w:jc w:val="both"/>
        <w:rPr>
          <w:u w:val="single"/>
        </w:rPr>
      </w:pPr>
      <w:r w:rsidRPr="00AF4CEA">
        <w:rPr>
          <w:u w:val="single"/>
        </w:rPr>
        <w:t>Použité zdroje:</w:t>
      </w:r>
    </w:p>
    <w:p w:rsidR="00553C5C" w:rsidRDefault="00553C5C" w:rsidP="00553C5C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 </w:t>
      </w:r>
      <w:r w:rsidRPr="00553C5C">
        <w:rPr>
          <w:sz w:val="18"/>
          <w:szCs w:val="18"/>
        </w:rPr>
        <w:t xml:space="preserve">AISLP - 2021.1, stav k </w:t>
      </w:r>
      <w:proofErr w:type="gramStart"/>
      <w:r w:rsidRPr="00553C5C">
        <w:rPr>
          <w:sz w:val="18"/>
          <w:szCs w:val="18"/>
        </w:rPr>
        <w:t>1.1.2021</w:t>
      </w:r>
      <w:proofErr w:type="gramEnd"/>
    </w:p>
    <w:p w:rsidR="00025D2B" w:rsidRDefault="00553C5C" w:rsidP="00553C5C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 </w:t>
      </w:r>
      <w:proofErr w:type="spellStart"/>
      <w:r w:rsidR="000F203D" w:rsidRPr="00553C5C">
        <w:rPr>
          <w:sz w:val="18"/>
          <w:szCs w:val="18"/>
        </w:rPr>
        <w:t>Deng</w:t>
      </w:r>
      <w:proofErr w:type="spellEnd"/>
      <w:r w:rsidR="000F203D" w:rsidRPr="00553C5C">
        <w:rPr>
          <w:sz w:val="18"/>
          <w:szCs w:val="18"/>
        </w:rPr>
        <w:t xml:space="preserve"> et al. </w:t>
      </w:r>
      <w:proofErr w:type="spellStart"/>
      <w:r w:rsidR="000F203D" w:rsidRPr="00553C5C">
        <w:rPr>
          <w:sz w:val="18"/>
          <w:szCs w:val="18"/>
        </w:rPr>
        <w:t>Efficacy</w:t>
      </w:r>
      <w:proofErr w:type="spellEnd"/>
      <w:r w:rsidR="000F203D" w:rsidRPr="00553C5C">
        <w:rPr>
          <w:sz w:val="18"/>
          <w:szCs w:val="18"/>
        </w:rPr>
        <w:t xml:space="preserve"> and </w:t>
      </w:r>
      <w:proofErr w:type="spellStart"/>
      <w:r w:rsidR="000F203D" w:rsidRPr="00553C5C">
        <w:rPr>
          <w:sz w:val="18"/>
          <w:szCs w:val="18"/>
        </w:rPr>
        <w:t>safety</w:t>
      </w:r>
      <w:proofErr w:type="spellEnd"/>
      <w:r w:rsidR="000F203D" w:rsidRPr="00553C5C">
        <w:rPr>
          <w:sz w:val="18"/>
          <w:szCs w:val="18"/>
        </w:rPr>
        <w:t xml:space="preserve"> </w:t>
      </w:r>
      <w:proofErr w:type="spellStart"/>
      <w:r w:rsidR="000F203D" w:rsidRPr="00553C5C">
        <w:rPr>
          <w:sz w:val="18"/>
          <w:szCs w:val="18"/>
        </w:rPr>
        <w:t>of</w:t>
      </w:r>
      <w:proofErr w:type="spellEnd"/>
      <w:r w:rsidR="000F203D" w:rsidRPr="00553C5C">
        <w:rPr>
          <w:sz w:val="18"/>
          <w:szCs w:val="18"/>
        </w:rPr>
        <w:t xml:space="preserve"> kalcitonin-gene-</w:t>
      </w:r>
      <w:proofErr w:type="spellStart"/>
      <w:r w:rsidR="000F203D" w:rsidRPr="00553C5C">
        <w:rPr>
          <w:sz w:val="18"/>
          <w:szCs w:val="18"/>
        </w:rPr>
        <w:t>related</w:t>
      </w:r>
      <w:proofErr w:type="spellEnd"/>
      <w:r w:rsidR="000F203D" w:rsidRPr="00553C5C">
        <w:rPr>
          <w:sz w:val="18"/>
          <w:szCs w:val="18"/>
        </w:rPr>
        <w:t xml:space="preserve"> peptide </w:t>
      </w:r>
      <w:proofErr w:type="spellStart"/>
      <w:r w:rsidR="000F203D" w:rsidRPr="00553C5C">
        <w:rPr>
          <w:sz w:val="18"/>
          <w:szCs w:val="18"/>
        </w:rPr>
        <w:t>binding</w:t>
      </w:r>
      <w:proofErr w:type="spellEnd"/>
      <w:r w:rsidR="000F203D" w:rsidRPr="00553C5C">
        <w:rPr>
          <w:sz w:val="18"/>
          <w:szCs w:val="18"/>
        </w:rPr>
        <w:t xml:space="preserve"> </w:t>
      </w:r>
      <w:proofErr w:type="spellStart"/>
      <w:r w:rsidR="000F203D" w:rsidRPr="00553C5C">
        <w:rPr>
          <w:sz w:val="18"/>
          <w:szCs w:val="18"/>
        </w:rPr>
        <w:t>monoclonal</w:t>
      </w:r>
      <w:proofErr w:type="spellEnd"/>
      <w:r w:rsidR="000F203D" w:rsidRPr="00553C5C">
        <w:rPr>
          <w:sz w:val="18"/>
          <w:szCs w:val="18"/>
        </w:rPr>
        <w:t xml:space="preserve"> </w:t>
      </w:r>
      <w:proofErr w:type="spellStart"/>
      <w:r w:rsidR="000F203D" w:rsidRPr="00553C5C">
        <w:rPr>
          <w:sz w:val="18"/>
          <w:szCs w:val="18"/>
        </w:rPr>
        <w:t>antibodies</w:t>
      </w:r>
      <w:proofErr w:type="spellEnd"/>
      <w:r w:rsidR="000F203D" w:rsidRPr="00553C5C">
        <w:rPr>
          <w:sz w:val="18"/>
          <w:szCs w:val="18"/>
        </w:rPr>
        <w:t xml:space="preserve"> </w:t>
      </w:r>
      <w:proofErr w:type="spellStart"/>
      <w:r w:rsidR="000F203D" w:rsidRPr="00553C5C">
        <w:rPr>
          <w:sz w:val="18"/>
          <w:szCs w:val="18"/>
        </w:rPr>
        <w:t>for</w:t>
      </w:r>
      <w:proofErr w:type="spellEnd"/>
      <w:r w:rsidR="000F203D" w:rsidRPr="00553C5C">
        <w:rPr>
          <w:sz w:val="18"/>
          <w:szCs w:val="18"/>
        </w:rPr>
        <w:t xml:space="preserve"> </w:t>
      </w:r>
      <w:proofErr w:type="spellStart"/>
      <w:r w:rsidR="000F203D" w:rsidRPr="00553C5C">
        <w:rPr>
          <w:sz w:val="18"/>
          <w:szCs w:val="18"/>
        </w:rPr>
        <w:t>the</w:t>
      </w:r>
      <w:proofErr w:type="spellEnd"/>
      <w:r w:rsidR="000F203D" w:rsidRPr="00553C5C">
        <w:rPr>
          <w:sz w:val="18"/>
          <w:szCs w:val="18"/>
        </w:rPr>
        <w:t xml:space="preserve"> </w:t>
      </w:r>
      <w:proofErr w:type="spellStart"/>
      <w:r w:rsidR="000F203D" w:rsidRPr="00553C5C">
        <w:rPr>
          <w:sz w:val="18"/>
          <w:szCs w:val="18"/>
        </w:rPr>
        <w:t>preventive</w:t>
      </w:r>
      <w:proofErr w:type="spellEnd"/>
      <w:r w:rsidR="00025D2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proofErr w:type="spellStart"/>
      <w:r w:rsidR="000F203D" w:rsidRPr="00553C5C">
        <w:rPr>
          <w:sz w:val="18"/>
          <w:szCs w:val="18"/>
        </w:rPr>
        <w:t>treatment</w:t>
      </w:r>
      <w:proofErr w:type="spellEnd"/>
      <w:r w:rsidR="000F203D" w:rsidRPr="00553C5C">
        <w:rPr>
          <w:sz w:val="18"/>
          <w:szCs w:val="18"/>
        </w:rPr>
        <w:t xml:space="preserve"> </w:t>
      </w:r>
      <w:proofErr w:type="spellStart"/>
      <w:r w:rsidR="000F203D" w:rsidRPr="00553C5C">
        <w:rPr>
          <w:sz w:val="18"/>
          <w:szCs w:val="18"/>
        </w:rPr>
        <w:t>of</w:t>
      </w:r>
      <w:proofErr w:type="spellEnd"/>
      <w:r w:rsidR="000F203D" w:rsidRPr="00553C5C">
        <w:rPr>
          <w:sz w:val="18"/>
          <w:szCs w:val="18"/>
        </w:rPr>
        <w:t xml:space="preserve"> </w:t>
      </w:r>
      <w:proofErr w:type="spellStart"/>
      <w:r w:rsidR="000F203D" w:rsidRPr="00553C5C">
        <w:rPr>
          <w:sz w:val="18"/>
          <w:szCs w:val="18"/>
        </w:rPr>
        <w:t>episodic</w:t>
      </w:r>
      <w:proofErr w:type="spellEnd"/>
      <w:r w:rsidR="000F203D" w:rsidRPr="00553C5C">
        <w:rPr>
          <w:sz w:val="18"/>
          <w:szCs w:val="18"/>
        </w:rPr>
        <w:t xml:space="preserve"> migrace – </w:t>
      </w:r>
      <w:proofErr w:type="spellStart"/>
      <w:r w:rsidR="000F203D" w:rsidRPr="00553C5C">
        <w:rPr>
          <w:sz w:val="18"/>
          <w:szCs w:val="18"/>
        </w:rPr>
        <w:t>an</w:t>
      </w:r>
      <w:proofErr w:type="spellEnd"/>
      <w:r w:rsidR="000F203D" w:rsidRPr="00553C5C">
        <w:rPr>
          <w:sz w:val="18"/>
          <w:szCs w:val="18"/>
        </w:rPr>
        <w:t xml:space="preserve"> </w:t>
      </w:r>
      <w:proofErr w:type="spellStart"/>
      <w:r w:rsidR="000F203D" w:rsidRPr="00553C5C">
        <w:rPr>
          <w:sz w:val="18"/>
          <w:szCs w:val="18"/>
        </w:rPr>
        <w:t>updated</w:t>
      </w:r>
      <w:proofErr w:type="spellEnd"/>
      <w:r w:rsidR="000F203D" w:rsidRPr="00553C5C">
        <w:rPr>
          <w:sz w:val="18"/>
          <w:szCs w:val="18"/>
        </w:rPr>
        <w:t xml:space="preserve"> </w:t>
      </w:r>
      <w:proofErr w:type="spellStart"/>
      <w:r w:rsidR="000F203D" w:rsidRPr="00553C5C">
        <w:rPr>
          <w:sz w:val="18"/>
          <w:szCs w:val="18"/>
        </w:rPr>
        <w:t>systematic</w:t>
      </w:r>
      <w:proofErr w:type="spellEnd"/>
      <w:r w:rsidR="000F203D" w:rsidRPr="00553C5C">
        <w:rPr>
          <w:sz w:val="18"/>
          <w:szCs w:val="18"/>
        </w:rPr>
        <w:t xml:space="preserve"> </w:t>
      </w:r>
      <w:proofErr w:type="spellStart"/>
      <w:r w:rsidR="000F203D" w:rsidRPr="00553C5C">
        <w:rPr>
          <w:sz w:val="18"/>
          <w:szCs w:val="18"/>
        </w:rPr>
        <w:t>review</w:t>
      </w:r>
      <w:proofErr w:type="spellEnd"/>
      <w:r w:rsidR="000F203D" w:rsidRPr="00553C5C">
        <w:rPr>
          <w:sz w:val="18"/>
          <w:szCs w:val="18"/>
        </w:rPr>
        <w:t xml:space="preserve"> and meta-</w:t>
      </w:r>
      <w:proofErr w:type="spellStart"/>
      <w:r w:rsidR="000F203D" w:rsidRPr="00553C5C">
        <w:rPr>
          <w:sz w:val="18"/>
          <w:szCs w:val="18"/>
        </w:rPr>
        <w:t>analysis</w:t>
      </w:r>
      <w:proofErr w:type="spellEnd"/>
      <w:r w:rsidR="000F203D" w:rsidRPr="00553C5C">
        <w:rPr>
          <w:sz w:val="18"/>
          <w:szCs w:val="18"/>
        </w:rPr>
        <w:t xml:space="preserve">. </w:t>
      </w:r>
    </w:p>
    <w:p w:rsidR="000F203D" w:rsidRPr="00553C5C" w:rsidRDefault="00025D2B" w:rsidP="00553C5C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0F203D" w:rsidRPr="00553C5C">
        <w:rPr>
          <w:i/>
          <w:sz w:val="18"/>
          <w:szCs w:val="18"/>
        </w:rPr>
        <w:t>BMC Neurology</w:t>
      </w:r>
      <w:r w:rsidR="000F203D" w:rsidRPr="00553C5C">
        <w:rPr>
          <w:sz w:val="18"/>
          <w:szCs w:val="18"/>
        </w:rPr>
        <w:t xml:space="preserve"> (2020) 20:57</w:t>
      </w:r>
    </w:p>
    <w:p w:rsidR="000F203D" w:rsidRPr="00553C5C" w:rsidRDefault="00553C5C" w:rsidP="00553C5C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 </w:t>
      </w:r>
      <w:r w:rsidR="000F203D" w:rsidRPr="00553C5C">
        <w:rPr>
          <w:sz w:val="18"/>
          <w:szCs w:val="18"/>
        </w:rPr>
        <w:t xml:space="preserve">Nežádal T. CGRP monoklonální protilátky v profylaktické léčbě migrény. </w:t>
      </w:r>
      <w:proofErr w:type="spellStart"/>
      <w:r w:rsidR="000F203D" w:rsidRPr="00553C5C">
        <w:rPr>
          <w:i/>
          <w:sz w:val="18"/>
          <w:szCs w:val="18"/>
        </w:rPr>
        <w:t>Neurológia</w:t>
      </w:r>
      <w:proofErr w:type="spellEnd"/>
      <w:r w:rsidR="000F203D" w:rsidRPr="00553C5C">
        <w:rPr>
          <w:i/>
          <w:sz w:val="18"/>
          <w:szCs w:val="18"/>
        </w:rPr>
        <w:t xml:space="preserve"> </w:t>
      </w:r>
      <w:proofErr w:type="spellStart"/>
      <w:r w:rsidR="000F203D" w:rsidRPr="00553C5C">
        <w:rPr>
          <w:i/>
          <w:sz w:val="18"/>
          <w:szCs w:val="18"/>
        </w:rPr>
        <w:t>pre</w:t>
      </w:r>
      <w:proofErr w:type="spellEnd"/>
      <w:r w:rsidR="000F203D" w:rsidRPr="00553C5C">
        <w:rPr>
          <w:i/>
          <w:sz w:val="18"/>
          <w:szCs w:val="18"/>
        </w:rPr>
        <w:t xml:space="preserve"> </w:t>
      </w:r>
      <w:proofErr w:type="spellStart"/>
      <w:r w:rsidR="000F203D" w:rsidRPr="00553C5C">
        <w:rPr>
          <w:i/>
          <w:sz w:val="18"/>
          <w:szCs w:val="18"/>
        </w:rPr>
        <w:t>prax</w:t>
      </w:r>
      <w:proofErr w:type="spellEnd"/>
      <w:r>
        <w:rPr>
          <w:sz w:val="18"/>
          <w:szCs w:val="18"/>
        </w:rPr>
        <w:t xml:space="preserve">  2019, 20(5)</w:t>
      </w:r>
    </w:p>
    <w:p w:rsidR="000F203D" w:rsidRPr="00553C5C" w:rsidRDefault="00553C5C" w:rsidP="00025D2B">
      <w:pPr>
        <w:spacing w:after="0"/>
        <w:jc w:val="both"/>
        <w:rPr>
          <w:sz w:val="18"/>
          <w:szCs w:val="18"/>
        </w:rPr>
      </w:pPr>
      <w:r w:rsidRPr="00553C5C">
        <w:rPr>
          <w:sz w:val="18"/>
          <w:szCs w:val="18"/>
        </w:rPr>
        <w:t>4</w:t>
      </w:r>
      <w:r>
        <w:rPr>
          <w:i/>
          <w:sz w:val="18"/>
          <w:szCs w:val="18"/>
        </w:rPr>
        <w:t xml:space="preserve"> </w:t>
      </w:r>
      <w:r w:rsidR="000F203D" w:rsidRPr="00553C5C">
        <w:rPr>
          <w:i/>
          <w:sz w:val="18"/>
          <w:szCs w:val="18"/>
        </w:rPr>
        <w:t xml:space="preserve">Institute </w:t>
      </w:r>
      <w:proofErr w:type="spellStart"/>
      <w:r w:rsidR="000F203D" w:rsidRPr="00553C5C">
        <w:rPr>
          <w:i/>
          <w:sz w:val="18"/>
          <w:szCs w:val="18"/>
        </w:rPr>
        <w:t>for</w:t>
      </w:r>
      <w:proofErr w:type="spellEnd"/>
      <w:r w:rsidR="000F203D" w:rsidRPr="00553C5C">
        <w:rPr>
          <w:i/>
          <w:sz w:val="18"/>
          <w:szCs w:val="18"/>
        </w:rPr>
        <w:t xml:space="preserve"> </w:t>
      </w:r>
      <w:proofErr w:type="spellStart"/>
      <w:r w:rsidR="000F203D" w:rsidRPr="00553C5C">
        <w:rPr>
          <w:i/>
          <w:sz w:val="18"/>
          <w:szCs w:val="18"/>
        </w:rPr>
        <w:t>Clinical</w:t>
      </w:r>
      <w:proofErr w:type="spellEnd"/>
      <w:r w:rsidR="000F203D" w:rsidRPr="00553C5C">
        <w:rPr>
          <w:i/>
          <w:sz w:val="18"/>
          <w:szCs w:val="18"/>
        </w:rPr>
        <w:t xml:space="preserve"> and </w:t>
      </w:r>
      <w:proofErr w:type="spellStart"/>
      <w:r w:rsidR="000F203D" w:rsidRPr="00553C5C">
        <w:rPr>
          <w:i/>
          <w:sz w:val="18"/>
          <w:szCs w:val="18"/>
        </w:rPr>
        <w:t>Economic</w:t>
      </w:r>
      <w:proofErr w:type="spellEnd"/>
      <w:r w:rsidR="000F203D" w:rsidRPr="00553C5C">
        <w:rPr>
          <w:i/>
          <w:sz w:val="18"/>
          <w:szCs w:val="18"/>
        </w:rPr>
        <w:t xml:space="preserve"> </w:t>
      </w:r>
      <w:proofErr w:type="spellStart"/>
      <w:r w:rsidR="000F203D" w:rsidRPr="00553C5C">
        <w:rPr>
          <w:i/>
          <w:sz w:val="18"/>
          <w:szCs w:val="18"/>
        </w:rPr>
        <w:t>Review</w:t>
      </w:r>
      <w:proofErr w:type="spellEnd"/>
      <w:r w:rsidR="000F203D" w:rsidRPr="00553C5C">
        <w:rPr>
          <w:i/>
          <w:sz w:val="18"/>
          <w:szCs w:val="18"/>
        </w:rPr>
        <w:t>.</w:t>
      </w:r>
      <w:r w:rsidR="000F203D" w:rsidRPr="00553C5C">
        <w:rPr>
          <w:sz w:val="18"/>
          <w:szCs w:val="18"/>
        </w:rPr>
        <w:t xml:space="preserve"> </w:t>
      </w:r>
      <w:proofErr w:type="spellStart"/>
      <w:r w:rsidR="000F203D" w:rsidRPr="00553C5C">
        <w:rPr>
          <w:sz w:val="18"/>
          <w:szCs w:val="18"/>
        </w:rPr>
        <w:t>Calcitonin</w:t>
      </w:r>
      <w:proofErr w:type="spellEnd"/>
      <w:r w:rsidR="000F203D" w:rsidRPr="00553C5C">
        <w:rPr>
          <w:sz w:val="18"/>
          <w:szCs w:val="18"/>
        </w:rPr>
        <w:t xml:space="preserve"> Gene-</w:t>
      </w:r>
      <w:proofErr w:type="spellStart"/>
      <w:r w:rsidR="000F203D" w:rsidRPr="00553C5C">
        <w:rPr>
          <w:sz w:val="18"/>
          <w:szCs w:val="18"/>
        </w:rPr>
        <w:t>Related</w:t>
      </w:r>
      <w:proofErr w:type="spellEnd"/>
      <w:r w:rsidR="000F203D" w:rsidRPr="00553C5C">
        <w:rPr>
          <w:sz w:val="18"/>
          <w:szCs w:val="18"/>
        </w:rPr>
        <w:t xml:space="preserve"> Peptide (CGRP) </w:t>
      </w:r>
      <w:proofErr w:type="spellStart"/>
      <w:r w:rsidR="000F203D" w:rsidRPr="00553C5C">
        <w:rPr>
          <w:sz w:val="18"/>
          <w:szCs w:val="18"/>
        </w:rPr>
        <w:t>Inhibitors</w:t>
      </w:r>
      <w:proofErr w:type="spellEnd"/>
      <w:r w:rsidR="000F203D" w:rsidRPr="00553C5C">
        <w:rPr>
          <w:sz w:val="18"/>
          <w:szCs w:val="18"/>
        </w:rPr>
        <w:t xml:space="preserve"> as </w:t>
      </w:r>
      <w:proofErr w:type="spellStart"/>
      <w:r w:rsidR="000F203D" w:rsidRPr="00553C5C">
        <w:rPr>
          <w:sz w:val="18"/>
          <w:szCs w:val="18"/>
        </w:rPr>
        <w:t>Preventive</w:t>
      </w:r>
      <w:proofErr w:type="spellEnd"/>
      <w:r w:rsidR="000F203D" w:rsidRPr="00553C5C">
        <w:rPr>
          <w:sz w:val="18"/>
          <w:szCs w:val="18"/>
        </w:rPr>
        <w:t xml:space="preserve"> </w:t>
      </w:r>
      <w:proofErr w:type="spellStart"/>
      <w:r w:rsidR="000F203D" w:rsidRPr="00553C5C">
        <w:rPr>
          <w:sz w:val="18"/>
          <w:szCs w:val="18"/>
        </w:rPr>
        <w:t>Treatments</w:t>
      </w:r>
      <w:proofErr w:type="spellEnd"/>
      <w:r w:rsidR="00025D2B">
        <w:rPr>
          <w:sz w:val="18"/>
          <w:szCs w:val="18"/>
        </w:rPr>
        <w:t xml:space="preserve"> </w:t>
      </w:r>
      <w:r w:rsidR="00AF4CEA">
        <w:rPr>
          <w:sz w:val="18"/>
          <w:szCs w:val="18"/>
        </w:rPr>
        <w:t xml:space="preserve">  </w:t>
      </w:r>
      <w:r w:rsidR="000F203D" w:rsidRPr="00553C5C">
        <w:rPr>
          <w:sz w:val="18"/>
          <w:szCs w:val="18"/>
        </w:rPr>
        <w:t xml:space="preserve"> </w:t>
      </w:r>
      <w:proofErr w:type="spellStart"/>
      <w:r w:rsidR="000F203D" w:rsidRPr="00553C5C">
        <w:rPr>
          <w:sz w:val="18"/>
          <w:szCs w:val="18"/>
        </w:rPr>
        <w:t>for</w:t>
      </w:r>
      <w:proofErr w:type="spellEnd"/>
      <w:r w:rsidR="000F203D" w:rsidRPr="00553C5C">
        <w:rPr>
          <w:sz w:val="18"/>
          <w:szCs w:val="18"/>
        </w:rPr>
        <w:t xml:space="preserve"> patiens </w:t>
      </w:r>
      <w:proofErr w:type="spellStart"/>
      <w:r w:rsidR="000F203D" w:rsidRPr="00553C5C">
        <w:rPr>
          <w:sz w:val="18"/>
          <w:szCs w:val="18"/>
        </w:rPr>
        <w:t>with</w:t>
      </w:r>
      <w:proofErr w:type="spellEnd"/>
      <w:r w:rsidR="000F203D" w:rsidRPr="00553C5C">
        <w:rPr>
          <w:sz w:val="18"/>
          <w:szCs w:val="18"/>
        </w:rPr>
        <w:t xml:space="preserve"> </w:t>
      </w:r>
      <w:proofErr w:type="spellStart"/>
      <w:r w:rsidR="000F203D" w:rsidRPr="00553C5C">
        <w:rPr>
          <w:sz w:val="18"/>
          <w:szCs w:val="18"/>
        </w:rPr>
        <w:t>Episodic</w:t>
      </w:r>
      <w:proofErr w:type="spellEnd"/>
      <w:r w:rsidR="000F203D" w:rsidRPr="00553C5C">
        <w:rPr>
          <w:sz w:val="18"/>
          <w:szCs w:val="18"/>
        </w:rPr>
        <w:t xml:space="preserve"> </w:t>
      </w:r>
      <w:proofErr w:type="spellStart"/>
      <w:r w:rsidR="000F203D" w:rsidRPr="00553C5C">
        <w:rPr>
          <w:sz w:val="18"/>
          <w:szCs w:val="18"/>
        </w:rPr>
        <w:t>or</w:t>
      </w:r>
      <w:proofErr w:type="spellEnd"/>
      <w:r w:rsidR="000F203D" w:rsidRPr="00553C5C">
        <w:rPr>
          <w:sz w:val="18"/>
          <w:szCs w:val="18"/>
        </w:rPr>
        <w:t xml:space="preserve"> </w:t>
      </w:r>
      <w:proofErr w:type="spellStart"/>
      <w:r w:rsidR="000F203D" w:rsidRPr="00553C5C">
        <w:rPr>
          <w:sz w:val="18"/>
          <w:szCs w:val="18"/>
        </w:rPr>
        <w:t>Chronic</w:t>
      </w:r>
      <w:proofErr w:type="spellEnd"/>
      <w:r w:rsidR="000F203D" w:rsidRPr="00553C5C">
        <w:rPr>
          <w:sz w:val="18"/>
          <w:szCs w:val="18"/>
        </w:rPr>
        <w:t xml:space="preserve"> </w:t>
      </w:r>
      <w:proofErr w:type="spellStart"/>
      <w:r w:rsidR="000F203D" w:rsidRPr="00553C5C">
        <w:rPr>
          <w:sz w:val="18"/>
          <w:szCs w:val="18"/>
        </w:rPr>
        <w:t>Migraine</w:t>
      </w:r>
      <w:proofErr w:type="spellEnd"/>
      <w:r w:rsidR="000F203D" w:rsidRPr="00553C5C">
        <w:rPr>
          <w:sz w:val="18"/>
          <w:szCs w:val="18"/>
        </w:rPr>
        <w:t xml:space="preserve">: </w:t>
      </w:r>
      <w:proofErr w:type="spellStart"/>
      <w:r w:rsidR="000F203D" w:rsidRPr="00553C5C">
        <w:rPr>
          <w:sz w:val="18"/>
          <w:szCs w:val="18"/>
        </w:rPr>
        <w:t>Effecti</w:t>
      </w:r>
      <w:r w:rsidR="00025D2B">
        <w:rPr>
          <w:sz w:val="18"/>
          <w:szCs w:val="18"/>
        </w:rPr>
        <w:t>veness</w:t>
      </w:r>
      <w:proofErr w:type="spellEnd"/>
      <w:r w:rsidR="00025D2B">
        <w:rPr>
          <w:sz w:val="18"/>
          <w:szCs w:val="18"/>
        </w:rPr>
        <w:t xml:space="preserve"> and </w:t>
      </w:r>
      <w:proofErr w:type="spellStart"/>
      <w:r w:rsidR="00025D2B">
        <w:rPr>
          <w:sz w:val="18"/>
          <w:szCs w:val="18"/>
        </w:rPr>
        <w:t>Value</w:t>
      </w:r>
      <w:proofErr w:type="spellEnd"/>
      <w:r w:rsidR="00025D2B">
        <w:rPr>
          <w:sz w:val="18"/>
          <w:szCs w:val="18"/>
        </w:rPr>
        <w:t xml:space="preserve"> , 2018, July </w:t>
      </w:r>
    </w:p>
    <w:p w:rsidR="00553C5C" w:rsidRDefault="00AF4CEA" w:rsidP="000F203D">
      <w:pPr>
        <w:spacing w:after="0"/>
        <w:jc w:val="both"/>
        <w:rPr>
          <w:sz w:val="18"/>
          <w:szCs w:val="18"/>
        </w:rPr>
      </w:pPr>
      <w:r w:rsidRPr="00AF4CEA">
        <w:rPr>
          <w:sz w:val="18"/>
          <w:szCs w:val="18"/>
        </w:rPr>
        <w:t xml:space="preserve">5 </w:t>
      </w:r>
      <w:r>
        <w:rPr>
          <w:sz w:val="18"/>
          <w:szCs w:val="18"/>
        </w:rPr>
        <w:t xml:space="preserve">SUKL. </w:t>
      </w:r>
      <w:r w:rsidRPr="00AF4CEA">
        <w:rPr>
          <w:sz w:val="18"/>
          <w:szCs w:val="18"/>
        </w:rPr>
        <w:t xml:space="preserve">Rozhodnutí </w:t>
      </w:r>
      <w:proofErr w:type="spellStart"/>
      <w:r w:rsidRPr="00AF4CEA">
        <w:rPr>
          <w:sz w:val="18"/>
          <w:szCs w:val="18"/>
        </w:rPr>
        <w:t>Emgality</w:t>
      </w:r>
      <w:proofErr w:type="spellEnd"/>
      <w:r w:rsidRPr="00AF4CEA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</w:t>
      </w:r>
      <w:proofErr w:type="spellEnd"/>
      <w:r>
        <w:rPr>
          <w:sz w:val="18"/>
          <w:szCs w:val="18"/>
        </w:rPr>
        <w:t>. zn.:</w:t>
      </w:r>
      <w:r w:rsidRPr="00AF4CEA">
        <w:rPr>
          <w:sz w:val="18"/>
          <w:szCs w:val="18"/>
        </w:rPr>
        <w:t>SUKLS30986/2020</w:t>
      </w:r>
      <w:r>
        <w:rPr>
          <w:sz w:val="18"/>
          <w:szCs w:val="18"/>
        </w:rPr>
        <w:t xml:space="preserve"> ze dne </w:t>
      </w:r>
      <w:proofErr w:type="gramStart"/>
      <w:r>
        <w:rPr>
          <w:sz w:val="18"/>
          <w:szCs w:val="18"/>
        </w:rPr>
        <w:t>15.9.2020</w:t>
      </w:r>
      <w:proofErr w:type="gramEnd"/>
      <w:r w:rsidR="00E20B8C">
        <w:rPr>
          <w:sz w:val="18"/>
          <w:szCs w:val="18"/>
        </w:rPr>
        <w:t>.</w:t>
      </w:r>
    </w:p>
    <w:p w:rsidR="00E20B8C" w:rsidRDefault="00E20B8C" w:rsidP="000F203D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 </w:t>
      </w:r>
      <w:r>
        <w:rPr>
          <w:sz w:val="18"/>
          <w:szCs w:val="18"/>
        </w:rPr>
        <w:t xml:space="preserve">SUKL. </w:t>
      </w:r>
      <w:r w:rsidRPr="00AF4CEA">
        <w:rPr>
          <w:sz w:val="18"/>
          <w:szCs w:val="18"/>
        </w:rPr>
        <w:t>Rozhodnutí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Aimovig</w:t>
      </w:r>
      <w:proofErr w:type="spellEnd"/>
      <w:r w:rsidRPr="00AF4CEA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</w:t>
      </w:r>
      <w:proofErr w:type="spellEnd"/>
      <w:r>
        <w:rPr>
          <w:sz w:val="18"/>
          <w:szCs w:val="18"/>
        </w:rPr>
        <w:t>. zn.:</w:t>
      </w:r>
      <w:r w:rsidRPr="00AF4CEA">
        <w:rPr>
          <w:sz w:val="18"/>
          <w:szCs w:val="18"/>
        </w:rPr>
        <w:t>SUKL</w:t>
      </w:r>
      <w:r>
        <w:rPr>
          <w:sz w:val="18"/>
          <w:szCs w:val="18"/>
        </w:rPr>
        <w:t>358588</w:t>
      </w:r>
      <w:r w:rsidRPr="00AF4CEA">
        <w:rPr>
          <w:sz w:val="18"/>
          <w:szCs w:val="18"/>
        </w:rPr>
        <w:t>/20</w:t>
      </w:r>
      <w:r>
        <w:rPr>
          <w:sz w:val="18"/>
          <w:szCs w:val="18"/>
        </w:rPr>
        <w:t>18</w:t>
      </w:r>
      <w:r>
        <w:rPr>
          <w:sz w:val="18"/>
          <w:szCs w:val="18"/>
        </w:rPr>
        <w:t xml:space="preserve"> ze dne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7.1.2020</w:t>
      </w:r>
      <w:proofErr w:type="gramEnd"/>
      <w:r>
        <w:rPr>
          <w:sz w:val="18"/>
          <w:szCs w:val="18"/>
        </w:rPr>
        <w:t>.</w:t>
      </w:r>
    </w:p>
    <w:p w:rsidR="00E20B8C" w:rsidRDefault="00E20B8C" w:rsidP="00E20B8C">
      <w:pPr>
        <w:pStyle w:val="Default"/>
        <w:rPr>
          <w:bCs/>
          <w:sz w:val="18"/>
          <w:szCs w:val="18"/>
        </w:rPr>
      </w:pPr>
      <w:r>
        <w:rPr>
          <w:sz w:val="18"/>
          <w:szCs w:val="18"/>
        </w:rPr>
        <w:t xml:space="preserve">7 NCPE. </w:t>
      </w:r>
      <w:proofErr w:type="spellStart"/>
      <w:r w:rsidRPr="00E20B8C">
        <w:rPr>
          <w:bCs/>
          <w:sz w:val="18"/>
          <w:szCs w:val="18"/>
        </w:rPr>
        <w:t>Cost-effectiveness</w:t>
      </w:r>
      <w:proofErr w:type="spellEnd"/>
      <w:r w:rsidRPr="00E20B8C">
        <w:rPr>
          <w:bCs/>
          <w:sz w:val="18"/>
          <w:szCs w:val="18"/>
        </w:rPr>
        <w:t xml:space="preserve"> </w:t>
      </w:r>
      <w:proofErr w:type="spellStart"/>
      <w:r w:rsidRPr="00E20B8C">
        <w:rPr>
          <w:bCs/>
          <w:sz w:val="18"/>
          <w:szCs w:val="18"/>
        </w:rPr>
        <w:t>of</w:t>
      </w:r>
      <w:proofErr w:type="spellEnd"/>
      <w:r w:rsidRPr="00E20B8C">
        <w:rPr>
          <w:bCs/>
          <w:sz w:val="18"/>
          <w:szCs w:val="18"/>
        </w:rPr>
        <w:t xml:space="preserve"> </w:t>
      </w:r>
      <w:proofErr w:type="spellStart"/>
      <w:r w:rsidRPr="00E20B8C">
        <w:rPr>
          <w:bCs/>
          <w:sz w:val="18"/>
          <w:szCs w:val="18"/>
        </w:rPr>
        <w:t>erenumab</w:t>
      </w:r>
      <w:proofErr w:type="spellEnd"/>
      <w:r w:rsidRPr="00E20B8C">
        <w:rPr>
          <w:bCs/>
          <w:sz w:val="18"/>
          <w:szCs w:val="18"/>
        </w:rPr>
        <w:t xml:space="preserve"> (</w:t>
      </w:r>
      <w:proofErr w:type="spellStart"/>
      <w:r w:rsidRPr="00E20B8C">
        <w:rPr>
          <w:bCs/>
          <w:sz w:val="18"/>
          <w:szCs w:val="18"/>
        </w:rPr>
        <w:t>Aimovig</w:t>
      </w:r>
      <w:proofErr w:type="spellEnd"/>
      <w:r w:rsidRPr="00E20B8C">
        <w:rPr>
          <w:bCs/>
          <w:sz w:val="18"/>
          <w:szCs w:val="18"/>
        </w:rPr>
        <w:t xml:space="preserve">®) </w:t>
      </w:r>
      <w:proofErr w:type="spellStart"/>
      <w:r w:rsidRPr="00E20B8C">
        <w:rPr>
          <w:bCs/>
          <w:sz w:val="18"/>
          <w:szCs w:val="18"/>
        </w:rPr>
        <w:t>for</w:t>
      </w:r>
      <w:proofErr w:type="spellEnd"/>
      <w:r w:rsidRPr="00E20B8C">
        <w:rPr>
          <w:bCs/>
          <w:sz w:val="18"/>
          <w:szCs w:val="18"/>
        </w:rPr>
        <w:t xml:space="preserve"> </w:t>
      </w:r>
      <w:proofErr w:type="spellStart"/>
      <w:r w:rsidRPr="00E20B8C">
        <w:rPr>
          <w:bCs/>
          <w:sz w:val="18"/>
          <w:szCs w:val="18"/>
        </w:rPr>
        <w:t>the</w:t>
      </w:r>
      <w:proofErr w:type="spellEnd"/>
      <w:r w:rsidRPr="00E20B8C">
        <w:rPr>
          <w:bCs/>
          <w:sz w:val="18"/>
          <w:szCs w:val="18"/>
        </w:rPr>
        <w:t xml:space="preserve"> </w:t>
      </w:r>
      <w:proofErr w:type="spellStart"/>
      <w:r w:rsidRPr="00E20B8C">
        <w:rPr>
          <w:bCs/>
          <w:sz w:val="18"/>
          <w:szCs w:val="18"/>
        </w:rPr>
        <w:t>prophylaxis</w:t>
      </w:r>
      <w:proofErr w:type="spellEnd"/>
      <w:r w:rsidRPr="00E20B8C">
        <w:rPr>
          <w:bCs/>
          <w:sz w:val="18"/>
          <w:szCs w:val="18"/>
        </w:rPr>
        <w:t xml:space="preserve"> </w:t>
      </w:r>
      <w:proofErr w:type="spellStart"/>
      <w:r w:rsidRPr="00E20B8C">
        <w:rPr>
          <w:bCs/>
          <w:sz w:val="18"/>
          <w:szCs w:val="18"/>
        </w:rPr>
        <w:t>of</w:t>
      </w:r>
      <w:proofErr w:type="spellEnd"/>
      <w:r w:rsidRPr="00E20B8C">
        <w:rPr>
          <w:bCs/>
          <w:sz w:val="18"/>
          <w:szCs w:val="18"/>
        </w:rPr>
        <w:t xml:space="preserve"> </w:t>
      </w:r>
      <w:proofErr w:type="spellStart"/>
      <w:r w:rsidRPr="00E20B8C">
        <w:rPr>
          <w:bCs/>
          <w:sz w:val="18"/>
          <w:szCs w:val="18"/>
        </w:rPr>
        <w:t>migraine</w:t>
      </w:r>
      <w:proofErr w:type="spellEnd"/>
      <w:r w:rsidRPr="00E20B8C">
        <w:rPr>
          <w:bCs/>
          <w:sz w:val="18"/>
          <w:szCs w:val="18"/>
        </w:rPr>
        <w:t xml:space="preserve"> in </w:t>
      </w:r>
      <w:proofErr w:type="spellStart"/>
      <w:r w:rsidRPr="00E20B8C">
        <w:rPr>
          <w:bCs/>
          <w:sz w:val="18"/>
          <w:szCs w:val="18"/>
        </w:rPr>
        <w:t>adults</w:t>
      </w:r>
      <w:proofErr w:type="spellEnd"/>
      <w:r>
        <w:rPr>
          <w:bCs/>
          <w:sz w:val="18"/>
          <w:szCs w:val="18"/>
        </w:rPr>
        <w:t xml:space="preserve">. </w:t>
      </w:r>
      <w:proofErr w:type="spellStart"/>
      <w:r>
        <w:rPr>
          <w:bCs/>
          <w:sz w:val="18"/>
          <w:szCs w:val="18"/>
        </w:rPr>
        <w:t>September</w:t>
      </w:r>
      <w:proofErr w:type="spellEnd"/>
      <w:r>
        <w:rPr>
          <w:bCs/>
          <w:sz w:val="18"/>
          <w:szCs w:val="18"/>
        </w:rPr>
        <w:t xml:space="preserve"> 2019</w:t>
      </w:r>
    </w:p>
    <w:p w:rsidR="00025D2B" w:rsidRDefault="00024D65" w:rsidP="00024D65">
      <w:pPr>
        <w:autoSpaceDE w:val="0"/>
        <w:autoSpaceDN w:val="0"/>
        <w:adjustRightInd w:val="0"/>
        <w:spacing w:after="0" w:line="240" w:lineRule="auto"/>
        <w:rPr>
          <w:rFonts w:cs="SourceSansPro-Regular"/>
          <w:i/>
          <w:color w:val="333333"/>
          <w:sz w:val="18"/>
          <w:szCs w:val="18"/>
        </w:rPr>
      </w:pPr>
      <w:r>
        <w:rPr>
          <w:bCs/>
          <w:sz w:val="18"/>
          <w:szCs w:val="18"/>
        </w:rPr>
        <w:t xml:space="preserve">8 </w:t>
      </w:r>
      <w:proofErr w:type="spellStart"/>
      <w:r>
        <w:rPr>
          <w:bCs/>
          <w:sz w:val="18"/>
          <w:szCs w:val="18"/>
        </w:rPr>
        <w:t>Irimia</w:t>
      </w:r>
      <w:proofErr w:type="spellEnd"/>
      <w:r>
        <w:rPr>
          <w:bCs/>
          <w:sz w:val="18"/>
          <w:szCs w:val="18"/>
        </w:rPr>
        <w:t xml:space="preserve"> P, </w:t>
      </w:r>
      <w:proofErr w:type="gramStart"/>
      <w:r>
        <w:rPr>
          <w:bCs/>
          <w:sz w:val="18"/>
          <w:szCs w:val="18"/>
        </w:rPr>
        <w:t>et</w:t>
      </w:r>
      <w:proofErr w:type="gramEnd"/>
      <w:r>
        <w:rPr>
          <w:bCs/>
          <w:sz w:val="18"/>
          <w:szCs w:val="18"/>
        </w:rPr>
        <w:t>.</w:t>
      </w:r>
      <w:proofErr w:type="gramStart"/>
      <w:r>
        <w:rPr>
          <w:bCs/>
          <w:sz w:val="18"/>
          <w:szCs w:val="18"/>
        </w:rPr>
        <w:t>al</w:t>
      </w:r>
      <w:proofErr w:type="gramEnd"/>
      <w:r>
        <w:rPr>
          <w:bCs/>
          <w:sz w:val="18"/>
          <w:szCs w:val="18"/>
        </w:rPr>
        <w:t xml:space="preserve">. </w:t>
      </w:r>
      <w:proofErr w:type="spellStart"/>
      <w:r w:rsidRPr="00024D65">
        <w:rPr>
          <w:rFonts w:cs="Martel-Regular"/>
          <w:sz w:val="18"/>
          <w:szCs w:val="18"/>
        </w:rPr>
        <w:t>Cost</w:t>
      </w:r>
      <w:proofErr w:type="spellEnd"/>
      <w:r w:rsidRPr="00024D65">
        <w:rPr>
          <w:rFonts w:cs="Martel-Regular"/>
          <w:sz w:val="18"/>
          <w:szCs w:val="18"/>
        </w:rPr>
        <w:t xml:space="preserve"> </w:t>
      </w:r>
      <w:proofErr w:type="spellStart"/>
      <w:r w:rsidRPr="00024D65">
        <w:rPr>
          <w:rFonts w:cs="Martel-Regular"/>
          <w:sz w:val="18"/>
          <w:szCs w:val="18"/>
        </w:rPr>
        <w:t>of</w:t>
      </w:r>
      <w:proofErr w:type="spellEnd"/>
      <w:r w:rsidRPr="00024D65">
        <w:rPr>
          <w:rFonts w:cs="Martel-Regular"/>
          <w:sz w:val="18"/>
          <w:szCs w:val="18"/>
        </w:rPr>
        <w:t xml:space="preserve"> </w:t>
      </w:r>
      <w:proofErr w:type="spellStart"/>
      <w:r w:rsidRPr="00024D65">
        <w:rPr>
          <w:rFonts w:cs="Martel-Regular"/>
          <w:sz w:val="18"/>
          <w:szCs w:val="18"/>
        </w:rPr>
        <w:t>fremanezumab</w:t>
      </w:r>
      <w:proofErr w:type="spellEnd"/>
      <w:r w:rsidRPr="00024D65">
        <w:rPr>
          <w:rFonts w:cs="Martel-Regular"/>
          <w:sz w:val="18"/>
          <w:szCs w:val="18"/>
        </w:rPr>
        <w:t xml:space="preserve">, </w:t>
      </w:r>
      <w:proofErr w:type="spellStart"/>
      <w:r w:rsidRPr="00024D65">
        <w:rPr>
          <w:rFonts w:cs="Martel-Regular"/>
          <w:sz w:val="18"/>
          <w:szCs w:val="18"/>
        </w:rPr>
        <w:t>erenumab</w:t>
      </w:r>
      <w:proofErr w:type="spellEnd"/>
      <w:r w:rsidRPr="00024D65">
        <w:rPr>
          <w:rFonts w:cs="Martel-Regular"/>
          <w:sz w:val="18"/>
          <w:szCs w:val="18"/>
        </w:rPr>
        <w:t xml:space="preserve">, </w:t>
      </w:r>
      <w:proofErr w:type="spellStart"/>
      <w:r w:rsidRPr="00024D65">
        <w:rPr>
          <w:rFonts w:cs="Martel-Regular"/>
          <w:sz w:val="18"/>
          <w:szCs w:val="18"/>
        </w:rPr>
        <w:t>galcanezumab</w:t>
      </w:r>
      <w:proofErr w:type="spellEnd"/>
      <w:r w:rsidRPr="00024D65">
        <w:rPr>
          <w:rFonts w:cs="Martel-Regular"/>
          <w:sz w:val="18"/>
          <w:szCs w:val="18"/>
        </w:rPr>
        <w:t xml:space="preserve"> and </w:t>
      </w:r>
      <w:proofErr w:type="spellStart"/>
      <w:r w:rsidRPr="00024D65">
        <w:rPr>
          <w:rFonts w:cs="Martel-Regular"/>
          <w:sz w:val="18"/>
          <w:szCs w:val="18"/>
        </w:rPr>
        <w:t>onabotulinumtoxinA</w:t>
      </w:r>
      <w:proofErr w:type="spellEnd"/>
      <w:r>
        <w:rPr>
          <w:rFonts w:cs="Martel-Regular"/>
          <w:sz w:val="18"/>
          <w:szCs w:val="18"/>
        </w:rPr>
        <w:t xml:space="preserve"> </w:t>
      </w:r>
      <w:proofErr w:type="spellStart"/>
      <w:r w:rsidRPr="00024D65">
        <w:rPr>
          <w:rFonts w:cs="Martel-Regular"/>
          <w:sz w:val="18"/>
          <w:szCs w:val="18"/>
        </w:rPr>
        <w:t>associated</w:t>
      </w:r>
      <w:proofErr w:type="spellEnd"/>
      <w:r w:rsidRPr="00024D65">
        <w:rPr>
          <w:rFonts w:cs="Martel-Regular"/>
          <w:sz w:val="18"/>
          <w:szCs w:val="18"/>
        </w:rPr>
        <w:t xml:space="preserve"> </w:t>
      </w:r>
      <w:proofErr w:type="spellStart"/>
      <w:r w:rsidRPr="00024D65">
        <w:rPr>
          <w:rFonts w:cs="Martel-Regular"/>
          <w:sz w:val="18"/>
          <w:szCs w:val="18"/>
        </w:rPr>
        <w:t>adverse</w:t>
      </w:r>
      <w:proofErr w:type="spellEnd"/>
      <w:r w:rsidRPr="00024D65">
        <w:rPr>
          <w:rFonts w:cs="Martel-Regular"/>
          <w:sz w:val="18"/>
          <w:szCs w:val="18"/>
        </w:rPr>
        <w:t xml:space="preserve"> </w:t>
      </w:r>
      <w:proofErr w:type="spellStart"/>
      <w:r w:rsidRPr="00024D65">
        <w:rPr>
          <w:rFonts w:cs="Martel-Regular"/>
          <w:sz w:val="18"/>
          <w:szCs w:val="18"/>
        </w:rPr>
        <w:t>events</w:t>
      </w:r>
      <w:proofErr w:type="spellEnd"/>
      <w:r w:rsidRPr="00024D65">
        <w:rPr>
          <w:rFonts w:cs="Martel-Regular"/>
          <w:sz w:val="18"/>
          <w:szCs w:val="18"/>
        </w:rPr>
        <w:t xml:space="preserve">, </w:t>
      </w:r>
      <w:proofErr w:type="spellStart"/>
      <w:r w:rsidRPr="00024D65">
        <w:rPr>
          <w:rFonts w:cs="Martel-Regular"/>
          <w:sz w:val="18"/>
          <w:szCs w:val="18"/>
        </w:rPr>
        <w:t>for</w:t>
      </w:r>
      <w:proofErr w:type="spellEnd"/>
      <w:r w:rsidRPr="00024D65">
        <w:rPr>
          <w:rFonts w:cs="Martel-Regular"/>
          <w:sz w:val="18"/>
          <w:szCs w:val="18"/>
        </w:rPr>
        <w:t xml:space="preserve"> </w:t>
      </w:r>
      <w:proofErr w:type="spellStart"/>
      <w:r w:rsidRPr="00024D65">
        <w:rPr>
          <w:rFonts w:cs="Martel-Regular"/>
          <w:sz w:val="18"/>
          <w:szCs w:val="18"/>
        </w:rPr>
        <w:t>migraine</w:t>
      </w:r>
      <w:proofErr w:type="spellEnd"/>
      <w:r w:rsidRPr="00024D65">
        <w:rPr>
          <w:rFonts w:cs="Martel-Regular"/>
          <w:sz w:val="18"/>
          <w:szCs w:val="18"/>
        </w:rPr>
        <w:t xml:space="preserve"> </w:t>
      </w:r>
      <w:proofErr w:type="spellStart"/>
      <w:r w:rsidRPr="00024D65">
        <w:rPr>
          <w:rFonts w:cs="Martel-Regular"/>
          <w:sz w:val="18"/>
          <w:szCs w:val="18"/>
        </w:rPr>
        <w:t>prophylaxis</w:t>
      </w:r>
      <w:proofErr w:type="spellEnd"/>
      <w:r w:rsidRPr="00024D65">
        <w:rPr>
          <w:rFonts w:cs="Martel-Regular"/>
          <w:sz w:val="18"/>
          <w:szCs w:val="18"/>
        </w:rPr>
        <w:t xml:space="preserve"> in </w:t>
      </w:r>
      <w:proofErr w:type="spellStart"/>
      <w:r w:rsidRPr="00024D65">
        <w:rPr>
          <w:rFonts w:cs="Martel-Regular"/>
          <w:sz w:val="18"/>
          <w:szCs w:val="18"/>
        </w:rPr>
        <w:t>Spain</w:t>
      </w:r>
      <w:proofErr w:type="spellEnd"/>
      <w:r>
        <w:rPr>
          <w:rFonts w:cs="Martel-Regular"/>
          <w:sz w:val="18"/>
          <w:szCs w:val="18"/>
        </w:rPr>
        <w:t xml:space="preserve">. </w:t>
      </w:r>
      <w:r w:rsidRPr="00025D2B">
        <w:rPr>
          <w:rFonts w:cs="SourceSansPro-Regular"/>
          <w:i/>
          <w:color w:val="333333"/>
          <w:sz w:val="18"/>
          <w:szCs w:val="18"/>
        </w:rPr>
        <w:t xml:space="preserve">Expert </w:t>
      </w:r>
      <w:proofErr w:type="spellStart"/>
      <w:r w:rsidRPr="00025D2B">
        <w:rPr>
          <w:rFonts w:cs="SourceSansPro-Regular"/>
          <w:i/>
          <w:color w:val="333333"/>
          <w:sz w:val="18"/>
          <w:szCs w:val="18"/>
        </w:rPr>
        <w:t>Review</w:t>
      </w:r>
      <w:proofErr w:type="spellEnd"/>
      <w:r w:rsidRPr="00025D2B">
        <w:rPr>
          <w:rFonts w:cs="SourceSansPro-Regular"/>
          <w:i/>
          <w:color w:val="333333"/>
          <w:sz w:val="18"/>
          <w:szCs w:val="18"/>
        </w:rPr>
        <w:t xml:space="preserve"> </w:t>
      </w:r>
      <w:proofErr w:type="spellStart"/>
      <w:r w:rsidRPr="00025D2B">
        <w:rPr>
          <w:rFonts w:cs="SourceSansPro-Regular"/>
          <w:i/>
          <w:color w:val="333333"/>
          <w:sz w:val="18"/>
          <w:szCs w:val="18"/>
        </w:rPr>
        <w:t>of</w:t>
      </w:r>
      <w:proofErr w:type="spellEnd"/>
      <w:r w:rsidRPr="00025D2B">
        <w:rPr>
          <w:rFonts w:cs="SourceSansPro-Regular"/>
          <w:i/>
          <w:color w:val="333333"/>
          <w:sz w:val="18"/>
          <w:szCs w:val="18"/>
        </w:rPr>
        <w:t xml:space="preserve"> </w:t>
      </w:r>
      <w:proofErr w:type="spellStart"/>
      <w:r w:rsidRPr="00025D2B">
        <w:rPr>
          <w:rFonts w:cs="SourceSansPro-Regular"/>
          <w:i/>
          <w:color w:val="333333"/>
          <w:sz w:val="18"/>
          <w:szCs w:val="18"/>
        </w:rPr>
        <w:t>Pharmacoeconomics</w:t>
      </w:r>
      <w:proofErr w:type="spellEnd"/>
      <w:r w:rsidRPr="00025D2B">
        <w:rPr>
          <w:rFonts w:cs="SourceSansPro-Regular"/>
          <w:i/>
          <w:color w:val="333333"/>
          <w:sz w:val="18"/>
          <w:szCs w:val="18"/>
        </w:rPr>
        <w:t xml:space="preserve"> &amp; </w:t>
      </w:r>
      <w:proofErr w:type="spellStart"/>
      <w:r w:rsidRPr="00025D2B">
        <w:rPr>
          <w:rFonts w:cs="SourceSansPro-Regular"/>
          <w:i/>
          <w:color w:val="333333"/>
          <w:sz w:val="18"/>
          <w:szCs w:val="18"/>
        </w:rPr>
        <w:t>Outcomes</w:t>
      </w:r>
      <w:proofErr w:type="spellEnd"/>
      <w:r w:rsidRPr="00025D2B">
        <w:rPr>
          <w:rFonts w:cs="SourceSansPro-Regular"/>
          <w:i/>
          <w:color w:val="333333"/>
          <w:sz w:val="18"/>
          <w:szCs w:val="18"/>
        </w:rPr>
        <w:t xml:space="preserve"> </w:t>
      </w:r>
    </w:p>
    <w:p w:rsidR="00024D65" w:rsidRPr="00024D65" w:rsidRDefault="00025D2B" w:rsidP="00024D65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rFonts w:cs="SourceSansPro-Regular"/>
          <w:i/>
          <w:color w:val="333333"/>
          <w:sz w:val="18"/>
          <w:szCs w:val="18"/>
        </w:rPr>
        <w:t xml:space="preserve">   </w:t>
      </w:r>
      <w:proofErr w:type="spellStart"/>
      <w:r w:rsidR="00024D65" w:rsidRPr="00025D2B">
        <w:rPr>
          <w:rFonts w:cs="SourceSansPro-Regular"/>
          <w:i/>
          <w:color w:val="333333"/>
          <w:sz w:val="18"/>
          <w:szCs w:val="18"/>
        </w:rPr>
        <w:t>Research</w:t>
      </w:r>
      <w:proofErr w:type="spellEnd"/>
      <w:r w:rsidR="00024D65" w:rsidRPr="00025D2B">
        <w:rPr>
          <w:rFonts w:cs="SourceSansPro-Regular"/>
          <w:i/>
          <w:color w:val="333333"/>
          <w:sz w:val="18"/>
          <w:szCs w:val="18"/>
        </w:rPr>
        <w:t xml:space="preserve"> </w:t>
      </w:r>
      <w:r w:rsidR="00024D65" w:rsidRPr="00024D65">
        <w:rPr>
          <w:rFonts w:cs="SourceSansPro-Regular"/>
          <w:color w:val="333333"/>
          <w:sz w:val="18"/>
          <w:szCs w:val="18"/>
        </w:rPr>
        <w:t>· June 2020</w:t>
      </w:r>
    </w:p>
    <w:p w:rsidR="00024D65" w:rsidRPr="00024D65" w:rsidRDefault="00024D65" w:rsidP="00024D65">
      <w:pPr>
        <w:autoSpaceDE w:val="0"/>
        <w:autoSpaceDN w:val="0"/>
        <w:adjustRightInd w:val="0"/>
        <w:spacing w:after="0" w:line="240" w:lineRule="auto"/>
        <w:rPr>
          <w:rFonts w:cs="Martel-Regular"/>
          <w:sz w:val="18"/>
          <w:szCs w:val="18"/>
        </w:rPr>
      </w:pPr>
      <w:bookmarkStart w:id="0" w:name="_GoBack"/>
      <w:bookmarkEnd w:id="0"/>
    </w:p>
    <w:sectPr w:rsidR="00024D65" w:rsidRPr="00024D65" w:rsidSect="00996366">
      <w:footerReference w:type="default" r:id="rId18"/>
      <w:pgSz w:w="16838" w:h="11906" w:orient="landscape"/>
      <w:pgMar w:top="851" w:right="1077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F99" w:rsidRDefault="00655F99" w:rsidP="0034343F">
      <w:pPr>
        <w:spacing w:after="0" w:line="240" w:lineRule="auto"/>
      </w:pPr>
      <w:r>
        <w:separator/>
      </w:r>
    </w:p>
  </w:endnote>
  <w:endnote w:type="continuationSeparator" w:id="0">
    <w:p w:rsidR="00655F99" w:rsidRDefault="00655F99" w:rsidP="00343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Sans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artel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3683360"/>
      <w:docPartObj>
        <w:docPartGallery w:val="Page Numbers (Bottom of Page)"/>
        <w:docPartUnique/>
      </w:docPartObj>
    </w:sdtPr>
    <w:sdtEndPr/>
    <w:sdtContent>
      <w:p w:rsidR="0034343F" w:rsidRDefault="004256E5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5D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343F" w:rsidRDefault="003434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F99" w:rsidRDefault="00655F99" w:rsidP="0034343F">
      <w:pPr>
        <w:spacing w:after="0" w:line="240" w:lineRule="auto"/>
      </w:pPr>
      <w:r>
        <w:separator/>
      </w:r>
    </w:p>
  </w:footnote>
  <w:footnote w:type="continuationSeparator" w:id="0">
    <w:p w:rsidR="00655F99" w:rsidRDefault="00655F99" w:rsidP="00343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45981"/>
    <w:multiLevelType w:val="hybridMultilevel"/>
    <w:tmpl w:val="2966B3E0"/>
    <w:lvl w:ilvl="0" w:tplc="A6349F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41969"/>
    <w:multiLevelType w:val="hybridMultilevel"/>
    <w:tmpl w:val="8DE29A54"/>
    <w:lvl w:ilvl="0" w:tplc="A0E2A2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02E14"/>
    <w:multiLevelType w:val="hybridMultilevel"/>
    <w:tmpl w:val="7F46FF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00E7E"/>
    <w:multiLevelType w:val="hybridMultilevel"/>
    <w:tmpl w:val="99E6B2C8"/>
    <w:lvl w:ilvl="0" w:tplc="00A4E5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8F6570"/>
    <w:multiLevelType w:val="hybridMultilevel"/>
    <w:tmpl w:val="CAC6B590"/>
    <w:lvl w:ilvl="0" w:tplc="22E63D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FB0"/>
    <w:rsid w:val="0001337A"/>
    <w:rsid w:val="00013A1B"/>
    <w:rsid w:val="00024D65"/>
    <w:rsid w:val="00025D2B"/>
    <w:rsid w:val="0006388F"/>
    <w:rsid w:val="0009255F"/>
    <w:rsid w:val="000A7A05"/>
    <w:rsid w:val="000F203D"/>
    <w:rsid w:val="000F5C28"/>
    <w:rsid w:val="00140562"/>
    <w:rsid w:val="00140925"/>
    <w:rsid w:val="00164A0E"/>
    <w:rsid w:val="001A67DE"/>
    <w:rsid w:val="001B57EA"/>
    <w:rsid w:val="001C3463"/>
    <w:rsid w:val="001D282A"/>
    <w:rsid w:val="00230263"/>
    <w:rsid w:val="00334DD1"/>
    <w:rsid w:val="0034343F"/>
    <w:rsid w:val="00391F6B"/>
    <w:rsid w:val="004256E5"/>
    <w:rsid w:val="004A376A"/>
    <w:rsid w:val="004B3888"/>
    <w:rsid w:val="004B7A20"/>
    <w:rsid w:val="004C5D2D"/>
    <w:rsid w:val="004E0EAF"/>
    <w:rsid w:val="004F6245"/>
    <w:rsid w:val="00553C5C"/>
    <w:rsid w:val="005B4FB0"/>
    <w:rsid w:val="005D1C74"/>
    <w:rsid w:val="00610624"/>
    <w:rsid w:val="00655F99"/>
    <w:rsid w:val="006A3FA6"/>
    <w:rsid w:val="006D0F1B"/>
    <w:rsid w:val="006E769E"/>
    <w:rsid w:val="00736306"/>
    <w:rsid w:val="0073676D"/>
    <w:rsid w:val="00774CC2"/>
    <w:rsid w:val="007A0429"/>
    <w:rsid w:val="007C0907"/>
    <w:rsid w:val="007E4749"/>
    <w:rsid w:val="007F66F7"/>
    <w:rsid w:val="00814ACF"/>
    <w:rsid w:val="00843148"/>
    <w:rsid w:val="00861EDB"/>
    <w:rsid w:val="00880B32"/>
    <w:rsid w:val="00883737"/>
    <w:rsid w:val="009036AF"/>
    <w:rsid w:val="009049C8"/>
    <w:rsid w:val="00906E3C"/>
    <w:rsid w:val="009856F4"/>
    <w:rsid w:val="00996366"/>
    <w:rsid w:val="009A5FE2"/>
    <w:rsid w:val="009C2339"/>
    <w:rsid w:val="00A1709E"/>
    <w:rsid w:val="00A30CD8"/>
    <w:rsid w:val="00A35052"/>
    <w:rsid w:val="00AF4CEA"/>
    <w:rsid w:val="00B041FE"/>
    <w:rsid w:val="00B37359"/>
    <w:rsid w:val="00B55ABF"/>
    <w:rsid w:val="00C370A2"/>
    <w:rsid w:val="00C543F9"/>
    <w:rsid w:val="00C57F8F"/>
    <w:rsid w:val="00C65065"/>
    <w:rsid w:val="00C668B3"/>
    <w:rsid w:val="00CE3656"/>
    <w:rsid w:val="00CF3084"/>
    <w:rsid w:val="00D02B8C"/>
    <w:rsid w:val="00D21B2C"/>
    <w:rsid w:val="00D42D2A"/>
    <w:rsid w:val="00D70823"/>
    <w:rsid w:val="00D901EE"/>
    <w:rsid w:val="00DE0A53"/>
    <w:rsid w:val="00E20B8C"/>
    <w:rsid w:val="00E21919"/>
    <w:rsid w:val="00E50326"/>
    <w:rsid w:val="00E5433D"/>
    <w:rsid w:val="00E717AF"/>
    <w:rsid w:val="00EB3C1D"/>
    <w:rsid w:val="00ED14C4"/>
    <w:rsid w:val="00F167BC"/>
    <w:rsid w:val="00F32019"/>
    <w:rsid w:val="00F3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0C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D2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43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343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343F"/>
  </w:style>
  <w:style w:type="paragraph" w:styleId="Zpat">
    <w:name w:val="footer"/>
    <w:basedOn w:val="Normln"/>
    <w:link w:val="ZpatChar"/>
    <w:uiPriority w:val="99"/>
    <w:unhideWhenUsed/>
    <w:rsid w:val="00343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43F"/>
  </w:style>
  <w:style w:type="paragraph" w:customStyle="1" w:styleId="Default">
    <w:name w:val="Default"/>
    <w:rsid w:val="00E20B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9</Pages>
  <Words>840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Dudovi</cp:lastModifiedBy>
  <cp:revision>46</cp:revision>
  <dcterms:created xsi:type="dcterms:W3CDTF">2021-01-26T17:45:00Z</dcterms:created>
  <dcterms:modified xsi:type="dcterms:W3CDTF">2021-01-28T12:32:00Z</dcterms:modified>
</cp:coreProperties>
</file>