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2B6" w:rsidRDefault="00A75B82" w:rsidP="006932B6">
      <w:pPr>
        <w:jc w:val="right"/>
      </w:pPr>
      <w:proofErr w:type="gramStart"/>
      <w:r>
        <w:t>2</w:t>
      </w:r>
      <w:r w:rsidR="00CA21C0">
        <w:t>5</w:t>
      </w:r>
      <w:r w:rsidR="006932B6">
        <w:t>.</w:t>
      </w:r>
      <w:r w:rsidR="0071560F">
        <w:t>1</w:t>
      </w:r>
      <w:r w:rsidR="006932B6">
        <w:t>.202</w:t>
      </w:r>
      <w:r w:rsidR="00CA21C0">
        <w:t>1</w:t>
      </w:r>
      <w:proofErr w:type="gramEnd"/>
    </w:p>
    <w:p w:rsidR="006932B6" w:rsidRDefault="006932B6" w:rsidP="006932B6">
      <w:pPr>
        <w:jc w:val="right"/>
      </w:pPr>
    </w:p>
    <w:p w:rsidR="006932B6" w:rsidRPr="00787C8A" w:rsidRDefault="006932B6" w:rsidP="006932B6">
      <w:pPr>
        <w:jc w:val="center"/>
        <w:outlineLvl w:val="0"/>
      </w:pPr>
      <w:r>
        <w:t>Farmakoekonomická</w:t>
      </w:r>
      <w:r w:rsidRPr="00787C8A">
        <w:t xml:space="preserve"> analýza pro</w:t>
      </w:r>
      <w:r w:rsidR="00C3669A">
        <w:t xml:space="preserve"> léčivý přípravek</w:t>
      </w:r>
    </w:p>
    <w:p w:rsidR="006932B6" w:rsidRPr="0071560F" w:rsidRDefault="00CA21C0" w:rsidP="00CA21C0">
      <w:pPr>
        <w:jc w:val="center"/>
        <w:outlineLvl w:val="0"/>
        <w:rPr>
          <w:b/>
          <w:spacing w:val="60"/>
          <w:sz w:val="52"/>
          <w:szCs w:val="52"/>
        </w:rPr>
      </w:pPr>
      <w:r>
        <w:rPr>
          <w:b/>
          <w:spacing w:val="60"/>
          <w:sz w:val="52"/>
          <w:szCs w:val="52"/>
        </w:rPr>
        <w:t>JINARC</w:t>
      </w:r>
      <w:r w:rsidR="0071560F">
        <w:rPr>
          <w:b/>
          <w:spacing w:val="60"/>
          <w:sz w:val="52"/>
          <w:szCs w:val="52"/>
        </w:rPr>
        <w:br/>
      </w:r>
      <w:r w:rsidR="0071560F" w:rsidRPr="0071560F">
        <w:rPr>
          <w:b/>
          <w:spacing w:val="40"/>
          <w:sz w:val="28"/>
          <w:szCs w:val="28"/>
        </w:rPr>
        <w:t xml:space="preserve">v terapií </w:t>
      </w:r>
      <w:proofErr w:type="spellStart"/>
      <w:r>
        <w:rPr>
          <w:b/>
          <w:spacing w:val="40"/>
          <w:sz w:val="28"/>
          <w:szCs w:val="28"/>
        </w:rPr>
        <w:t>polycystické</w:t>
      </w:r>
      <w:proofErr w:type="spellEnd"/>
      <w:r>
        <w:rPr>
          <w:b/>
          <w:spacing w:val="40"/>
          <w:sz w:val="28"/>
          <w:szCs w:val="28"/>
        </w:rPr>
        <w:t xml:space="preserve"> choroby ledvin autozomálně dominantního typu (PCHLAD)</w:t>
      </w:r>
    </w:p>
    <w:p w:rsidR="006932B6" w:rsidRDefault="006932B6" w:rsidP="006932B6">
      <w:pPr>
        <w:rPr>
          <w:b/>
          <w:sz w:val="36"/>
          <w:szCs w:val="36"/>
        </w:rPr>
      </w:pPr>
    </w:p>
    <w:p w:rsidR="006932B6" w:rsidRPr="008E61E9" w:rsidRDefault="006932B6" w:rsidP="006932B6">
      <w:pPr>
        <w:outlineLvl w:val="0"/>
        <w:rPr>
          <w:rFonts w:ascii="Calibri" w:hAnsi="Calibri" w:cs="Calibri"/>
        </w:rPr>
      </w:pPr>
      <w:r>
        <w:rPr>
          <w:b/>
        </w:rPr>
        <w:t>Ú</w:t>
      </w:r>
      <w:r w:rsidRPr="00787C8A">
        <w:rPr>
          <w:b/>
        </w:rPr>
        <w:t>činná látka:</w:t>
      </w:r>
      <w:r>
        <w:rPr>
          <w:b/>
        </w:rPr>
        <w:t xml:space="preserve">      </w:t>
      </w:r>
      <w:proofErr w:type="spellStart"/>
      <w:r w:rsidR="00CA21C0">
        <w:t>tolvaptan</w:t>
      </w:r>
      <w:proofErr w:type="spellEnd"/>
    </w:p>
    <w:p w:rsidR="006932B6" w:rsidRPr="008E61E9" w:rsidRDefault="006932B6" w:rsidP="006932B6">
      <w:pPr>
        <w:rPr>
          <w:rFonts w:ascii="Calibri" w:hAnsi="Calibri" w:cs="Calibri"/>
        </w:rPr>
      </w:pPr>
      <w:r w:rsidRPr="008E61E9">
        <w:rPr>
          <w:rFonts w:ascii="Calibri" w:hAnsi="Calibri" w:cs="Calibri"/>
          <w:b/>
        </w:rPr>
        <w:t xml:space="preserve">mechanismus </w:t>
      </w:r>
      <w:proofErr w:type="gramStart"/>
      <w:r w:rsidRPr="008E61E9">
        <w:rPr>
          <w:rFonts w:ascii="Calibri" w:hAnsi="Calibri" w:cs="Calibri"/>
          <w:b/>
        </w:rPr>
        <w:t>účinku:</w:t>
      </w:r>
      <w:r w:rsidRPr="008E61E9">
        <w:rPr>
          <w:rFonts w:ascii="Calibri" w:hAnsi="Calibri" w:cs="Calibri"/>
        </w:rPr>
        <w:t xml:space="preserve">    </w:t>
      </w:r>
      <w:r w:rsidR="00CA21C0">
        <w:rPr>
          <w:rFonts w:ascii="Calibri" w:hAnsi="Calibri" w:cs="Calibri"/>
        </w:rPr>
        <w:t>antagonista</w:t>
      </w:r>
      <w:proofErr w:type="gramEnd"/>
      <w:r w:rsidR="00CA21C0">
        <w:rPr>
          <w:rFonts w:ascii="Calibri" w:hAnsi="Calibri" w:cs="Calibri"/>
        </w:rPr>
        <w:t xml:space="preserve"> V2 receptorů</w:t>
      </w:r>
    </w:p>
    <w:p w:rsidR="006932B6" w:rsidRPr="008E61E9" w:rsidRDefault="006932B6" w:rsidP="006932B6">
      <w:pPr>
        <w:rPr>
          <w:rFonts w:ascii="Calibri" w:hAnsi="Calibri" w:cs="Calibri"/>
        </w:rPr>
      </w:pPr>
      <w:r w:rsidRPr="008E61E9">
        <w:rPr>
          <w:rFonts w:ascii="Calibri" w:hAnsi="Calibri" w:cs="Calibri"/>
          <w:b/>
        </w:rPr>
        <w:t>Výrobce:</w:t>
      </w:r>
      <w:r w:rsidRPr="008E61E9">
        <w:rPr>
          <w:rFonts w:ascii="Calibri" w:hAnsi="Calibri" w:cs="Calibri"/>
        </w:rPr>
        <w:t xml:space="preserve">     </w:t>
      </w:r>
      <w:proofErr w:type="spellStart"/>
      <w:r w:rsidR="00CA21C0" w:rsidRPr="00CA21C0">
        <w:rPr>
          <w:rFonts w:ascii="Calibri" w:hAnsi="Calibri" w:cs="Calibri"/>
        </w:rPr>
        <w:t>Swixx</w:t>
      </w:r>
      <w:proofErr w:type="spellEnd"/>
      <w:r w:rsidR="00CA21C0" w:rsidRPr="00CA21C0">
        <w:rPr>
          <w:rFonts w:ascii="Calibri" w:hAnsi="Calibri" w:cs="Calibri"/>
        </w:rPr>
        <w:t xml:space="preserve"> </w:t>
      </w:r>
      <w:proofErr w:type="spellStart"/>
      <w:r w:rsidR="00CA21C0" w:rsidRPr="00CA21C0">
        <w:rPr>
          <w:rFonts w:ascii="Calibri" w:hAnsi="Calibri" w:cs="Calibri"/>
        </w:rPr>
        <w:t>Biopharma</w:t>
      </w:r>
      <w:proofErr w:type="spellEnd"/>
      <w:r w:rsidR="00CA21C0" w:rsidRPr="00CA21C0">
        <w:rPr>
          <w:rFonts w:ascii="Calibri" w:hAnsi="Calibri" w:cs="Calibri"/>
        </w:rPr>
        <w:t xml:space="preserve"> s.r.o.</w:t>
      </w:r>
    </w:p>
    <w:p w:rsidR="00AF79C5" w:rsidRDefault="006932B6" w:rsidP="006932B6">
      <w:r w:rsidRPr="008E61E9">
        <w:rPr>
          <w:rFonts w:ascii="Calibri" w:hAnsi="Calibri" w:cs="Calibri"/>
          <w:b/>
        </w:rPr>
        <w:t>indikace dle SPC:</w:t>
      </w:r>
      <w:r w:rsidRPr="008E61E9">
        <w:rPr>
          <w:rFonts w:ascii="Calibri" w:hAnsi="Calibri" w:cs="Calibri"/>
        </w:rPr>
        <w:t xml:space="preserve">    </w:t>
      </w:r>
      <w:r w:rsidR="00CA21C0" w:rsidRPr="00CA21C0">
        <w:t xml:space="preserve">Přípravek </w:t>
      </w:r>
      <w:proofErr w:type="spellStart"/>
      <w:r w:rsidR="00CA21C0" w:rsidRPr="00CA21C0">
        <w:t>Jinarc</w:t>
      </w:r>
      <w:proofErr w:type="spellEnd"/>
      <w:r w:rsidR="00CA21C0" w:rsidRPr="00CA21C0">
        <w:t xml:space="preserve"> je indikován ke zpomalení progrese vzniku cyst a renální insuficience při </w:t>
      </w:r>
      <w:proofErr w:type="spellStart"/>
      <w:r w:rsidR="00CA21C0" w:rsidRPr="00CA21C0">
        <w:t>polycystické</w:t>
      </w:r>
      <w:proofErr w:type="spellEnd"/>
      <w:r w:rsidR="00CA21C0" w:rsidRPr="00CA21C0">
        <w:t xml:space="preserve"> chorobě ledvin </w:t>
      </w:r>
      <w:proofErr w:type="spellStart"/>
      <w:r w:rsidR="00CA21C0" w:rsidRPr="00CA21C0">
        <w:t>autosomálně</w:t>
      </w:r>
      <w:proofErr w:type="spellEnd"/>
      <w:r w:rsidR="00CA21C0" w:rsidRPr="00CA21C0">
        <w:t xml:space="preserve"> dominantního typu (PCHLAD) u dospělých pacientů s chronickým onemocněním ledvin (</w:t>
      </w:r>
      <w:proofErr w:type="spellStart"/>
      <w:r w:rsidR="00CA21C0" w:rsidRPr="00CA21C0">
        <w:t>Chronic</w:t>
      </w:r>
      <w:proofErr w:type="spellEnd"/>
      <w:r w:rsidR="00CA21C0" w:rsidRPr="00CA21C0">
        <w:t xml:space="preserve"> </w:t>
      </w:r>
      <w:proofErr w:type="spellStart"/>
      <w:r w:rsidR="00CA21C0" w:rsidRPr="00CA21C0">
        <w:t>Kidney</w:t>
      </w:r>
      <w:proofErr w:type="spellEnd"/>
      <w:r w:rsidR="00CA21C0" w:rsidRPr="00CA21C0">
        <w:t xml:space="preserve"> </w:t>
      </w:r>
      <w:proofErr w:type="spellStart"/>
      <w:r w:rsidR="00CA21C0" w:rsidRPr="00CA21C0">
        <w:t>Disease</w:t>
      </w:r>
      <w:proofErr w:type="spellEnd"/>
      <w:r w:rsidR="00CA21C0" w:rsidRPr="00CA21C0">
        <w:t xml:space="preserve"> – CKD) 1. až 4 stádia při zahájení léčby, kdy je prokázána rychlá progrese onemocnění.</w:t>
      </w:r>
    </w:p>
    <w:p w:rsidR="006932B6" w:rsidRPr="008E61E9" w:rsidRDefault="006932B6" w:rsidP="006932B6">
      <w:pPr>
        <w:rPr>
          <w:rFonts w:ascii="Calibri" w:hAnsi="Calibri" w:cs="Calibri"/>
        </w:rPr>
      </w:pPr>
      <w:r w:rsidRPr="008E61E9">
        <w:rPr>
          <w:rFonts w:ascii="Calibri" w:hAnsi="Calibri" w:cs="Calibri"/>
          <w:b/>
        </w:rPr>
        <w:t>Stav LP v ČR:</w:t>
      </w:r>
      <w:r w:rsidRPr="008E61E9">
        <w:rPr>
          <w:rFonts w:ascii="Calibri" w:hAnsi="Calibri" w:cs="Calibri"/>
        </w:rPr>
        <w:t xml:space="preserve">       Registrován, </w:t>
      </w:r>
      <w:r w:rsidR="00CA21C0">
        <w:rPr>
          <w:rFonts w:ascii="Calibri" w:hAnsi="Calibri" w:cs="Calibri"/>
        </w:rPr>
        <w:t>stanovena první dočasná úhrada</w:t>
      </w:r>
    </w:p>
    <w:p w:rsidR="0071560F" w:rsidRPr="00CA21C0" w:rsidRDefault="0071560F" w:rsidP="006932B6">
      <w:pPr>
        <w:rPr>
          <w:rFonts w:ascii="Calibri" w:hAnsi="Calibri" w:cs="Calibri"/>
          <w:b/>
          <w:bCs/>
          <w:color w:val="000000" w:themeColor="text1"/>
        </w:rPr>
      </w:pPr>
      <w:r w:rsidRPr="00CA21C0">
        <w:rPr>
          <w:rFonts w:ascii="Calibri" w:hAnsi="Calibri" w:cs="Calibri"/>
          <w:b/>
          <w:bCs/>
          <w:color w:val="000000" w:themeColor="text1"/>
        </w:rPr>
        <w:t xml:space="preserve">Úhradové omezení:    </w:t>
      </w:r>
      <w:proofErr w:type="spellStart"/>
      <w:r w:rsidR="00CA21C0" w:rsidRPr="00CA21C0">
        <w:rPr>
          <w:rFonts w:ascii="Calibri" w:hAnsi="Calibri" w:cs="Calibri"/>
          <w:color w:val="000000" w:themeColor="text1"/>
        </w:rPr>
        <w:t>Tolvaptan</w:t>
      </w:r>
      <w:proofErr w:type="spellEnd"/>
      <w:r w:rsidR="00CA21C0" w:rsidRPr="00CA21C0">
        <w:rPr>
          <w:rFonts w:ascii="Calibri" w:hAnsi="Calibri" w:cs="Calibri"/>
          <w:color w:val="000000" w:themeColor="text1"/>
        </w:rPr>
        <w:t xml:space="preserve"> je hrazen ke zpomalení progrese vzniku cyst a renální insuficience při </w:t>
      </w:r>
      <w:proofErr w:type="spellStart"/>
      <w:r w:rsidR="00CA21C0" w:rsidRPr="00CA21C0">
        <w:rPr>
          <w:rFonts w:ascii="Calibri" w:hAnsi="Calibri" w:cs="Calibri"/>
          <w:color w:val="000000" w:themeColor="text1"/>
        </w:rPr>
        <w:t>polycystické</w:t>
      </w:r>
      <w:proofErr w:type="spellEnd"/>
      <w:r w:rsidR="00CA21C0" w:rsidRPr="00CA21C0">
        <w:rPr>
          <w:rFonts w:ascii="Calibri" w:hAnsi="Calibri" w:cs="Calibri"/>
          <w:color w:val="000000" w:themeColor="text1"/>
        </w:rPr>
        <w:t xml:space="preserve"> chorobě ledvin autozomálně dominantního typu (PCHLAD) u dospělých pacientů s chronickým onemocněním ledvin (</w:t>
      </w:r>
      <w:proofErr w:type="spellStart"/>
      <w:r w:rsidR="00CA21C0" w:rsidRPr="00CA21C0">
        <w:rPr>
          <w:rFonts w:ascii="Calibri" w:hAnsi="Calibri" w:cs="Calibri"/>
          <w:color w:val="000000" w:themeColor="text1"/>
        </w:rPr>
        <w:t>Chronic</w:t>
      </w:r>
      <w:proofErr w:type="spellEnd"/>
      <w:r w:rsidR="00CA21C0" w:rsidRPr="00CA21C0">
        <w:rPr>
          <w:rFonts w:ascii="Calibri" w:hAnsi="Calibri" w:cs="Calibri"/>
          <w:color w:val="000000" w:themeColor="text1"/>
        </w:rPr>
        <w:t xml:space="preserve"> </w:t>
      </w:r>
      <w:proofErr w:type="spellStart"/>
      <w:r w:rsidR="00CA21C0" w:rsidRPr="00CA21C0">
        <w:rPr>
          <w:rFonts w:ascii="Calibri" w:hAnsi="Calibri" w:cs="Calibri"/>
          <w:color w:val="000000" w:themeColor="text1"/>
        </w:rPr>
        <w:t>Kidney</w:t>
      </w:r>
      <w:proofErr w:type="spellEnd"/>
      <w:r w:rsidR="00CA21C0" w:rsidRPr="00CA21C0">
        <w:rPr>
          <w:rFonts w:ascii="Calibri" w:hAnsi="Calibri" w:cs="Calibri"/>
          <w:color w:val="000000" w:themeColor="text1"/>
        </w:rPr>
        <w:t xml:space="preserve"> </w:t>
      </w:r>
      <w:proofErr w:type="spellStart"/>
      <w:r w:rsidR="00CA21C0" w:rsidRPr="00CA21C0">
        <w:rPr>
          <w:rFonts w:ascii="Calibri" w:hAnsi="Calibri" w:cs="Calibri"/>
          <w:color w:val="000000" w:themeColor="text1"/>
        </w:rPr>
        <w:t>Disease</w:t>
      </w:r>
      <w:proofErr w:type="spellEnd"/>
      <w:r w:rsidR="00CA21C0" w:rsidRPr="00CA21C0">
        <w:rPr>
          <w:rFonts w:ascii="Calibri" w:hAnsi="Calibri" w:cs="Calibri"/>
          <w:color w:val="000000" w:themeColor="text1"/>
        </w:rPr>
        <w:t xml:space="preserve"> - CKD) 1. až 3. stádia při zahájení léčby, kdy je prokázána rychlá progrese onemocnění. Léčba je ukončena při dosažení 5. stádia CKD, tj. nutnosti zahájení léčby s cílem nahrazení funkce ledvin (dialýza nebo transplantace).</w:t>
      </w:r>
    </w:p>
    <w:p w:rsidR="006932B6" w:rsidRDefault="006932B6" w:rsidP="00EE600C">
      <w:pPr>
        <w:outlineLvl w:val="0"/>
        <w:rPr>
          <w:rFonts w:ascii="Calibri" w:hAnsi="Calibri" w:cs="Calibri"/>
          <w:b/>
        </w:rPr>
      </w:pPr>
      <w:r w:rsidRPr="008E61E9">
        <w:rPr>
          <w:rFonts w:ascii="Calibri" w:hAnsi="Calibri" w:cs="Calibri"/>
          <w:b/>
        </w:rPr>
        <w:t>Relevantní komparátory:</w:t>
      </w:r>
    </w:p>
    <w:p w:rsidR="00CA21C0" w:rsidRPr="00CA21C0" w:rsidRDefault="00CA21C0" w:rsidP="00CA21C0">
      <w:pPr>
        <w:pStyle w:val="Odstavecseseznamem"/>
        <w:numPr>
          <w:ilvl w:val="0"/>
          <w:numId w:val="8"/>
        </w:numPr>
        <w:outlineLvl w:val="0"/>
        <w:rPr>
          <w:rFonts w:ascii="Calibri" w:hAnsi="Calibri" w:cs="Calibri"/>
          <w:bCs/>
          <w:color w:val="808080" w:themeColor="background1" w:themeShade="80"/>
        </w:rPr>
      </w:pPr>
      <w:proofErr w:type="spellStart"/>
      <w:r w:rsidRPr="00CA21C0">
        <w:rPr>
          <w:rFonts w:ascii="Calibri" w:hAnsi="Calibri" w:cs="Calibri"/>
          <w:bCs/>
          <w:color w:val="808080" w:themeColor="background1" w:themeShade="80"/>
        </w:rPr>
        <w:t>Best</w:t>
      </w:r>
      <w:proofErr w:type="spellEnd"/>
      <w:r w:rsidRPr="00CA21C0">
        <w:rPr>
          <w:rFonts w:ascii="Calibri" w:hAnsi="Calibri" w:cs="Calibri"/>
          <w:bCs/>
          <w:color w:val="808080" w:themeColor="background1" w:themeShade="80"/>
        </w:rPr>
        <w:t xml:space="preserve"> </w:t>
      </w:r>
      <w:proofErr w:type="spellStart"/>
      <w:r w:rsidRPr="00CA21C0">
        <w:rPr>
          <w:rFonts w:ascii="Calibri" w:hAnsi="Calibri" w:cs="Calibri"/>
          <w:bCs/>
          <w:color w:val="808080" w:themeColor="background1" w:themeShade="80"/>
        </w:rPr>
        <w:t>supportive</w:t>
      </w:r>
      <w:proofErr w:type="spellEnd"/>
      <w:r w:rsidRPr="00CA21C0">
        <w:rPr>
          <w:rFonts w:ascii="Calibri" w:hAnsi="Calibri" w:cs="Calibri"/>
          <w:bCs/>
          <w:color w:val="808080" w:themeColor="background1" w:themeShade="80"/>
        </w:rPr>
        <w:t xml:space="preserve"> care</w:t>
      </w:r>
    </w:p>
    <w:p w:rsidR="006932B6" w:rsidRPr="000C4FD9" w:rsidRDefault="006932B6" w:rsidP="000C4FD9">
      <w:pPr>
        <w:rPr>
          <w:rFonts w:ascii="Calibri" w:hAnsi="Calibri" w:cs="Calibri"/>
          <w:b/>
        </w:rPr>
      </w:pPr>
      <w:r w:rsidRPr="000C4FD9">
        <w:rPr>
          <w:rFonts w:ascii="Calibri" w:hAnsi="Calibri" w:cs="Calibri"/>
          <w:b/>
        </w:rPr>
        <w:t>Specifikace analýzy:</w:t>
      </w:r>
    </w:p>
    <w:p w:rsidR="00F8262F" w:rsidRPr="00872CFA" w:rsidRDefault="00F8262F" w:rsidP="00872CFA">
      <w:pPr>
        <w:pStyle w:val="Odstavecseseznamem"/>
        <w:numPr>
          <w:ilvl w:val="0"/>
          <w:numId w:val="2"/>
        </w:numPr>
        <w:outlineLvl w:val="0"/>
        <w:rPr>
          <w:rFonts w:ascii="Calibri" w:hAnsi="Calibri" w:cs="Calibri"/>
        </w:rPr>
      </w:pPr>
      <w:r w:rsidRPr="00F8262F">
        <w:rPr>
          <w:rFonts w:ascii="Calibri" w:hAnsi="Calibri" w:cs="Calibri"/>
        </w:rPr>
        <w:t xml:space="preserve">Byla </w:t>
      </w:r>
      <w:r w:rsidR="00872CFA">
        <w:rPr>
          <w:rFonts w:ascii="Calibri" w:hAnsi="Calibri" w:cs="Calibri"/>
        </w:rPr>
        <w:t>realizována</w:t>
      </w:r>
      <w:r w:rsidRPr="00872CFA">
        <w:rPr>
          <w:rFonts w:ascii="Calibri" w:hAnsi="Calibri" w:cs="Calibri"/>
          <w:b/>
        </w:rPr>
        <w:t xml:space="preserve"> </w:t>
      </w:r>
      <w:proofErr w:type="spellStart"/>
      <w:r w:rsidRPr="00872CFA">
        <w:rPr>
          <w:rFonts w:ascii="Calibri" w:hAnsi="Calibri" w:cs="Calibri"/>
          <w:b/>
        </w:rPr>
        <w:t>Cost</w:t>
      </w:r>
      <w:proofErr w:type="spellEnd"/>
      <w:r w:rsidRPr="00872CFA">
        <w:rPr>
          <w:rFonts w:ascii="Calibri" w:hAnsi="Calibri" w:cs="Calibri"/>
          <w:b/>
        </w:rPr>
        <w:t>-</w:t>
      </w:r>
      <w:r w:rsidR="00CA21C0">
        <w:rPr>
          <w:rFonts w:ascii="Calibri" w:hAnsi="Calibri" w:cs="Calibri"/>
          <w:b/>
        </w:rPr>
        <w:t>utility</w:t>
      </w:r>
      <w:r w:rsidRPr="00872CFA">
        <w:rPr>
          <w:rFonts w:ascii="Calibri" w:hAnsi="Calibri" w:cs="Calibri"/>
        </w:rPr>
        <w:t xml:space="preserve"> analýza</w:t>
      </w:r>
    </w:p>
    <w:p w:rsidR="00FE17E5" w:rsidRDefault="006932B6" w:rsidP="00FE17E5">
      <w:pPr>
        <w:pStyle w:val="Odstavecseseznamem"/>
        <w:numPr>
          <w:ilvl w:val="0"/>
          <w:numId w:val="2"/>
        </w:numPr>
      </w:pPr>
      <w:r>
        <w:t xml:space="preserve">Do této analýzy byly započítány pouze náklady na cenu léčiv, nebyly zahrnuty náklady na úpravu do finální lékové formy, náklady spojené aplikací a náklady spojené s prevencí a terapií nežádoucích účinků. </w:t>
      </w:r>
    </w:p>
    <w:p w:rsidR="006932B6" w:rsidRDefault="006932B6" w:rsidP="006932B6"/>
    <w:p w:rsidR="006932B6" w:rsidRPr="009F4334" w:rsidRDefault="006932B6" w:rsidP="006932B6">
      <w:pPr>
        <w:rPr>
          <w:b/>
        </w:rPr>
      </w:pPr>
      <w:r w:rsidRPr="009F4334">
        <w:rPr>
          <w:b/>
        </w:rPr>
        <w:t>Výsledky</w:t>
      </w:r>
      <w:r w:rsidR="00F57D5C" w:rsidRPr="009F4334">
        <w:rPr>
          <w:b/>
        </w:rPr>
        <w:t xml:space="preserve"> a komentář</w:t>
      </w:r>
      <w:r w:rsidRPr="009F4334">
        <w:rPr>
          <w:b/>
        </w:rPr>
        <w:t>:</w:t>
      </w:r>
    </w:p>
    <w:p w:rsidR="00FA443D" w:rsidRDefault="00F57D5C" w:rsidP="006932B6">
      <w:r>
        <w:tab/>
      </w:r>
      <w:proofErr w:type="spellStart"/>
      <w:r w:rsidR="00EE3655">
        <w:t>Tolvaptan</w:t>
      </w:r>
      <w:proofErr w:type="spellEnd"/>
      <w:r w:rsidR="00EE3655">
        <w:t xml:space="preserve"> je vůbec prvním specifickým léčivem, který lze použít k terapií PCHLAD. D</w:t>
      </w:r>
      <w:r w:rsidR="00EA206F">
        <w:t>osavadní terapie tohoto onemocně</w:t>
      </w:r>
      <w:r w:rsidR="00EE3655">
        <w:t xml:space="preserve">ní byla pouze symptomatická.  Z toho </w:t>
      </w:r>
      <w:r w:rsidR="008B4E9C">
        <w:t>důvodu</w:t>
      </w:r>
      <w:r w:rsidR="00EE3655">
        <w:t xml:space="preserve"> </w:t>
      </w:r>
      <w:proofErr w:type="spellStart"/>
      <w:r w:rsidR="00EE3655">
        <w:t>tolvaptan</w:t>
      </w:r>
      <w:proofErr w:type="spellEnd"/>
      <w:r w:rsidR="00EE3655">
        <w:t xml:space="preserve"> nelze porovnat s žádným jiným léčivem v této indikaci, níže jsou pouze shrnuta fakta k tomuto LP.</w:t>
      </w:r>
      <w:r w:rsidR="007C2584">
        <w:rPr>
          <w:vertAlign w:val="superscript"/>
        </w:rPr>
        <w:t>2,4</w:t>
      </w:r>
    </w:p>
    <w:p w:rsidR="00EE3655" w:rsidRDefault="00EE3655" w:rsidP="006932B6">
      <w:r>
        <w:tab/>
      </w:r>
      <w:r w:rsidR="008B4E9C">
        <w:t>Data o účinnosti a bezpečnosti vycházejí ze studie TEMPO 3:4</w:t>
      </w:r>
      <w:r w:rsidR="00D43A9B" w:rsidRPr="00D43A9B">
        <w:rPr>
          <w:vertAlign w:val="superscript"/>
        </w:rPr>
        <w:t>3</w:t>
      </w:r>
      <w:r w:rsidR="008B4E9C">
        <w:t>.</w:t>
      </w:r>
      <w:r w:rsidR="007C1D60">
        <w:t xml:space="preserve"> </w:t>
      </w:r>
      <w:proofErr w:type="spellStart"/>
      <w:r w:rsidR="007C1D60">
        <w:t>Follow</w:t>
      </w:r>
      <w:proofErr w:type="spellEnd"/>
      <w:r w:rsidR="007C1D60">
        <w:t>-</w:t>
      </w:r>
      <w:proofErr w:type="spellStart"/>
      <w:r w:rsidR="007C1D60">
        <w:t>up</w:t>
      </w:r>
      <w:proofErr w:type="spellEnd"/>
      <w:r w:rsidR="007C1D60">
        <w:t xml:space="preserve"> 3 roky, počet pacientů dostávající </w:t>
      </w:r>
      <w:proofErr w:type="spellStart"/>
      <w:r w:rsidR="007C1D60">
        <w:t>tolvaptan</w:t>
      </w:r>
      <w:proofErr w:type="spellEnd"/>
      <w:r w:rsidR="007C1D60">
        <w:t xml:space="preserve"> = 961, pla</w:t>
      </w:r>
      <w:r w:rsidR="00EA206F">
        <w:t>cebo = 484. Pacienti měli chronické</w:t>
      </w:r>
      <w:r w:rsidR="007C1D60">
        <w:t xml:space="preserve"> onemocnění ledvin stádia 1-3.</w:t>
      </w:r>
      <w:r w:rsidR="00CE30A5">
        <w:t xml:space="preserve"> </w:t>
      </w:r>
      <w:r w:rsidR="006971B9">
        <w:t>Jako primární cílový parametr</w:t>
      </w:r>
      <w:r w:rsidR="009C56A4">
        <w:t xml:space="preserve"> byl</w:t>
      </w:r>
      <w:r w:rsidR="007C1D60">
        <w:t>a pozorována změn</w:t>
      </w:r>
      <w:r w:rsidR="006971B9">
        <w:t xml:space="preserve">a celkového objemu ledvin. </w:t>
      </w:r>
      <w:proofErr w:type="spellStart"/>
      <w:r w:rsidR="006971B9">
        <w:t>Tolvaptan</w:t>
      </w:r>
      <w:proofErr w:type="spellEnd"/>
      <w:r w:rsidR="006971B9">
        <w:t xml:space="preserve"> snížil </w:t>
      </w:r>
      <w:r w:rsidR="006971B9" w:rsidRPr="006971B9">
        <w:rPr>
          <w:b/>
        </w:rPr>
        <w:t>absolutní</w:t>
      </w:r>
      <w:r w:rsidR="006971B9">
        <w:t xml:space="preserve"> riziko zvýšení objemu ledvin o 2,7 % oproti placebu. Podávání </w:t>
      </w:r>
      <w:proofErr w:type="spellStart"/>
      <w:r w:rsidR="006971B9">
        <w:t>tolvaptanu</w:t>
      </w:r>
      <w:proofErr w:type="spellEnd"/>
      <w:r w:rsidR="006971B9">
        <w:t xml:space="preserve"> celkově snížilo relativní počet událostí související s PCHLAD o 13 % proti </w:t>
      </w:r>
      <w:r w:rsidR="006971B9">
        <w:lastRenderedPageBreak/>
        <w:t>placebu.</w:t>
      </w:r>
      <w:r w:rsidR="00C81F02">
        <w:t xml:space="preserve"> </w:t>
      </w:r>
      <w:r w:rsidR="00F51787">
        <w:t xml:space="preserve">Pro nežádoucí účinky odstoupilo za dobu trvání studie 23 % pacientů ze skupiny léčených </w:t>
      </w:r>
      <w:proofErr w:type="spellStart"/>
      <w:r w:rsidR="00F51787">
        <w:t>tolvaptanem</w:t>
      </w:r>
      <w:proofErr w:type="spellEnd"/>
      <w:r w:rsidR="00F51787">
        <w:t xml:space="preserve"> a 13,8 % ze skupiny léčených placebem. Nejzávažnějším NÚ byla </w:t>
      </w:r>
      <w:proofErr w:type="spellStart"/>
      <w:r w:rsidR="00F51787">
        <w:t>hepatotoxicita</w:t>
      </w:r>
      <w:proofErr w:type="spellEnd"/>
      <w:r w:rsidR="00F51787">
        <w:t>.</w:t>
      </w:r>
    </w:p>
    <w:tbl>
      <w:tblPr>
        <w:tblW w:w="10166" w:type="dxa"/>
        <w:tblInd w:w="65" w:type="dxa"/>
        <w:tblCellMar>
          <w:left w:w="70" w:type="dxa"/>
          <w:right w:w="70" w:type="dxa"/>
        </w:tblCellMar>
        <w:tblLook w:val="04A0"/>
      </w:tblPr>
      <w:tblGrid>
        <w:gridCol w:w="1694"/>
        <w:gridCol w:w="1694"/>
        <w:gridCol w:w="1695"/>
        <w:gridCol w:w="1694"/>
        <w:gridCol w:w="1694"/>
        <w:gridCol w:w="1695"/>
      </w:tblGrid>
      <w:tr w:rsidR="00CE30A5" w:rsidRPr="00CE30A5" w:rsidTr="00CE30A5">
        <w:trPr>
          <w:trHeight w:val="1184"/>
        </w:trPr>
        <w:tc>
          <w:tcPr>
            <w:tcW w:w="1694"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CE30A5" w:rsidRPr="00CE30A5" w:rsidRDefault="00CE30A5" w:rsidP="00CE30A5">
            <w:pPr>
              <w:spacing w:after="0" w:line="240" w:lineRule="auto"/>
              <w:jc w:val="center"/>
              <w:rPr>
                <w:rFonts w:ascii="Arial" w:eastAsia="Times New Roman" w:hAnsi="Arial" w:cs="Arial"/>
                <w:b/>
                <w:bCs/>
                <w:sz w:val="16"/>
                <w:szCs w:val="16"/>
                <w:lang w:eastAsia="cs-CZ"/>
              </w:rPr>
            </w:pPr>
            <w:r w:rsidRPr="00CE30A5">
              <w:rPr>
                <w:rFonts w:ascii="Arial" w:eastAsia="Times New Roman" w:hAnsi="Arial" w:cs="Arial"/>
                <w:b/>
                <w:bCs/>
                <w:sz w:val="16"/>
                <w:szCs w:val="16"/>
                <w:lang w:eastAsia="cs-CZ"/>
              </w:rPr>
              <w:t xml:space="preserve">Změna celkového </w:t>
            </w:r>
            <w:r w:rsidR="007C2584">
              <w:rPr>
                <w:rFonts w:ascii="Arial" w:eastAsia="Times New Roman" w:hAnsi="Arial" w:cs="Arial"/>
                <w:b/>
                <w:bCs/>
                <w:sz w:val="16"/>
                <w:szCs w:val="16"/>
                <w:lang w:eastAsia="cs-CZ"/>
              </w:rPr>
              <w:t>objemu ledvin (TKV) oproti plac</w:t>
            </w:r>
            <w:r w:rsidRPr="00CE30A5">
              <w:rPr>
                <w:rFonts w:ascii="Arial" w:eastAsia="Times New Roman" w:hAnsi="Arial" w:cs="Arial"/>
                <w:b/>
                <w:bCs/>
                <w:sz w:val="16"/>
                <w:szCs w:val="16"/>
                <w:lang w:eastAsia="cs-CZ"/>
              </w:rPr>
              <w:t>ebu</w:t>
            </w:r>
          </w:p>
        </w:tc>
        <w:tc>
          <w:tcPr>
            <w:tcW w:w="1694" w:type="dxa"/>
            <w:tcBorders>
              <w:top w:val="single" w:sz="4" w:space="0" w:color="auto"/>
              <w:left w:val="nil"/>
              <w:bottom w:val="single" w:sz="4" w:space="0" w:color="auto"/>
              <w:right w:val="single" w:sz="4" w:space="0" w:color="auto"/>
            </w:tcBorders>
            <w:shd w:val="clear" w:color="000000" w:fill="DCE6F1"/>
            <w:vAlign w:val="center"/>
            <w:hideMark/>
          </w:tcPr>
          <w:p w:rsidR="00CE30A5" w:rsidRPr="00CE30A5" w:rsidRDefault="00CE30A5" w:rsidP="00CE30A5">
            <w:pPr>
              <w:spacing w:after="0" w:line="240" w:lineRule="auto"/>
              <w:jc w:val="center"/>
              <w:rPr>
                <w:rFonts w:ascii="Arial" w:eastAsia="Times New Roman" w:hAnsi="Arial" w:cs="Arial"/>
                <w:b/>
                <w:bCs/>
                <w:sz w:val="16"/>
                <w:szCs w:val="16"/>
                <w:lang w:eastAsia="cs-CZ"/>
              </w:rPr>
            </w:pPr>
            <w:r w:rsidRPr="00CE30A5">
              <w:rPr>
                <w:rFonts w:ascii="Arial" w:eastAsia="Times New Roman" w:hAnsi="Arial" w:cs="Arial"/>
                <w:b/>
                <w:bCs/>
                <w:sz w:val="16"/>
                <w:szCs w:val="16"/>
                <w:lang w:eastAsia="cs-CZ"/>
              </w:rPr>
              <w:t>HR</w:t>
            </w:r>
            <w:r w:rsidRPr="00CE30A5">
              <w:rPr>
                <w:rFonts w:ascii="Arial" w:eastAsia="Times New Roman" w:hAnsi="Arial" w:cs="Arial"/>
                <w:b/>
                <w:bCs/>
                <w:sz w:val="16"/>
                <w:szCs w:val="16"/>
                <w:lang w:eastAsia="cs-CZ"/>
              </w:rPr>
              <w:br/>
            </w:r>
            <w:proofErr w:type="spellStart"/>
            <w:r w:rsidRPr="00CE30A5">
              <w:rPr>
                <w:rFonts w:ascii="Arial" w:eastAsia="Times New Roman" w:hAnsi="Arial" w:cs="Arial"/>
                <w:b/>
                <w:bCs/>
                <w:sz w:val="16"/>
                <w:szCs w:val="16"/>
                <w:lang w:eastAsia="cs-CZ"/>
              </w:rPr>
              <w:t>tolvaptan</w:t>
            </w:r>
            <w:proofErr w:type="spellEnd"/>
            <w:r w:rsidRPr="00CE30A5">
              <w:rPr>
                <w:rFonts w:ascii="Arial" w:eastAsia="Times New Roman" w:hAnsi="Arial" w:cs="Arial"/>
                <w:b/>
                <w:bCs/>
                <w:sz w:val="16"/>
                <w:szCs w:val="16"/>
                <w:lang w:eastAsia="cs-CZ"/>
              </w:rPr>
              <w:t xml:space="preserve"> VS placebo.</w:t>
            </w:r>
            <w:r w:rsidRPr="00CE30A5">
              <w:rPr>
                <w:rFonts w:ascii="Arial" w:eastAsia="Times New Roman" w:hAnsi="Arial" w:cs="Arial"/>
                <w:b/>
                <w:bCs/>
                <w:sz w:val="16"/>
                <w:szCs w:val="16"/>
                <w:lang w:eastAsia="cs-CZ"/>
              </w:rPr>
              <w:br/>
              <w:t>Události související s renálními funkcemi</w:t>
            </w:r>
          </w:p>
        </w:tc>
        <w:tc>
          <w:tcPr>
            <w:tcW w:w="1695" w:type="dxa"/>
            <w:tcBorders>
              <w:top w:val="single" w:sz="4" w:space="0" w:color="auto"/>
              <w:left w:val="nil"/>
              <w:bottom w:val="single" w:sz="4" w:space="0" w:color="auto"/>
              <w:right w:val="single" w:sz="4" w:space="0" w:color="auto"/>
            </w:tcBorders>
            <w:shd w:val="clear" w:color="000000" w:fill="DCE6F1"/>
            <w:vAlign w:val="center"/>
            <w:hideMark/>
          </w:tcPr>
          <w:p w:rsidR="00CE30A5" w:rsidRPr="00CE30A5" w:rsidRDefault="00CE30A5" w:rsidP="00CE30A5">
            <w:pPr>
              <w:spacing w:after="0" w:line="240" w:lineRule="auto"/>
              <w:jc w:val="center"/>
              <w:rPr>
                <w:rFonts w:ascii="Arial" w:eastAsia="Times New Roman" w:hAnsi="Arial" w:cs="Arial"/>
                <w:b/>
                <w:bCs/>
                <w:sz w:val="16"/>
                <w:szCs w:val="16"/>
                <w:lang w:eastAsia="cs-CZ"/>
              </w:rPr>
            </w:pPr>
            <w:r w:rsidRPr="00CE30A5">
              <w:rPr>
                <w:rFonts w:ascii="Arial" w:eastAsia="Times New Roman" w:hAnsi="Arial" w:cs="Arial"/>
                <w:b/>
                <w:bCs/>
                <w:sz w:val="16"/>
                <w:szCs w:val="16"/>
                <w:lang w:eastAsia="cs-CZ"/>
              </w:rPr>
              <w:t>HR</w:t>
            </w:r>
            <w:r w:rsidRPr="00CE30A5">
              <w:rPr>
                <w:rFonts w:ascii="Arial" w:eastAsia="Times New Roman" w:hAnsi="Arial" w:cs="Arial"/>
                <w:b/>
                <w:bCs/>
                <w:sz w:val="16"/>
                <w:szCs w:val="16"/>
                <w:lang w:eastAsia="cs-CZ"/>
              </w:rPr>
              <w:br/>
            </w:r>
            <w:proofErr w:type="spellStart"/>
            <w:r w:rsidRPr="00CE30A5">
              <w:rPr>
                <w:rFonts w:ascii="Arial" w:eastAsia="Times New Roman" w:hAnsi="Arial" w:cs="Arial"/>
                <w:b/>
                <w:bCs/>
                <w:sz w:val="16"/>
                <w:szCs w:val="16"/>
                <w:lang w:eastAsia="cs-CZ"/>
              </w:rPr>
              <w:t>tolvaptan</w:t>
            </w:r>
            <w:proofErr w:type="spellEnd"/>
            <w:r w:rsidRPr="00CE30A5">
              <w:rPr>
                <w:rFonts w:ascii="Arial" w:eastAsia="Times New Roman" w:hAnsi="Arial" w:cs="Arial"/>
                <w:b/>
                <w:bCs/>
                <w:sz w:val="16"/>
                <w:szCs w:val="16"/>
                <w:lang w:eastAsia="cs-CZ"/>
              </w:rPr>
              <w:t xml:space="preserve"> VS placebo.</w:t>
            </w:r>
            <w:r w:rsidRPr="00CE30A5">
              <w:rPr>
                <w:rFonts w:ascii="Arial" w:eastAsia="Times New Roman" w:hAnsi="Arial" w:cs="Arial"/>
                <w:b/>
                <w:bCs/>
                <w:sz w:val="16"/>
                <w:szCs w:val="16"/>
                <w:lang w:eastAsia="cs-CZ"/>
              </w:rPr>
              <w:br/>
              <w:t>Události související s bolestí ledvin</w:t>
            </w:r>
          </w:p>
        </w:tc>
        <w:tc>
          <w:tcPr>
            <w:tcW w:w="1694" w:type="dxa"/>
            <w:tcBorders>
              <w:top w:val="single" w:sz="4" w:space="0" w:color="auto"/>
              <w:left w:val="nil"/>
              <w:bottom w:val="single" w:sz="4" w:space="0" w:color="auto"/>
              <w:right w:val="single" w:sz="4" w:space="0" w:color="auto"/>
            </w:tcBorders>
            <w:shd w:val="clear" w:color="000000" w:fill="DCE6F1"/>
            <w:vAlign w:val="center"/>
            <w:hideMark/>
          </w:tcPr>
          <w:p w:rsidR="00CE30A5" w:rsidRPr="00CE30A5" w:rsidRDefault="00CE30A5" w:rsidP="00CE30A5">
            <w:pPr>
              <w:spacing w:after="0" w:line="240" w:lineRule="auto"/>
              <w:jc w:val="center"/>
              <w:rPr>
                <w:rFonts w:ascii="Arial" w:eastAsia="Times New Roman" w:hAnsi="Arial" w:cs="Arial"/>
                <w:b/>
                <w:bCs/>
                <w:sz w:val="16"/>
                <w:szCs w:val="16"/>
                <w:lang w:eastAsia="cs-CZ"/>
              </w:rPr>
            </w:pPr>
            <w:r w:rsidRPr="00CE30A5">
              <w:rPr>
                <w:rFonts w:ascii="Arial" w:eastAsia="Times New Roman" w:hAnsi="Arial" w:cs="Arial"/>
                <w:b/>
                <w:bCs/>
                <w:sz w:val="16"/>
                <w:szCs w:val="16"/>
                <w:lang w:eastAsia="cs-CZ"/>
              </w:rPr>
              <w:t>HR</w:t>
            </w:r>
            <w:r w:rsidRPr="00CE30A5">
              <w:rPr>
                <w:rFonts w:ascii="Arial" w:eastAsia="Times New Roman" w:hAnsi="Arial" w:cs="Arial"/>
                <w:b/>
                <w:bCs/>
                <w:sz w:val="16"/>
                <w:szCs w:val="16"/>
                <w:lang w:eastAsia="cs-CZ"/>
              </w:rPr>
              <w:br/>
            </w:r>
            <w:proofErr w:type="spellStart"/>
            <w:r w:rsidRPr="00CE30A5">
              <w:rPr>
                <w:rFonts w:ascii="Arial" w:eastAsia="Times New Roman" w:hAnsi="Arial" w:cs="Arial"/>
                <w:b/>
                <w:bCs/>
                <w:sz w:val="16"/>
                <w:szCs w:val="16"/>
                <w:lang w:eastAsia="cs-CZ"/>
              </w:rPr>
              <w:t>tolvaptan</w:t>
            </w:r>
            <w:proofErr w:type="spellEnd"/>
            <w:r w:rsidRPr="00CE30A5">
              <w:rPr>
                <w:rFonts w:ascii="Arial" w:eastAsia="Times New Roman" w:hAnsi="Arial" w:cs="Arial"/>
                <w:b/>
                <w:bCs/>
                <w:sz w:val="16"/>
                <w:szCs w:val="16"/>
                <w:lang w:eastAsia="cs-CZ"/>
              </w:rPr>
              <w:t xml:space="preserve"> VS placebo.</w:t>
            </w:r>
            <w:r w:rsidRPr="00CE30A5">
              <w:rPr>
                <w:rFonts w:ascii="Arial" w:eastAsia="Times New Roman" w:hAnsi="Arial" w:cs="Arial"/>
                <w:b/>
                <w:bCs/>
                <w:sz w:val="16"/>
                <w:szCs w:val="16"/>
                <w:lang w:eastAsia="cs-CZ"/>
              </w:rPr>
              <w:br/>
              <w:t>Rychlost progrese hypertenze</w:t>
            </w:r>
          </w:p>
        </w:tc>
        <w:tc>
          <w:tcPr>
            <w:tcW w:w="1694" w:type="dxa"/>
            <w:tcBorders>
              <w:top w:val="single" w:sz="4" w:space="0" w:color="auto"/>
              <w:left w:val="nil"/>
              <w:bottom w:val="single" w:sz="4" w:space="0" w:color="auto"/>
              <w:right w:val="single" w:sz="4" w:space="0" w:color="auto"/>
            </w:tcBorders>
            <w:shd w:val="clear" w:color="000000" w:fill="DCE6F1"/>
            <w:vAlign w:val="center"/>
            <w:hideMark/>
          </w:tcPr>
          <w:p w:rsidR="00CE30A5" w:rsidRPr="00CE30A5" w:rsidRDefault="00CE30A5" w:rsidP="00CE30A5">
            <w:pPr>
              <w:spacing w:after="0" w:line="240" w:lineRule="auto"/>
              <w:jc w:val="center"/>
              <w:rPr>
                <w:rFonts w:ascii="Arial" w:eastAsia="Times New Roman" w:hAnsi="Arial" w:cs="Arial"/>
                <w:b/>
                <w:bCs/>
                <w:sz w:val="16"/>
                <w:szCs w:val="16"/>
                <w:lang w:eastAsia="cs-CZ"/>
              </w:rPr>
            </w:pPr>
            <w:r w:rsidRPr="00CE30A5">
              <w:rPr>
                <w:rFonts w:ascii="Arial" w:eastAsia="Times New Roman" w:hAnsi="Arial" w:cs="Arial"/>
                <w:b/>
                <w:bCs/>
                <w:sz w:val="16"/>
                <w:szCs w:val="16"/>
                <w:lang w:eastAsia="cs-CZ"/>
              </w:rPr>
              <w:t>HR</w:t>
            </w:r>
            <w:r w:rsidRPr="00CE30A5">
              <w:rPr>
                <w:rFonts w:ascii="Arial" w:eastAsia="Times New Roman" w:hAnsi="Arial" w:cs="Arial"/>
                <w:b/>
                <w:bCs/>
                <w:sz w:val="16"/>
                <w:szCs w:val="16"/>
                <w:lang w:eastAsia="cs-CZ"/>
              </w:rPr>
              <w:br/>
            </w:r>
            <w:proofErr w:type="spellStart"/>
            <w:r w:rsidRPr="00CE30A5">
              <w:rPr>
                <w:rFonts w:ascii="Arial" w:eastAsia="Times New Roman" w:hAnsi="Arial" w:cs="Arial"/>
                <w:b/>
                <w:bCs/>
                <w:sz w:val="16"/>
                <w:szCs w:val="16"/>
                <w:lang w:eastAsia="cs-CZ"/>
              </w:rPr>
              <w:t>tolvaptan</w:t>
            </w:r>
            <w:proofErr w:type="spellEnd"/>
            <w:r w:rsidRPr="00CE30A5">
              <w:rPr>
                <w:rFonts w:ascii="Arial" w:eastAsia="Times New Roman" w:hAnsi="Arial" w:cs="Arial"/>
                <w:b/>
                <w:bCs/>
                <w:sz w:val="16"/>
                <w:szCs w:val="16"/>
                <w:lang w:eastAsia="cs-CZ"/>
              </w:rPr>
              <w:t xml:space="preserve"> VS placebo.</w:t>
            </w:r>
            <w:r w:rsidRPr="00CE30A5">
              <w:rPr>
                <w:rFonts w:ascii="Arial" w:eastAsia="Times New Roman" w:hAnsi="Arial" w:cs="Arial"/>
                <w:b/>
                <w:bCs/>
                <w:sz w:val="16"/>
                <w:szCs w:val="16"/>
                <w:lang w:eastAsia="cs-CZ"/>
              </w:rPr>
              <w:br/>
              <w:t>Rychlost progrese albuminurie</w:t>
            </w:r>
          </w:p>
        </w:tc>
        <w:tc>
          <w:tcPr>
            <w:tcW w:w="1695" w:type="dxa"/>
            <w:tcBorders>
              <w:top w:val="single" w:sz="4" w:space="0" w:color="auto"/>
              <w:left w:val="nil"/>
              <w:bottom w:val="single" w:sz="4" w:space="0" w:color="auto"/>
              <w:right w:val="single" w:sz="4" w:space="0" w:color="auto"/>
            </w:tcBorders>
            <w:shd w:val="clear" w:color="000000" w:fill="8DB4E2"/>
            <w:vAlign w:val="center"/>
            <w:hideMark/>
          </w:tcPr>
          <w:p w:rsidR="00CE30A5" w:rsidRPr="00CE30A5" w:rsidRDefault="00CE30A5" w:rsidP="00CE30A5">
            <w:pPr>
              <w:spacing w:after="0" w:line="240" w:lineRule="auto"/>
              <w:jc w:val="center"/>
              <w:rPr>
                <w:rFonts w:ascii="Arial" w:eastAsia="Times New Roman" w:hAnsi="Arial" w:cs="Arial"/>
                <w:b/>
                <w:bCs/>
                <w:sz w:val="16"/>
                <w:szCs w:val="16"/>
                <w:lang w:eastAsia="cs-CZ"/>
              </w:rPr>
            </w:pPr>
            <w:r w:rsidRPr="00CE30A5">
              <w:rPr>
                <w:rFonts w:ascii="Arial" w:eastAsia="Times New Roman" w:hAnsi="Arial" w:cs="Arial"/>
                <w:b/>
                <w:bCs/>
                <w:sz w:val="16"/>
                <w:szCs w:val="16"/>
                <w:lang w:eastAsia="cs-CZ"/>
              </w:rPr>
              <w:t>HR</w:t>
            </w:r>
            <w:r w:rsidRPr="00CE30A5">
              <w:rPr>
                <w:rFonts w:ascii="Arial" w:eastAsia="Times New Roman" w:hAnsi="Arial" w:cs="Arial"/>
                <w:b/>
                <w:bCs/>
                <w:sz w:val="16"/>
                <w:szCs w:val="16"/>
                <w:lang w:eastAsia="cs-CZ"/>
              </w:rPr>
              <w:br/>
            </w:r>
            <w:proofErr w:type="spellStart"/>
            <w:r w:rsidRPr="00CE30A5">
              <w:rPr>
                <w:rFonts w:ascii="Arial" w:eastAsia="Times New Roman" w:hAnsi="Arial" w:cs="Arial"/>
                <w:b/>
                <w:bCs/>
                <w:sz w:val="16"/>
                <w:szCs w:val="16"/>
                <w:lang w:eastAsia="cs-CZ"/>
              </w:rPr>
              <w:t>tolvaptan</w:t>
            </w:r>
            <w:proofErr w:type="spellEnd"/>
            <w:r w:rsidRPr="00CE30A5">
              <w:rPr>
                <w:rFonts w:ascii="Arial" w:eastAsia="Times New Roman" w:hAnsi="Arial" w:cs="Arial"/>
                <w:b/>
                <w:bCs/>
                <w:sz w:val="16"/>
                <w:szCs w:val="16"/>
                <w:lang w:eastAsia="cs-CZ"/>
              </w:rPr>
              <w:t xml:space="preserve"> VS placebo.</w:t>
            </w:r>
            <w:r w:rsidRPr="00CE30A5">
              <w:rPr>
                <w:rFonts w:ascii="Arial" w:eastAsia="Times New Roman" w:hAnsi="Arial" w:cs="Arial"/>
                <w:b/>
                <w:bCs/>
                <w:sz w:val="16"/>
                <w:szCs w:val="16"/>
                <w:lang w:eastAsia="cs-CZ"/>
              </w:rPr>
              <w:br/>
              <w:t>Relativní počet události související s PCHLAD</w:t>
            </w:r>
          </w:p>
        </w:tc>
      </w:tr>
      <w:tr w:rsidR="00CE30A5" w:rsidRPr="00CE30A5" w:rsidTr="00CE30A5">
        <w:trPr>
          <w:trHeight w:val="1124"/>
        </w:trPr>
        <w:tc>
          <w:tcPr>
            <w:tcW w:w="1694" w:type="dxa"/>
            <w:tcBorders>
              <w:top w:val="nil"/>
              <w:left w:val="single" w:sz="4" w:space="0" w:color="auto"/>
              <w:bottom w:val="single" w:sz="4" w:space="0" w:color="auto"/>
              <w:right w:val="single" w:sz="4" w:space="0" w:color="auto"/>
            </w:tcBorders>
            <w:shd w:val="clear" w:color="auto" w:fill="auto"/>
            <w:vAlign w:val="center"/>
            <w:hideMark/>
          </w:tcPr>
          <w:p w:rsidR="00CE30A5" w:rsidRPr="00CE30A5" w:rsidRDefault="00CE30A5" w:rsidP="00CE30A5">
            <w:pPr>
              <w:spacing w:after="0" w:line="240" w:lineRule="auto"/>
              <w:jc w:val="center"/>
              <w:rPr>
                <w:rFonts w:ascii="Arial" w:eastAsia="Times New Roman" w:hAnsi="Arial" w:cs="Arial"/>
                <w:color w:val="000000"/>
                <w:sz w:val="20"/>
                <w:szCs w:val="20"/>
                <w:lang w:eastAsia="cs-CZ"/>
              </w:rPr>
            </w:pPr>
            <w:r w:rsidRPr="00CE30A5">
              <w:rPr>
                <w:rFonts w:ascii="Arial" w:eastAsia="Times New Roman" w:hAnsi="Arial" w:cs="Arial"/>
                <w:b/>
                <w:bCs/>
                <w:color w:val="000000"/>
                <w:sz w:val="20"/>
                <w:szCs w:val="20"/>
                <w:lang w:eastAsia="cs-CZ"/>
              </w:rPr>
              <w:t xml:space="preserve"> -2,7 %</w:t>
            </w:r>
            <w:r w:rsidRPr="00CE30A5">
              <w:rPr>
                <w:rFonts w:ascii="Arial" w:eastAsia="Times New Roman" w:hAnsi="Arial" w:cs="Arial"/>
                <w:color w:val="000000"/>
                <w:sz w:val="20"/>
                <w:szCs w:val="20"/>
                <w:lang w:eastAsia="cs-CZ"/>
              </w:rPr>
              <w:br/>
              <w:t>(-3,3 %) - (-2,1%)</w:t>
            </w:r>
            <w:r w:rsidRPr="00CE30A5">
              <w:rPr>
                <w:rFonts w:ascii="Arial" w:eastAsia="Times New Roman" w:hAnsi="Arial" w:cs="Arial"/>
                <w:color w:val="000000"/>
                <w:sz w:val="20"/>
                <w:szCs w:val="20"/>
                <w:lang w:eastAsia="cs-CZ"/>
              </w:rPr>
              <w:br/>
              <w:t>95 % CI</w:t>
            </w:r>
          </w:p>
        </w:tc>
        <w:tc>
          <w:tcPr>
            <w:tcW w:w="1694" w:type="dxa"/>
            <w:tcBorders>
              <w:top w:val="nil"/>
              <w:left w:val="nil"/>
              <w:bottom w:val="single" w:sz="4" w:space="0" w:color="auto"/>
              <w:right w:val="single" w:sz="4" w:space="0" w:color="auto"/>
            </w:tcBorders>
            <w:shd w:val="clear" w:color="auto" w:fill="auto"/>
            <w:vAlign w:val="center"/>
            <w:hideMark/>
          </w:tcPr>
          <w:p w:rsidR="00CE30A5" w:rsidRPr="00CE30A5" w:rsidRDefault="00CE30A5" w:rsidP="00CE30A5">
            <w:pPr>
              <w:spacing w:after="0" w:line="240" w:lineRule="auto"/>
              <w:jc w:val="center"/>
              <w:rPr>
                <w:rFonts w:ascii="Arial" w:eastAsia="Times New Roman" w:hAnsi="Arial" w:cs="Arial"/>
                <w:color w:val="000000"/>
                <w:sz w:val="20"/>
                <w:szCs w:val="20"/>
                <w:lang w:eastAsia="cs-CZ"/>
              </w:rPr>
            </w:pPr>
            <w:r w:rsidRPr="00CE30A5">
              <w:rPr>
                <w:rFonts w:ascii="Arial" w:eastAsia="Times New Roman" w:hAnsi="Arial" w:cs="Arial"/>
                <w:b/>
                <w:bCs/>
                <w:color w:val="000000"/>
                <w:sz w:val="20"/>
                <w:szCs w:val="20"/>
                <w:lang w:eastAsia="cs-CZ"/>
              </w:rPr>
              <w:t>0,39</w:t>
            </w:r>
            <w:r w:rsidRPr="00CE30A5">
              <w:rPr>
                <w:rFonts w:ascii="Arial" w:eastAsia="Times New Roman" w:hAnsi="Arial" w:cs="Arial"/>
                <w:color w:val="000000"/>
                <w:sz w:val="20"/>
                <w:szCs w:val="20"/>
                <w:lang w:eastAsia="cs-CZ"/>
              </w:rPr>
              <w:br/>
              <w:t>0,26 - 0,57</w:t>
            </w:r>
            <w:r w:rsidRPr="00CE30A5">
              <w:rPr>
                <w:rFonts w:ascii="Arial" w:eastAsia="Times New Roman" w:hAnsi="Arial" w:cs="Arial"/>
                <w:color w:val="000000"/>
                <w:sz w:val="20"/>
                <w:szCs w:val="20"/>
                <w:lang w:eastAsia="cs-CZ"/>
              </w:rPr>
              <w:br/>
              <w:t xml:space="preserve"> 95 % CI</w:t>
            </w:r>
          </w:p>
        </w:tc>
        <w:tc>
          <w:tcPr>
            <w:tcW w:w="1695" w:type="dxa"/>
            <w:tcBorders>
              <w:top w:val="nil"/>
              <w:left w:val="nil"/>
              <w:bottom w:val="single" w:sz="4" w:space="0" w:color="auto"/>
              <w:right w:val="single" w:sz="4" w:space="0" w:color="auto"/>
            </w:tcBorders>
            <w:shd w:val="clear" w:color="auto" w:fill="auto"/>
            <w:vAlign w:val="center"/>
            <w:hideMark/>
          </w:tcPr>
          <w:p w:rsidR="00CE30A5" w:rsidRPr="00CE30A5" w:rsidRDefault="00CE30A5" w:rsidP="00CE30A5">
            <w:pPr>
              <w:spacing w:after="0" w:line="240" w:lineRule="auto"/>
              <w:jc w:val="center"/>
              <w:rPr>
                <w:rFonts w:ascii="Arial" w:eastAsia="Times New Roman" w:hAnsi="Arial" w:cs="Arial"/>
                <w:color w:val="000000"/>
                <w:sz w:val="20"/>
                <w:szCs w:val="20"/>
                <w:lang w:eastAsia="cs-CZ"/>
              </w:rPr>
            </w:pPr>
            <w:r w:rsidRPr="00CE30A5">
              <w:rPr>
                <w:rFonts w:ascii="Arial" w:eastAsia="Times New Roman" w:hAnsi="Arial" w:cs="Arial"/>
                <w:b/>
                <w:bCs/>
                <w:color w:val="000000"/>
                <w:sz w:val="20"/>
                <w:szCs w:val="20"/>
                <w:lang w:eastAsia="cs-CZ"/>
              </w:rPr>
              <w:t>0,64</w:t>
            </w:r>
            <w:r w:rsidRPr="00CE30A5">
              <w:rPr>
                <w:rFonts w:ascii="Arial" w:eastAsia="Times New Roman" w:hAnsi="Arial" w:cs="Arial"/>
                <w:color w:val="000000"/>
                <w:sz w:val="20"/>
                <w:szCs w:val="20"/>
                <w:lang w:eastAsia="cs-CZ"/>
              </w:rPr>
              <w:br/>
              <w:t>0,47 až 0,89</w:t>
            </w:r>
            <w:r w:rsidRPr="00CE30A5">
              <w:rPr>
                <w:rFonts w:ascii="Arial" w:eastAsia="Times New Roman" w:hAnsi="Arial" w:cs="Arial"/>
                <w:color w:val="000000"/>
                <w:sz w:val="20"/>
                <w:szCs w:val="20"/>
                <w:lang w:eastAsia="cs-CZ"/>
              </w:rPr>
              <w:br/>
              <w:t>95 % CI</w:t>
            </w:r>
          </w:p>
        </w:tc>
        <w:tc>
          <w:tcPr>
            <w:tcW w:w="1694" w:type="dxa"/>
            <w:tcBorders>
              <w:top w:val="nil"/>
              <w:left w:val="nil"/>
              <w:bottom w:val="single" w:sz="4" w:space="0" w:color="auto"/>
              <w:right w:val="single" w:sz="4" w:space="0" w:color="auto"/>
            </w:tcBorders>
            <w:shd w:val="clear" w:color="auto" w:fill="auto"/>
            <w:vAlign w:val="center"/>
            <w:hideMark/>
          </w:tcPr>
          <w:p w:rsidR="00CE30A5" w:rsidRPr="00CE30A5" w:rsidRDefault="00CE30A5" w:rsidP="00CE30A5">
            <w:pPr>
              <w:spacing w:after="0" w:line="240" w:lineRule="auto"/>
              <w:jc w:val="center"/>
              <w:rPr>
                <w:rFonts w:ascii="Arial" w:eastAsia="Times New Roman" w:hAnsi="Arial" w:cs="Arial"/>
                <w:color w:val="000000"/>
                <w:sz w:val="20"/>
                <w:szCs w:val="20"/>
                <w:lang w:eastAsia="cs-CZ"/>
              </w:rPr>
            </w:pPr>
            <w:r w:rsidRPr="00CE30A5">
              <w:rPr>
                <w:rFonts w:ascii="Arial" w:eastAsia="Times New Roman" w:hAnsi="Arial" w:cs="Arial"/>
                <w:color w:val="000000"/>
                <w:sz w:val="20"/>
                <w:szCs w:val="20"/>
                <w:lang w:eastAsia="cs-CZ"/>
              </w:rPr>
              <w:t>0,94</w:t>
            </w:r>
            <w:r w:rsidRPr="00CE30A5">
              <w:rPr>
                <w:rFonts w:ascii="Arial" w:eastAsia="Times New Roman" w:hAnsi="Arial" w:cs="Arial"/>
                <w:color w:val="000000"/>
                <w:sz w:val="20"/>
                <w:szCs w:val="20"/>
                <w:lang w:eastAsia="cs-CZ"/>
              </w:rPr>
              <w:br/>
              <w:t>0,81 - 1,09</w:t>
            </w:r>
            <w:r w:rsidRPr="00CE30A5">
              <w:rPr>
                <w:rFonts w:ascii="Arial" w:eastAsia="Times New Roman" w:hAnsi="Arial" w:cs="Arial"/>
                <w:color w:val="000000"/>
                <w:sz w:val="20"/>
                <w:szCs w:val="20"/>
                <w:lang w:eastAsia="cs-CZ"/>
              </w:rPr>
              <w:br/>
              <w:t>95 % CI</w:t>
            </w:r>
          </w:p>
        </w:tc>
        <w:tc>
          <w:tcPr>
            <w:tcW w:w="1694" w:type="dxa"/>
            <w:tcBorders>
              <w:top w:val="nil"/>
              <w:left w:val="nil"/>
              <w:bottom w:val="single" w:sz="4" w:space="0" w:color="auto"/>
              <w:right w:val="single" w:sz="4" w:space="0" w:color="auto"/>
            </w:tcBorders>
            <w:shd w:val="clear" w:color="auto" w:fill="auto"/>
            <w:vAlign w:val="center"/>
            <w:hideMark/>
          </w:tcPr>
          <w:p w:rsidR="00CE30A5" w:rsidRPr="00CE30A5" w:rsidRDefault="00CE30A5" w:rsidP="00CE30A5">
            <w:pPr>
              <w:spacing w:after="0" w:line="240" w:lineRule="auto"/>
              <w:jc w:val="center"/>
              <w:rPr>
                <w:rFonts w:ascii="Arial" w:eastAsia="Times New Roman" w:hAnsi="Arial" w:cs="Arial"/>
                <w:color w:val="000000"/>
                <w:sz w:val="20"/>
                <w:szCs w:val="20"/>
                <w:lang w:eastAsia="cs-CZ"/>
              </w:rPr>
            </w:pPr>
            <w:r w:rsidRPr="00CE30A5">
              <w:rPr>
                <w:rFonts w:ascii="Arial" w:eastAsia="Times New Roman" w:hAnsi="Arial" w:cs="Arial"/>
                <w:color w:val="000000"/>
                <w:sz w:val="20"/>
                <w:szCs w:val="20"/>
                <w:lang w:eastAsia="cs-CZ"/>
              </w:rPr>
              <w:t>1,04</w:t>
            </w:r>
            <w:r w:rsidRPr="00CE30A5">
              <w:rPr>
                <w:rFonts w:ascii="Arial" w:eastAsia="Times New Roman" w:hAnsi="Arial" w:cs="Arial"/>
                <w:color w:val="000000"/>
                <w:sz w:val="20"/>
                <w:szCs w:val="20"/>
                <w:lang w:eastAsia="cs-CZ"/>
              </w:rPr>
              <w:br/>
              <w:t>0,84 - 1,28</w:t>
            </w:r>
            <w:r w:rsidRPr="00CE30A5">
              <w:rPr>
                <w:rFonts w:ascii="Arial" w:eastAsia="Times New Roman" w:hAnsi="Arial" w:cs="Arial"/>
                <w:color w:val="000000"/>
                <w:sz w:val="20"/>
                <w:szCs w:val="20"/>
                <w:lang w:eastAsia="cs-CZ"/>
              </w:rPr>
              <w:br/>
              <w:t>95 % CI</w:t>
            </w:r>
          </w:p>
        </w:tc>
        <w:tc>
          <w:tcPr>
            <w:tcW w:w="1695" w:type="dxa"/>
            <w:tcBorders>
              <w:top w:val="nil"/>
              <w:left w:val="nil"/>
              <w:bottom w:val="single" w:sz="4" w:space="0" w:color="auto"/>
              <w:right w:val="single" w:sz="4" w:space="0" w:color="auto"/>
            </w:tcBorders>
            <w:shd w:val="clear" w:color="auto" w:fill="auto"/>
            <w:vAlign w:val="center"/>
            <w:hideMark/>
          </w:tcPr>
          <w:p w:rsidR="00CE30A5" w:rsidRPr="00CE30A5" w:rsidRDefault="00CE30A5" w:rsidP="00CE30A5">
            <w:pPr>
              <w:spacing w:after="0" w:line="240" w:lineRule="auto"/>
              <w:jc w:val="center"/>
              <w:rPr>
                <w:rFonts w:ascii="Arial" w:eastAsia="Times New Roman" w:hAnsi="Arial" w:cs="Arial"/>
                <w:color w:val="000000"/>
                <w:sz w:val="20"/>
                <w:szCs w:val="20"/>
                <w:lang w:eastAsia="cs-CZ"/>
              </w:rPr>
            </w:pPr>
            <w:r w:rsidRPr="00CE30A5">
              <w:rPr>
                <w:rFonts w:ascii="Arial" w:eastAsia="Times New Roman" w:hAnsi="Arial" w:cs="Arial"/>
                <w:b/>
                <w:bCs/>
                <w:color w:val="000000"/>
                <w:sz w:val="20"/>
                <w:szCs w:val="20"/>
                <w:lang w:eastAsia="cs-CZ"/>
              </w:rPr>
              <w:t>0,87</w:t>
            </w:r>
            <w:r w:rsidRPr="00CE30A5">
              <w:rPr>
                <w:rFonts w:ascii="Arial" w:eastAsia="Times New Roman" w:hAnsi="Arial" w:cs="Arial"/>
                <w:color w:val="000000"/>
                <w:sz w:val="20"/>
                <w:szCs w:val="20"/>
                <w:lang w:eastAsia="cs-CZ"/>
              </w:rPr>
              <w:br/>
              <w:t>0,78 - 0,97</w:t>
            </w:r>
            <w:r w:rsidRPr="00CE30A5">
              <w:rPr>
                <w:rFonts w:ascii="Arial" w:eastAsia="Times New Roman" w:hAnsi="Arial" w:cs="Arial"/>
                <w:color w:val="000000"/>
                <w:sz w:val="20"/>
                <w:szCs w:val="20"/>
                <w:lang w:eastAsia="cs-CZ"/>
              </w:rPr>
              <w:br/>
              <w:t>95 % CI</w:t>
            </w:r>
          </w:p>
        </w:tc>
      </w:tr>
    </w:tbl>
    <w:p w:rsidR="00CE30A5" w:rsidRDefault="00CE30A5" w:rsidP="006932B6"/>
    <w:p w:rsidR="00AB335A" w:rsidRDefault="00AB335A" w:rsidP="00EA206F">
      <w:r>
        <w:tab/>
      </w:r>
      <w:r w:rsidRPr="00AB335A">
        <w:rPr>
          <w:b/>
        </w:rPr>
        <w:t xml:space="preserve">Náklady na roční </w:t>
      </w:r>
      <w:r w:rsidR="007C2584" w:rsidRPr="00AB335A">
        <w:rPr>
          <w:b/>
        </w:rPr>
        <w:t>terapii</w:t>
      </w:r>
      <w:r w:rsidRPr="00AB335A">
        <w:rPr>
          <w:b/>
        </w:rPr>
        <w:t xml:space="preserve"> na jednoho pacienta při současných úhradových podmínkách činí 405 067 Kč</w:t>
      </w:r>
      <w:r>
        <w:t xml:space="preserve"> a to bez ohledu na </w:t>
      </w:r>
      <w:r w:rsidRPr="00AB335A">
        <w:rPr>
          <w:b/>
        </w:rPr>
        <w:t>běžné</w:t>
      </w:r>
      <w:r>
        <w:t xml:space="preserve"> dávkovací schéma. Pokud by pacient současně užíval některý z inhibitorů CYP3A, bylo by sníženo dávkování a tím pádem i cena (přibližně o polovinu).</w:t>
      </w:r>
      <w:r w:rsidR="00EA206F">
        <w:t xml:space="preserve"> V tabulce níže jsou uvedeny aktuální ceny od distributora PHOENIX </w:t>
      </w:r>
      <w:r w:rsidR="00EA206F" w:rsidRPr="00B738A1">
        <w:rPr>
          <w:i/>
        </w:rPr>
        <w:t>lékárenský velkoobchod s.</w:t>
      </w:r>
      <w:proofErr w:type="spellStart"/>
      <w:r w:rsidR="00EA206F" w:rsidRPr="00B738A1">
        <w:rPr>
          <w:i/>
        </w:rPr>
        <w:t>r.o</w:t>
      </w:r>
      <w:proofErr w:type="spellEnd"/>
      <w:r w:rsidR="00EA206F">
        <w:t xml:space="preserve"> za jednotlivá balení. Ceny jsou shodné pro všechny síly. </w:t>
      </w:r>
      <w:r w:rsidR="00EA206F">
        <w:br/>
      </w:r>
      <w:r w:rsidR="00EA206F" w:rsidRPr="00EA206F">
        <w:rPr>
          <w:i/>
        </w:rPr>
        <w:t>(V žádosti o schválení nového LP je uvedena cena 27 000 Kč)</w:t>
      </w:r>
    </w:p>
    <w:tbl>
      <w:tblPr>
        <w:tblW w:w="2980" w:type="dxa"/>
        <w:jc w:val="center"/>
        <w:tblInd w:w="55" w:type="dxa"/>
        <w:tblCellMar>
          <w:left w:w="70" w:type="dxa"/>
          <w:right w:w="70" w:type="dxa"/>
        </w:tblCellMar>
        <w:tblLook w:val="04A0"/>
      </w:tblPr>
      <w:tblGrid>
        <w:gridCol w:w="1640"/>
        <w:gridCol w:w="1340"/>
      </w:tblGrid>
      <w:tr w:rsidR="00EA206F" w:rsidRPr="00EA206F" w:rsidTr="00EA206F">
        <w:trPr>
          <w:trHeight w:val="300"/>
          <w:jc w:val="center"/>
        </w:trPr>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206F" w:rsidRPr="00EA206F" w:rsidRDefault="00EA206F" w:rsidP="00EA206F">
            <w:pPr>
              <w:spacing w:after="0" w:line="240" w:lineRule="auto"/>
              <w:rPr>
                <w:rFonts w:ascii="Calibri" w:eastAsia="Times New Roman" w:hAnsi="Calibri" w:cs="Calibri"/>
                <w:color w:val="000000"/>
                <w:lang w:eastAsia="cs-CZ"/>
              </w:rPr>
            </w:pPr>
            <w:r w:rsidRPr="00EA206F">
              <w:rPr>
                <w:rFonts w:ascii="Calibri" w:eastAsia="Times New Roman" w:hAnsi="Calibri" w:cs="Calibri"/>
                <w:color w:val="000000"/>
                <w:lang w:eastAsia="cs-CZ"/>
              </w:rPr>
              <w:t>JINARC 7 TBL</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EA206F" w:rsidRPr="00EA206F" w:rsidRDefault="00EA206F" w:rsidP="00EA206F">
            <w:pPr>
              <w:spacing w:after="0" w:line="240" w:lineRule="auto"/>
              <w:jc w:val="center"/>
              <w:rPr>
                <w:rFonts w:ascii="Calibri" w:eastAsia="Times New Roman" w:hAnsi="Calibri" w:cs="Calibri"/>
                <w:color w:val="000000"/>
                <w:lang w:eastAsia="cs-CZ"/>
              </w:rPr>
            </w:pPr>
            <w:r w:rsidRPr="00EA206F">
              <w:rPr>
                <w:rFonts w:ascii="Calibri" w:eastAsia="Times New Roman" w:hAnsi="Calibri" w:cs="Calibri"/>
                <w:color w:val="000000"/>
                <w:lang w:eastAsia="cs-CZ"/>
              </w:rPr>
              <w:t>7 916,41 Kč</w:t>
            </w:r>
          </w:p>
        </w:tc>
      </w:tr>
      <w:tr w:rsidR="00EA206F" w:rsidRPr="00EA206F" w:rsidTr="00EA206F">
        <w:trPr>
          <w:trHeight w:val="300"/>
          <w:jc w:val="center"/>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EA206F" w:rsidRPr="00EA206F" w:rsidRDefault="00EA206F" w:rsidP="00EA206F">
            <w:pPr>
              <w:spacing w:after="0" w:line="240" w:lineRule="auto"/>
              <w:rPr>
                <w:rFonts w:ascii="Calibri" w:eastAsia="Times New Roman" w:hAnsi="Calibri" w:cs="Calibri"/>
                <w:color w:val="000000"/>
                <w:lang w:eastAsia="cs-CZ"/>
              </w:rPr>
            </w:pPr>
            <w:r w:rsidRPr="00EA206F">
              <w:rPr>
                <w:rFonts w:ascii="Calibri" w:eastAsia="Times New Roman" w:hAnsi="Calibri" w:cs="Calibri"/>
                <w:color w:val="000000"/>
                <w:lang w:eastAsia="cs-CZ"/>
              </w:rPr>
              <w:t>JINARC 56 TBL</w:t>
            </w:r>
          </w:p>
        </w:tc>
        <w:tc>
          <w:tcPr>
            <w:tcW w:w="1340" w:type="dxa"/>
            <w:tcBorders>
              <w:top w:val="nil"/>
              <w:left w:val="nil"/>
              <w:bottom w:val="single" w:sz="4" w:space="0" w:color="auto"/>
              <w:right w:val="single" w:sz="4" w:space="0" w:color="auto"/>
            </w:tcBorders>
            <w:shd w:val="clear" w:color="auto" w:fill="auto"/>
            <w:noWrap/>
            <w:vAlign w:val="bottom"/>
            <w:hideMark/>
          </w:tcPr>
          <w:p w:rsidR="00EA206F" w:rsidRPr="00EA206F" w:rsidRDefault="00EA206F" w:rsidP="00EA206F">
            <w:pPr>
              <w:spacing w:after="0" w:line="240" w:lineRule="auto"/>
              <w:jc w:val="center"/>
              <w:rPr>
                <w:rFonts w:ascii="Calibri" w:eastAsia="Times New Roman" w:hAnsi="Calibri" w:cs="Calibri"/>
                <w:color w:val="000000"/>
                <w:lang w:eastAsia="cs-CZ"/>
              </w:rPr>
            </w:pPr>
            <w:r w:rsidRPr="00EA206F">
              <w:rPr>
                <w:rFonts w:ascii="Calibri" w:eastAsia="Times New Roman" w:hAnsi="Calibri" w:cs="Calibri"/>
                <w:color w:val="000000"/>
                <w:lang w:eastAsia="cs-CZ"/>
              </w:rPr>
              <w:t>31 665,65 Kč</w:t>
            </w:r>
          </w:p>
        </w:tc>
      </w:tr>
    </w:tbl>
    <w:p w:rsidR="00EA206F" w:rsidRDefault="00EA206F" w:rsidP="00EA206F">
      <w:pPr>
        <w:jc w:val="center"/>
      </w:pPr>
    </w:p>
    <w:p w:rsidR="0004343E" w:rsidRDefault="004E6C1B" w:rsidP="00EE3655">
      <w:pPr>
        <w:rPr>
          <w:i/>
        </w:rPr>
      </w:pPr>
      <w:r>
        <w:tab/>
      </w:r>
      <w:r w:rsidR="00F74160">
        <w:t>Vzhledem k povaze této analýzy, nelze počítat ICER ani CER. Dle hodnotící zprávy SÚKL</w:t>
      </w:r>
      <w:r w:rsidR="007631F8">
        <w:t xml:space="preserve"> pro LP JINARC je kalkulovaná hodnota </w:t>
      </w:r>
      <w:proofErr w:type="spellStart"/>
      <w:r w:rsidR="007631F8">
        <w:t>IC</w:t>
      </w:r>
      <w:r w:rsidR="007631F8" w:rsidRPr="007631F8">
        <w:rPr>
          <w:b/>
        </w:rPr>
        <w:t>U</w:t>
      </w:r>
      <w:r w:rsidR="007631F8">
        <w:t>Ru</w:t>
      </w:r>
      <w:proofErr w:type="spellEnd"/>
      <w:r w:rsidR="007631F8">
        <w:t xml:space="preserve">  </w:t>
      </w:r>
      <w:r w:rsidR="007631F8" w:rsidRPr="007631F8">
        <w:rPr>
          <w:b/>
        </w:rPr>
        <w:t xml:space="preserve">5 116 350 </w:t>
      </w:r>
      <w:proofErr w:type="spellStart"/>
      <w:r w:rsidR="007631F8" w:rsidRPr="007631F8">
        <w:rPr>
          <w:b/>
        </w:rPr>
        <w:t>Kč</w:t>
      </w:r>
      <w:proofErr w:type="spellEnd"/>
      <w:r w:rsidR="007631F8" w:rsidRPr="007631F8">
        <w:rPr>
          <w:b/>
        </w:rPr>
        <w:t>/QALY</w:t>
      </w:r>
      <w:r w:rsidR="007631F8">
        <w:t xml:space="preserve"> oproti BSA. </w:t>
      </w:r>
      <w:r w:rsidR="008F21F5">
        <w:t xml:space="preserve">Jinými slovy, za jeden rok života v plné kvalitě získaný terapií </w:t>
      </w:r>
      <w:proofErr w:type="spellStart"/>
      <w:r w:rsidR="008F21F5">
        <w:t>tolvaptanem</w:t>
      </w:r>
      <w:proofErr w:type="spellEnd"/>
      <w:r w:rsidR="008F21F5">
        <w:t xml:space="preserve"> zaplatíme o </w:t>
      </w:r>
      <w:r w:rsidR="008F21F5" w:rsidRPr="008F21F5">
        <w:t>5 116 350 Kč</w:t>
      </w:r>
      <w:r w:rsidR="008F21F5">
        <w:t xml:space="preserve"> více než při terapií BSA (</w:t>
      </w:r>
      <w:r w:rsidR="008949D4">
        <w:t>=</w:t>
      </w:r>
      <w:proofErr w:type="spellStart"/>
      <w:r w:rsidR="008F21F5">
        <w:t>Best</w:t>
      </w:r>
      <w:proofErr w:type="spellEnd"/>
      <w:r w:rsidR="008F21F5">
        <w:t xml:space="preserve"> </w:t>
      </w:r>
      <w:proofErr w:type="spellStart"/>
      <w:r w:rsidR="008F21F5">
        <w:t>supportive</w:t>
      </w:r>
      <w:proofErr w:type="spellEnd"/>
      <w:r w:rsidR="008F21F5">
        <w:t xml:space="preserve"> </w:t>
      </w:r>
      <w:r w:rsidR="008949D4">
        <w:t>care)</w:t>
      </w:r>
      <w:r w:rsidR="008949D4">
        <w:rPr>
          <w:sz w:val="23"/>
          <w:szCs w:val="23"/>
        </w:rPr>
        <w:t xml:space="preserve">. </w:t>
      </w:r>
      <w:r w:rsidR="008949D4" w:rsidRPr="008949D4">
        <w:rPr>
          <w:i/>
          <w:sz w:val="23"/>
          <w:szCs w:val="23"/>
        </w:rPr>
        <w:t>(</w:t>
      </w:r>
      <w:r w:rsidR="008949D4" w:rsidRPr="008949D4">
        <w:rPr>
          <w:i/>
        </w:rPr>
        <w:t xml:space="preserve">Tento údaj je výsledkem analýzy z celoživotního horizontu, kalkulováno s náklady na jedno balení = </w:t>
      </w:r>
      <w:r w:rsidR="008949D4" w:rsidRPr="008949D4">
        <w:rPr>
          <w:i/>
          <w:sz w:val="23"/>
          <w:szCs w:val="23"/>
        </w:rPr>
        <w:t>32 640,52 Kč.</w:t>
      </w:r>
      <w:r w:rsidR="008949D4" w:rsidRPr="008949D4">
        <w:rPr>
          <w:i/>
        </w:rPr>
        <w:t>)</w:t>
      </w:r>
    </w:p>
    <w:p w:rsidR="00D46FC4" w:rsidRPr="00D46FC4" w:rsidRDefault="00D46FC4" w:rsidP="00EE3655">
      <w:r>
        <w:rPr>
          <w:i/>
        </w:rPr>
        <w:tab/>
      </w:r>
      <w:r>
        <w:t xml:space="preserve">Dokument </w:t>
      </w:r>
      <w:r w:rsidRPr="00D46FC4">
        <w:rPr>
          <w:i/>
        </w:rPr>
        <w:t>CDR PHARMACOECONOMIC REVIEW REPORT FOR JINARC</w:t>
      </w:r>
      <w:r>
        <w:t xml:space="preserve"> kanadské organizace </w:t>
      </w:r>
      <w:proofErr w:type="spellStart"/>
      <w:r>
        <w:t>CADTh</w:t>
      </w:r>
      <w:proofErr w:type="spellEnd"/>
      <w:r>
        <w:t xml:space="preserve"> uvádí, že terapie </w:t>
      </w:r>
      <w:proofErr w:type="spellStart"/>
      <w:r>
        <w:t>tolvaptanem</w:t>
      </w:r>
      <w:proofErr w:type="spellEnd"/>
      <w:r>
        <w:t xml:space="preserve"> oproti „</w:t>
      </w:r>
      <w:proofErr w:type="gramStart"/>
      <w:r>
        <w:t>Standard</w:t>
      </w:r>
      <w:proofErr w:type="gramEnd"/>
      <w:r>
        <w:t xml:space="preserve"> </w:t>
      </w:r>
      <w:proofErr w:type="spellStart"/>
      <w:r>
        <w:t>of</w:t>
      </w:r>
      <w:proofErr w:type="spellEnd"/>
      <w:r>
        <w:t xml:space="preserve"> care“ přidá navíc 0,66 QALY a 0,07 LYG na jednoho pacienta</w:t>
      </w:r>
      <w:r w:rsidRPr="00D46FC4">
        <w:rPr>
          <w:vertAlign w:val="superscript"/>
        </w:rPr>
        <w:t>5</w:t>
      </w:r>
      <w:r>
        <w:t>.</w:t>
      </w:r>
    </w:p>
    <w:p w:rsidR="00EA4AEC" w:rsidRDefault="00EA4AEC" w:rsidP="00A93BBB"/>
    <w:p w:rsidR="00DC1EF3" w:rsidRDefault="00426442" w:rsidP="0032320E">
      <w:pPr>
        <w:pBdr>
          <w:top w:val="single" w:sz="24" w:space="1" w:color="7030A0"/>
          <w:left w:val="single" w:sz="24" w:space="4" w:color="7030A0"/>
          <w:bottom w:val="single" w:sz="24" w:space="1" w:color="7030A0"/>
          <w:right w:val="single" w:sz="24" w:space="4" w:color="7030A0"/>
        </w:pBdr>
        <w:ind w:firstLine="360"/>
        <w:rPr>
          <w:b/>
          <w:bCs/>
          <w:u w:val="single"/>
        </w:rPr>
      </w:pPr>
      <w:r w:rsidRPr="005C3669">
        <w:rPr>
          <w:b/>
          <w:bCs/>
          <w:u w:val="single"/>
        </w:rPr>
        <w:t>Závěr:</w:t>
      </w:r>
      <w:r w:rsidR="00770E1C">
        <w:rPr>
          <w:b/>
          <w:bCs/>
          <w:u w:val="single"/>
        </w:rPr>
        <w:t xml:space="preserve"> </w:t>
      </w:r>
      <w:r w:rsidR="00DC1EF3">
        <w:rPr>
          <w:b/>
          <w:bCs/>
          <w:u w:val="single"/>
        </w:rPr>
        <w:t xml:space="preserve"> </w:t>
      </w:r>
    </w:p>
    <w:p w:rsidR="0004343E" w:rsidRPr="00DC1EF3" w:rsidRDefault="00182211" w:rsidP="00DC1EF3">
      <w:pPr>
        <w:pBdr>
          <w:top w:val="single" w:sz="24" w:space="1" w:color="7030A0"/>
          <w:left w:val="single" w:sz="24" w:space="4" w:color="7030A0"/>
          <w:bottom w:val="single" w:sz="24" w:space="1" w:color="7030A0"/>
          <w:right w:val="single" w:sz="24" w:space="4" w:color="7030A0"/>
        </w:pBdr>
        <w:ind w:firstLine="708"/>
        <w:rPr>
          <w:bCs/>
        </w:rPr>
      </w:pPr>
      <w:r>
        <w:rPr>
          <w:bCs/>
        </w:rPr>
        <w:t xml:space="preserve">V této farmakoekonomické analýze byla sledována nákladová efektivita LP JINARC v terapií </w:t>
      </w:r>
      <w:proofErr w:type="spellStart"/>
      <w:r>
        <w:rPr>
          <w:bCs/>
        </w:rPr>
        <w:t>polycystické</w:t>
      </w:r>
      <w:proofErr w:type="spellEnd"/>
      <w:r>
        <w:rPr>
          <w:bCs/>
        </w:rPr>
        <w:t xml:space="preserve"> choroby ledvin autozomálně dominantního typu. </w:t>
      </w:r>
      <w:r w:rsidR="00FC3A77">
        <w:rPr>
          <w:bCs/>
        </w:rPr>
        <w:t xml:space="preserve">V tuto chvíli je </w:t>
      </w:r>
      <w:proofErr w:type="spellStart"/>
      <w:r w:rsidR="00FC3A77">
        <w:rPr>
          <w:bCs/>
        </w:rPr>
        <w:t>tolvaptan</w:t>
      </w:r>
      <w:proofErr w:type="spellEnd"/>
      <w:r w:rsidR="00FC3A77">
        <w:rPr>
          <w:bCs/>
        </w:rPr>
        <w:t xml:space="preserve"> jediným specifickým léčivem dostupný v</w:t>
      </w:r>
      <w:r w:rsidR="00636930">
        <w:rPr>
          <w:bCs/>
        </w:rPr>
        <w:t> </w:t>
      </w:r>
      <w:r w:rsidR="00FC3A77">
        <w:rPr>
          <w:bCs/>
        </w:rPr>
        <w:t>terap</w:t>
      </w:r>
      <w:r w:rsidR="00636930">
        <w:rPr>
          <w:bCs/>
        </w:rPr>
        <w:t xml:space="preserve">ií PCHLAD. Dle dostupných zdrojů statisticky významně snižuje riziko zvýšení objemu ledvin v důsledku onemocnění, statisticky významně snižuje riziko vzniku negativní události související s renálními </w:t>
      </w:r>
      <w:r w:rsidR="00592296">
        <w:rPr>
          <w:bCs/>
        </w:rPr>
        <w:t>funkcemi a bolestí ledvin, což vede k prodloužení života pacientů.</w:t>
      </w:r>
      <w:r w:rsidR="00636930">
        <w:rPr>
          <w:bCs/>
        </w:rPr>
        <w:t xml:space="preserve"> Naopak neovlivňuje hypertenzi a albuminurií, spojené s tímto onemocněním. </w:t>
      </w:r>
      <w:r w:rsidR="0015690C" w:rsidRPr="0015690C">
        <w:t xml:space="preserve">Náklady na roční </w:t>
      </w:r>
      <w:r w:rsidR="007C2584" w:rsidRPr="0015690C">
        <w:t>terapii</w:t>
      </w:r>
      <w:r w:rsidR="0015690C" w:rsidRPr="0015690C">
        <w:t xml:space="preserve"> na jednoho pacienta při současných úhradových podmínkách činí 405 067 Kč</w:t>
      </w:r>
      <w:r w:rsidR="0015690C">
        <w:t xml:space="preserve">. Hodnota </w:t>
      </w:r>
      <w:proofErr w:type="spellStart"/>
      <w:r w:rsidR="0015690C">
        <w:t>ICURu</w:t>
      </w:r>
      <w:proofErr w:type="spellEnd"/>
      <w:r w:rsidR="0015690C">
        <w:t xml:space="preserve"> spočtená SÚKL činí </w:t>
      </w:r>
      <w:proofErr w:type="spellStart"/>
      <w:r w:rsidR="0015690C" w:rsidRPr="0015690C">
        <w:t>ICURu</w:t>
      </w:r>
      <w:proofErr w:type="spellEnd"/>
      <w:r w:rsidR="0015690C" w:rsidRPr="0015690C">
        <w:t xml:space="preserve">  5 116 350 </w:t>
      </w:r>
      <w:proofErr w:type="spellStart"/>
      <w:r w:rsidR="0015690C" w:rsidRPr="0015690C">
        <w:t>Kč</w:t>
      </w:r>
      <w:proofErr w:type="spellEnd"/>
      <w:r w:rsidR="0015690C" w:rsidRPr="0015690C">
        <w:t>/QALY oproti</w:t>
      </w:r>
      <w:r w:rsidR="0015690C">
        <w:t xml:space="preserve"> BSA.</w:t>
      </w:r>
      <w:r w:rsidR="008C5A70">
        <w:t xml:space="preserve"> </w:t>
      </w:r>
      <w:r w:rsidR="00FA3002">
        <w:t>V současné době je LP JINARC posuzovaný jako vysoce inovativní LP a má stanovenou první dočasnou úhradu. Pro přiznání trvalé úhrady by musel splňovat podmínku nákladové efektivity, vi</w:t>
      </w:r>
      <w:r w:rsidR="00D362F3">
        <w:t>z příloha.</w:t>
      </w:r>
    </w:p>
    <w:p w:rsidR="00D46FC4" w:rsidRDefault="00D46FC4" w:rsidP="00A93BBB">
      <w:pPr>
        <w:rPr>
          <w:b/>
        </w:rPr>
      </w:pPr>
      <w:r>
        <w:rPr>
          <w:b/>
        </w:rPr>
        <w:br w:type="page"/>
      </w:r>
    </w:p>
    <w:p w:rsidR="0004343E" w:rsidRPr="008C5A70" w:rsidRDefault="008C5A70" w:rsidP="00A93BBB">
      <w:pPr>
        <w:rPr>
          <w:b/>
        </w:rPr>
      </w:pPr>
      <w:r w:rsidRPr="008C5A70">
        <w:rPr>
          <w:b/>
        </w:rPr>
        <w:lastRenderedPageBreak/>
        <w:t>Přílohy:</w:t>
      </w:r>
    </w:p>
    <w:p w:rsidR="008C5A70" w:rsidRDefault="008C5A70" w:rsidP="00A93BBB">
      <w:r>
        <w:t>Citace z části „Hodnocení nákladové efektivity a dopadu na rozpočet. Závěr“ hodnotící zprávy:</w:t>
      </w:r>
    </w:p>
    <w:p w:rsidR="008C5A70" w:rsidRPr="008C5A70" w:rsidRDefault="008C5A70" w:rsidP="008C5A70">
      <w:pPr>
        <w:autoSpaceDE w:val="0"/>
        <w:autoSpaceDN w:val="0"/>
        <w:adjustRightInd w:val="0"/>
        <w:spacing w:after="0" w:line="240" w:lineRule="auto"/>
        <w:ind w:firstLine="708"/>
        <w:rPr>
          <w:rFonts w:ascii="Calibri" w:hAnsi="Calibri" w:cs="Calibri"/>
          <w:i/>
          <w:color w:val="000000"/>
          <w:sz w:val="23"/>
          <w:szCs w:val="23"/>
        </w:rPr>
      </w:pPr>
      <w:r w:rsidRPr="008C5A70">
        <w:rPr>
          <w:rFonts w:ascii="Calibri" w:hAnsi="Calibri" w:cs="Calibri"/>
          <w:i/>
          <w:color w:val="000000"/>
          <w:sz w:val="23"/>
          <w:szCs w:val="23"/>
        </w:rPr>
        <w:t xml:space="preserve">„Ústav uvádí, že předložená analýza nákladové efektivity ukazuje výsledek, základního scénáře ve výši 5,2 milionů Kč/QALY. S ohledem na to, že posuzovaný přípravek je vyhodnocen v části „Posouzení inovativnosti“ jako vysoce inovativní léčivý přípravek a žádá o přiznání pouze dočasné úhrady z veřejného zdravotního pojištění, pak není pro tyto účely v souladu s ustanovením § 39d odst. 1 zákona o veřejném zdravotním pojištění prokázání nákladové efektivity přípravku v tuto chvíli vyžadováno a posuzováno s dopadem na hodnocení, zda se jedná či nejedná o nákladově efektivní léčbu. </w:t>
      </w:r>
    </w:p>
    <w:p w:rsidR="008C5A70" w:rsidRDefault="008C5A70" w:rsidP="008C5A70">
      <w:pPr>
        <w:ind w:firstLine="708"/>
      </w:pPr>
      <w:r w:rsidRPr="008C5A70">
        <w:rPr>
          <w:rFonts w:ascii="Calibri" w:hAnsi="Calibri" w:cs="Calibri"/>
          <w:i/>
          <w:color w:val="000000"/>
          <w:sz w:val="23"/>
          <w:szCs w:val="23"/>
        </w:rPr>
        <w:t>Ústav však upozorňuje, že průkaz nákladové efektivity je nutnou podmínkou stanovení trvalé úhrady ze zdravotního pojištění, přičemž aktuální výše ICER překračuje hodnotu 1,2 mil. Kč/QALY. Snížení stávajícího výsledku je možné např. dosažením lepších výsledků v klinické praxi během sběru dat, ověřením nákladů asociovaných s podáním přípravku, možností uzavřít dohodu o sdílení rizik se zdravotními pojišťovnami, nebo jiným způsobem snížit náklady na léčbu předmětným přípravkem, které mají ve výpočtu ICER zásadní vliv na jeho výši. Ústav proto doporučuje žadateli, aby se zdravotními pojišťovnami o takové formě dohody jednal.“</w:t>
      </w:r>
      <w:r w:rsidRPr="008C5A70">
        <w:rPr>
          <w:rFonts w:ascii="Calibri" w:hAnsi="Calibri" w:cs="Calibri"/>
          <w:color w:val="000000"/>
          <w:sz w:val="23"/>
          <w:szCs w:val="23"/>
          <w:vertAlign w:val="superscript"/>
        </w:rPr>
        <w:t>2</w:t>
      </w:r>
    </w:p>
    <w:p w:rsidR="0004343E" w:rsidRDefault="0004343E"/>
    <w:p w:rsidR="00FA3002" w:rsidRDefault="00FA3002"/>
    <w:p w:rsidR="00FA3002" w:rsidRDefault="00FA3002"/>
    <w:p w:rsidR="00FA3002" w:rsidRDefault="00FA3002"/>
    <w:p w:rsidR="00FA3002" w:rsidRDefault="00FA3002"/>
    <w:p w:rsidR="00FA3002" w:rsidRDefault="00FA3002"/>
    <w:p w:rsidR="00FA3002" w:rsidRDefault="00FA3002"/>
    <w:p w:rsidR="00FA3002" w:rsidRDefault="00FA3002"/>
    <w:p w:rsidR="00FA3002" w:rsidRDefault="00FA3002"/>
    <w:p w:rsidR="00FA3002" w:rsidRDefault="00FA3002"/>
    <w:p w:rsidR="00FA3002" w:rsidRDefault="00FA3002"/>
    <w:p w:rsidR="00FA3002" w:rsidRDefault="00FA3002"/>
    <w:p w:rsidR="00A36EDA" w:rsidRPr="00850625" w:rsidRDefault="00A36EDA" w:rsidP="00A36EDA">
      <w:pPr>
        <w:rPr>
          <w:rFonts w:cstheme="minorHAnsi"/>
          <w:b/>
        </w:rPr>
      </w:pPr>
      <w:r w:rsidRPr="00850625">
        <w:rPr>
          <w:rFonts w:cstheme="minorHAnsi"/>
          <w:b/>
        </w:rPr>
        <w:t>Zdroje:</w:t>
      </w:r>
    </w:p>
    <w:p w:rsidR="00BA1507" w:rsidRPr="00E75E32" w:rsidRDefault="00AE2E68" w:rsidP="00BA1507">
      <w:pPr>
        <w:pStyle w:val="Odstavecseseznamem"/>
        <w:numPr>
          <w:ilvl w:val="0"/>
          <w:numId w:val="7"/>
        </w:numPr>
        <w:spacing w:after="160" w:line="259" w:lineRule="auto"/>
        <w:rPr>
          <w:rFonts w:cstheme="minorHAnsi"/>
        </w:rPr>
      </w:pPr>
      <w:hyperlink r:id="rId6" w:history="1">
        <w:r w:rsidR="00BA1507" w:rsidRPr="00E75E32">
          <w:rPr>
            <w:rStyle w:val="Hypertextovodkaz"/>
            <w:rFonts w:cstheme="minorHAnsi"/>
            <w:color w:val="auto"/>
          </w:rPr>
          <w:t>www.sukl.cz</w:t>
        </w:r>
      </w:hyperlink>
    </w:p>
    <w:p w:rsidR="00BA1507" w:rsidRDefault="0037485F" w:rsidP="00BA1507">
      <w:pPr>
        <w:pStyle w:val="Odstavecseseznamem"/>
        <w:numPr>
          <w:ilvl w:val="0"/>
          <w:numId w:val="7"/>
        </w:numPr>
        <w:spacing w:after="160" w:line="259" w:lineRule="auto"/>
        <w:rPr>
          <w:rFonts w:cstheme="minorHAnsi"/>
        </w:rPr>
      </w:pPr>
      <w:r w:rsidRPr="00E75E32">
        <w:rPr>
          <w:rFonts w:cstheme="minorHAnsi"/>
        </w:rPr>
        <w:t>Hodnotící zpráva</w:t>
      </w:r>
      <w:r w:rsidR="00182211">
        <w:rPr>
          <w:rFonts w:cstheme="minorHAnsi"/>
        </w:rPr>
        <w:t xml:space="preserve"> LP JIANRC</w:t>
      </w:r>
      <w:r w:rsidR="00EA4AEC" w:rsidRPr="00E75E32">
        <w:rPr>
          <w:rFonts w:cstheme="minorHAnsi"/>
        </w:rPr>
        <w:t xml:space="preserve"> ze SÚKL</w:t>
      </w:r>
    </w:p>
    <w:p w:rsidR="00A13433" w:rsidRPr="00A13433" w:rsidRDefault="00A13433" w:rsidP="00BA1507">
      <w:pPr>
        <w:pStyle w:val="Odstavecseseznamem"/>
        <w:numPr>
          <w:ilvl w:val="0"/>
          <w:numId w:val="7"/>
        </w:numPr>
        <w:spacing w:after="160" w:line="259" w:lineRule="auto"/>
        <w:rPr>
          <w:rFonts w:cstheme="minorHAnsi"/>
        </w:rPr>
      </w:pPr>
      <w:proofErr w:type="spellStart"/>
      <w:r>
        <w:rPr>
          <w:rFonts w:ascii="Segoe UI" w:hAnsi="Segoe UI" w:cs="Segoe UI"/>
          <w:color w:val="212121"/>
          <w:shd w:val="clear" w:color="auto" w:fill="FFFFFF"/>
        </w:rPr>
        <w:t>Torres</w:t>
      </w:r>
      <w:proofErr w:type="spellEnd"/>
      <w:r>
        <w:rPr>
          <w:rFonts w:ascii="Segoe UI" w:hAnsi="Segoe UI" w:cs="Segoe UI"/>
          <w:color w:val="212121"/>
          <w:shd w:val="clear" w:color="auto" w:fill="FFFFFF"/>
        </w:rPr>
        <w:t xml:space="preserve"> VE, </w:t>
      </w:r>
      <w:proofErr w:type="spellStart"/>
      <w:r>
        <w:rPr>
          <w:rFonts w:ascii="Segoe UI" w:hAnsi="Segoe UI" w:cs="Segoe UI"/>
          <w:color w:val="212121"/>
          <w:shd w:val="clear" w:color="auto" w:fill="FFFFFF"/>
        </w:rPr>
        <w:t>Chapman</w:t>
      </w:r>
      <w:proofErr w:type="spellEnd"/>
      <w:r>
        <w:rPr>
          <w:rFonts w:ascii="Segoe UI" w:hAnsi="Segoe UI" w:cs="Segoe UI"/>
          <w:color w:val="212121"/>
          <w:shd w:val="clear" w:color="auto" w:fill="FFFFFF"/>
        </w:rPr>
        <w:t xml:space="preserve"> AB, </w:t>
      </w:r>
      <w:proofErr w:type="spellStart"/>
      <w:r>
        <w:rPr>
          <w:rFonts w:ascii="Segoe UI" w:hAnsi="Segoe UI" w:cs="Segoe UI"/>
          <w:color w:val="212121"/>
          <w:shd w:val="clear" w:color="auto" w:fill="FFFFFF"/>
        </w:rPr>
        <w:t>Devuyst</w:t>
      </w:r>
      <w:proofErr w:type="spellEnd"/>
      <w:r>
        <w:rPr>
          <w:rFonts w:ascii="Segoe UI" w:hAnsi="Segoe UI" w:cs="Segoe UI"/>
          <w:color w:val="212121"/>
          <w:shd w:val="clear" w:color="auto" w:fill="FFFFFF"/>
        </w:rPr>
        <w:t xml:space="preserve"> O, </w:t>
      </w:r>
      <w:proofErr w:type="spellStart"/>
      <w:r>
        <w:rPr>
          <w:rFonts w:ascii="Segoe UI" w:hAnsi="Segoe UI" w:cs="Segoe UI"/>
          <w:color w:val="212121"/>
          <w:shd w:val="clear" w:color="auto" w:fill="FFFFFF"/>
        </w:rPr>
        <w:t>et</w:t>
      </w:r>
      <w:proofErr w:type="spellEnd"/>
      <w:r>
        <w:rPr>
          <w:rFonts w:ascii="Segoe UI" w:hAnsi="Segoe UI" w:cs="Segoe UI"/>
          <w:color w:val="212121"/>
          <w:shd w:val="clear" w:color="auto" w:fill="FFFFFF"/>
        </w:rPr>
        <w:t xml:space="preserve"> </w:t>
      </w:r>
      <w:proofErr w:type="spellStart"/>
      <w:r>
        <w:rPr>
          <w:rFonts w:ascii="Segoe UI" w:hAnsi="Segoe UI" w:cs="Segoe UI"/>
          <w:color w:val="212121"/>
          <w:shd w:val="clear" w:color="auto" w:fill="FFFFFF"/>
        </w:rPr>
        <w:t>al</w:t>
      </w:r>
      <w:proofErr w:type="spellEnd"/>
      <w:r>
        <w:rPr>
          <w:rFonts w:ascii="Segoe UI" w:hAnsi="Segoe UI" w:cs="Segoe UI"/>
          <w:color w:val="212121"/>
          <w:shd w:val="clear" w:color="auto" w:fill="FFFFFF"/>
        </w:rPr>
        <w:t xml:space="preserve">. </w:t>
      </w:r>
      <w:proofErr w:type="spellStart"/>
      <w:r>
        <w:rPr>
          <w:rFonts w:ascii="Segoe UI" w:hAnsi="Segoe UI" w:cs="Segoe UI"/>
          <w:color w:val="212121"/>
          <w:shd w:val="clear" w:color="auto" w:fill="FFFFFF"/>
        </w:rPr>
        <w:t>Tolvaptan</w:t>
      </w:r>
      <w:proofErr w:type="spellEnd"/>
      <w:r>
        <w:rPr>
          <w:rFonts w:ascii="Segoe UI" w:hAnsi="Segoe UI" w:cs="Segoe UI"/>
          <w:color w:val="212121"/>
          <w:shd w:val="clear" w:color="auto" w:fill="FFFFFF"/>
        </w:rPr>
        <w:t xml:space="preserve"> in </w:t>
      </w:r>
      <w:proofErr w:type="spellStart"/>
      <w:r>
        <w:rPr>
          <w:rFonts w:ascii="Segoe UI" w:hAnsi="Segoe UI" w:cs="Segoe UI"/>
          <w:color w:val="212121"/>
          <w:shd w:val="clear" w:color="auto" w:fill="FFFFFF"/>
        </w:rPr>
        <w:t>patients</w:t>
      </w:r>
      <w:proofErr w:type="spellEnd"/>
      <w:r>
        <w:rPr>
          <w:rFonts w:ascii="Segoe UI" w:hAnsi="Segoe UI" w:cs="Segoe UI"/>
          <w:color w:val="212121"/>
          <w:shd w:val="clear" w:color="auto" w:fill="FFFFFF"/>
        </w:rPr>
        <w:t xml:space="preserve"> </w:t>
      </w:r>
      <w:proofErr w:type="spellStart"/>
      <w:r>
        <w:rPr>
          <w:rFonts w:ascii="Segoe UI" w:hAnsi="Segoe UI" w:cs="Segoe UI"/>
          <w:color w:val="212121"/>
          <w:shd w:val="clear" w:color="auto" w:fill="FFFFFF"/>
        </w:rPr>
        <w:t>with</w:t>
      </w:r>
      <w:proofErr w:type="spellEnd"/>
      <w:r>
        <w:rPr>
          <w:rFonts w:ascii="Segoe UI" w:hAnsi="Segoe UI" w:cs="Segoe UI"/>
          <w:color w:val="212121"/>
          <w:shd w:val="clear" w:color="auto" w:fill="FFFFFF"/>
        </w:rPr>
        <w:t xml:space="preserve"> </w:t>
      </w:r>
      <w:proofErr w:type="spellStart"/>
      <w:r>
        <w:rPr>
          <w:rFonts w:ascii="Segoe UI" w:hAnsi="Segoe UI" w:cs="Segoe UI"/>
          <w:color w:val="212121"/>
          <w:shd w:val="clear" w:color="auto" w:fill="FFFFFF"/>
        </w:rPr>
        <w:t>autosomal</w:t>
      </w:r>
      <w:proofErr w:type="spellEnd"/>
      <w:r>
        <w:rPr>
          <w:rFonts w:ascii="Segoe UI" w:hAnsi="Segoe UI" w:cs="Segoe UI"/>
          <w:color w:val="212121"/>
          <w:shd w:val="clear" w:color="auto" w:fill="FFFFFF"/>
        </w:rPr>
        <w:t xml:space="preserve"> dominant </w:t>
      </w:r>
      <w:proofErr w:type="spellStart"/>
      <w:r>
        <w:rPr>
          <w:rFonts w:ascii="Segoe UI" w:hAnsi="Segoe UI" w:cs="Segoe UI"/>
          <w:color w:val="212121"/>
          <w:shd w:val="clear" w:color="auto" w:fill="FFFFFF"/>
        </w:rPr>
        <w:t>polycystic</w:t>
      </w:r>
      <w:proofErr w:type="spellEnd"/>
      <w:r>
        <w:rPr>
          <w:rFonts w:ascii="Segoe UI" w:hAnsi="Segoe UI" w:cs="Segoe UI"/>
          <w:color w:val="212121"/>
          <w:shd w:val="clear" w:color="auto" w:fill="FFFFFF"/>
        </w:rPr>
        <w:t xml:space="preserve"> </w:t>
      </w:r>
      <w:proofErr w:type="spellStart"/>
      <w:r>
        <w:rPr>
          <w:rFonts w:ascii="Segoe UI" w:hAnsi="Segoe UI" w:cs="Segoe UI"/>
          <w:color w:val="212121"/>
          <w:shd w:val="clear" w:color="auto" w:fill="FFFFFF"/>
        </w:rPr>
        <w:t>kidney</w:t>
      </w:r>
      <w:proofErr w:type="spellEnd"/>
      <w:r>
        <w:rPr>
          <w:rFonts w:ascii="Segoe UI" w:hAnsi="Segoe UI" w:cs="Segoe UI"/>
          <w:color w:val="212121"/>
          <w:shd w:val="clear" w:color="auto" w:fill="FFFFFF"/>
        </w:rPr>
        <w:t xml:space="preserve"> </w:t>
      </w:r>
      <w:proofErr w:type="spellStart"/>
      <w:r>
        <w:rPr>
          <w:rFonts w:ascii="Segoe UI" w:hAnsi="Segoe UI" w:cs="Segoe UI"/>
          <w:color w:val="212121"/>
          <w:shd w:val="clear" w:color="auto" w:fill="FFFFFF"/>
        </w:rPr>
        <w:t>disease</w:t>
      </w:r>
      <w:proofErr w:type="spellEnd"/>
      <w:r>
        <w:rPr>
          <w:rFonts w:ascii="Segoe UI" w:hAnsi="Segoe UI" w:cs="Segoe UI"/>
          <w:color w:val="212121"/>
          <w:shd w:val="clear" w:color="auto" w:fill="FFFFFF"/>
        </w:rPr>
        <w:t>. </w:t>
      </w:r>
      <w:r>
        <w:rPr>
          <w:rFonts w:ascii="Segoe UI" w:hAnsi="Segoe UI" w:cs="Segoe UI"/>
          <w:i/>
          <w:iCs/>
          <w:color w:val="212121"/>
          <w:shd w:val="clear" w:color="auto" w:fill="FFFFFF"/>
        </w:rPr>
        <w:t xml:space="preserve">N </w:t>
      </w:r>
      <w:proofErr w:type="spellStart"/>
      <w:r>
        <w:rPr>
          <w:rFonts w:ascii="Segoe UI" w:hAnsi="Segoe UI" w:cs="Segoe UI"/>
          <w:i/>
          <w:iCs/>
          <w:color w:val="212121"/>
          <w:shd w:val="clear" w:color="auto" w:fill="FFFFFF"/>
        </w:rPr>
        <w:t>Engl</w:t>
      </w:r>
      <w:proofErr w:type="spellEnd"/>
      <w:r>
        <w:rPr>
          <w:rFonts w:ascii="Segoe UI" w:hAnsi="Segoe UI" w:cs="Segoe UI"/>
          <w:i/>
          <w:iCs/>
          <w:color w:val="212121"/>
          <w:shd w:val="clear" w:color="auto" w:fill="FFFFFF"/>
        </w:rPr>
        <w:t xml:space="preserve"> J Med</w:t>
      </w:r>
      <w:r>
        <w:rPr>
          <w:rFonts w:ascii="Segoe UI" w:hAnsi="Segoe UI" w:cs="Segoe UI"/>
          <w:color w:val="212121"/>
          <w:shd w:val="clear" w:color="auto" w:fill="FFFFFF"/>
        </w:rPr>
        <w:t>. 2012;367(25):2407-2418. doi:10.1056/NEJMoa1205511</w:t>
      </w:r>
    </w:p>
    <w:p w:rsidR="00A13433" w:rsidRPr="00D46FC4" w:rsidRDefault="00A13433" w:rsidP="00FE38FF">
      <w:pPr>
        <w:pStyle w:val="Odstavecseseznamem"/>
        <w:numPr>
          <w:ilvl w:val="0"/>
          <w:numId w:val="7"/>
        </w:numPr>
        <w:spacing w:after="160" w:line="259" w:lineRule="auto"/>
        <w:rPr>
          <w:rFonts w:cstheme="minorHAnsi"/>
        </w:rPr>
      </w:pPr>
      <w:r>
        <w:t xml:space="preserve">prof. MUDr. Miroslav Merta, </w:t>
      </w:r>
      <w:proofErr w:type="gramStart"/>
      <w:r>
        <w:t>CSc.</w:t>
      </w:r>
      <w:r w:rsidR="00FE38FF">
        <w:t xml:space="preserve"> , MUDr.</w:t>
      </w:r>
      <w:proofErr w:type="gramEnd"/>
      <w:r w:rsidR="00FE38FF">
        <w:t xml:space="preserve"> Jana Reiterová, Ph.D.</w:t>
      </w:r>
      <w:r>
        <w:t xml:space="preserve"> , Ing. Jitka </w:t>
      </w:r>
      <w:proofErr w:type="spellStart"/>
      <w:r>
        <w:t>Štekrová</w:t>
      </w:r>
      <w:proofErr w:type="spellEnd"/>
      <w:r w:rsidR="00FE38FF">
        <w:t xml:space="preserve">. </w:t>
      </w:r>
      <w:proofErr w:type="spellStart"/>
      <w:r w:rsidR="00FE38FF">
        <w:t>Polycystická</w:t>
      </w:r>
      <w:proofErr w:type="spellEnd"/>
      <w:r w:rsidR="00FE38FF">
        <w:t xml:space="preserve"> choroba ledvin. Interní medicína pro praxi. Dostupné z </w:t>
      </w:r>
      <w:hyperlink r:id="rId7" w:history="1">
        <w:r w:rsidR="00D46FC4" w:rsidRPr="00365C42">
          <w:rPr>
            <w:rStyle w:val="Hypertextovodkaz"/>
          </w:rPr>
          <w:t>https://www.internimedicina.cz/</w:t>
        </w:r>
      </w:hyperlink>
    </w:p>
    <w:p w:rsidR="00D46FC4" w:rsidRPr="00E75E32" w:rsidRDefault="00D46FC4" w:rsidP="00FE38FF">
      <w:pPr>
        <w:pStyle w:val="Odstavecseseznamem"/>
        <w:numPr>
          <w:ilvl w:val="0"/>
          <w:numId w:val="7"/>
        </w:numPr>
        <w:spacing w:after="160" w:line="259" w:lineRule="auto"/>
        <w:rPr>
          <w:rFonts w:cstheme="minorHAnsi"/>
        </w:rPr>
      </w:pPr>
      <w:r>
        <w:t>CDR PHARMACOECONOMIC REVIEW REPORT FOR JINARC, dostupné z:</w:t>
      </w:r>
      <w:bookmarkStart w:id="0" w:name="_GoBack"/>
      <w:bookmarkEnd w:id="0"/>
      <w:r>
        <w:t xml:space="preserve"> www.cadth.ca</w:t>
      </w:r>
    </w:p>
    <w:p w:rsidR="00CD4A01" w:rsidRPr="002E6AF0" w:rsidRDefault="00CD4A01"/>
    <w:sectPr w:rsidR="00CD4A01" w:rsidRPr="002E6AF0" w:rsidSect="00F57D5C">
      <w:pgSz w:w="11906" w:h="16838"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339E7"/>
    <w:multiLevelType w:val="hybridMultilevel"/>
    <w:tmpl w:val="0C16037E"/>
    <w:lvl w:ilvl="0" w:tplc="4334A9B4">
      <w:start w:val="25"/>
      <w:numFmt w:val="bullet"/>
      <w:lvlText w:val="-"/>
      <w:lvlJc w:val="left"/>
      <w:pPr>
        <w:ind w:left="1113" w:hanging="360"/>
      </w:pPr>
      <w:rPr>
        <w:rFonts w:ascii="Calibri" w:eastAsiaTheme="minorHAnsi" w:hAnsi="Calibri" w:cs="Calibri" w:hint="default"/>
      </w:rPr>
    </w:lvl>
    <w:lvl w:ilvl="1" w:tplc="04050003" w:tentative="1">
      <w:start w:val="1"/>
      <w:numFmt w:val="bullet"/>
      <w:lvlText w:val="o"/>
      <w:lvlJc w:val="left"/>
      <w:pPr>
        <w:ind w:left="1833" w:hanging="360"/>
      </w:pPr>
      <w:rPr>
        <w:rFonts w:ascii="Courier New" w:hAnsi="Courier New" w:cs="Courier New" w:hint="default"/>
      </w:rPr>
    </w:lvl>
    <w:lvl w:ilvl="2" w:tplc="04050005" w:tentative="1">
      <w:start w:val="1"/>
      <w:numFmt w:val="bullet"/>
      <w:lvlText w:val=""/>
      <w:lvlJc w:val="left"/>
      <w:pPr>
        <w:ind w:left="2553" w:hanging="360"/>
      </w:pPr>
      <w:rPr>
        <w:rFonts w:ascii="Wingdings" w:hAnsi="Wingdings" w:hint="default"/>
      </w:rPr>
    </w:lvl>
    <w:lvl w:ilvl="3" w:tplc="04050001" w:tentative="1">
      <w:start w:val="1"/>
      <w:numFmt w:val="bullet"/>
      <w:lvlText w:val=""/>
      <w:lvlJc w:val="left"/>
      <w:pPr>
        <w:ind w:left="3273" w:hanging="360"/>
      </w:pPr>
      <w:rPr>
        <w:rFonts w:ascii="Symbol" w:hAnsi="Symbol" w:hint="default"/>
      </w:rPr>
    </w:lvl>
    <w:lvl w:ilvl="4" w:tplc="04050003" w:tentative="1">
      <w:start w:val="1"/>
      <w:numFmt w:val="bullet"/>
      <w:lvlText w:val="o"/>
      <w:lvlJc w:val="left"/>
      <w:pPr>
        <w:ind w:left="3993" w:hanging="360"/>
      </w:pPr>
      <w:rPr>
        <w:rFonts w:ascii="Courier New" w:hAnsi="Courier New" w:cs="Courier New" w:hint="default"/>
      </w:rPr>
    </w:lvl>
    <w:lvl w:ilvl="5" w:tplc="04050005" w:tentative="1">
      <w:start w:val="1"/>
      <w:numFmt w:val="bullet"/>
      <w:lvlText w:val=""/>
      <w:lvlJc w:val="left"/>
      <w:pPr>
        <w:ind w:left="4713" w:hanging="360"/>
      </w:pPr>
      <w:rPr>
        <w:rFonts w:ascii="Wingdings" w:hAnsi="Wingdings" w:hint="default"/>
      </w:rPr>
    </w:lvl>
    <w:lvl w:ilvl="6" w:tplc="04050001" w:tentative="1">
      <w:start w:val="1"/>
      <w:numFmt w:val="bullet"/>
      <w:lvlText w:val=""/>
      <w:lvlJc w:val="left"/>
      <w:pPr>
        <w:ind w:left="5433" w:hanging="360"/>
      </w:pPr>
      <w:rPr>
        <w:rFonts w:ascii="Symbol" w:hAnsi="Symbol" w:hint="default"/>
      </w:rPr>
    </w:lvl>
    <w:lvl w:ilvl="7" w:tplc="04050003" w:tentative="1">
      <w:start w:val="1"/>
      <w:numFmt w:val="bullet"/>
      <w:lvlText w:val="o"/>
      <w:lvlJc w:val="left"/>
      <w:pPr>
        <w:ind w:left="6153" w:hanging="360"/>
      </w:pPr>
      <w:rPr>
        <w:rFonts w:ascii="Courier New" w:hAnsi="Courier New" w:cs="Courier New" w:hint="default"/>
      </w:rPr>
    </w:lvl>
    <w:lvl w:ilvl="8" w:tplc="04050005" w:tentative="1">
      <w:start w:val="1"/>
      <w:numFmt w:val="bullet"/>
      <w:lvlText w:val=""/>
      <w:lvlJc w:val="left"/>
      <w:pPr>
        <w:ind w:left="6873" w:hanging="360"/>
      </w:pPr>
      <w:rPr>
        <w:rFonts w:ascii="Wingdings" w:hAnsi="Wingdings" w:hint="default"/>
      </w:rPr>
    </w:lvl>
  </w:abstractNum>
  <w:abstractNum w:abstractNumId="1">
    <w:nsid w:val="1E317710"/>
    <w:multiLevelType w:val="hybridMultilevel"/>
    <w:tmpl w:val="C3AE7A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5C118BF"/>
    <w:multiLevelType w:val="hybridMultilevel"/>
    <w:tmpl w:val="05CCC0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DC09AF1"/>
    <w:multiLevelType w:val="hybridMultilevel"/>
    <w:tmpl w:val="3C444DA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55030B84"/>
    <w:multiLevelType w:val="hybridMultilevel"/>
    <w:tmpl w:val="CC521C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2906885"/>
    <w:multiLevelType w:val="hybridMultilevel"/>
    <w:tmpl w:val="A446C2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713B2DF7"/>
    <w:multiLevelType w:val="hybridMultilevel"/>
    <w:tmpl w:val="034A7B1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CA35109"/>
    <w:multiLevelType w:val="hybridMultilevel"/>
    <w:tmpl w:val="1F06A0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3"/>
  </w:num>
  <w:num w:numId="5">
    <w:abstractNumId w:val="1"/>
  </w:num>
  <w:num w:numId="6">
    <w:abstractNumId w:val="7"/>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6932B6"/>
    <w:rsid w:val="00021BC2"/>
    <w:rsid w:val="000349CE"/>
    <w:rsid w:val="0004343E"/>
    <w:rsid w:val="00066911"/>
    <w:rsid w:val="00091D73"/>
    <w:rsid w:val="000C4FD9"/>
    <w:rsid w:val="000D2826"/>
    <w:rsid w:val="000E4506"/>
    <w:rsid w:val="0014028E"/>
    <w:rsid w:val="0015690C"/>
    <w:rsid w:val="00175C91"/>
    <w:rsid w:val="00182211"/>
    <w:rsid w:val="00184011"/>
    <w:rsid w:val="001878AC"/>
    <w:rsid w:val="00197F84"/>
    <w:rsid w:val="001A09DA"/>
    <w:rsid w:val="001A15DA"/>
    <w:rsid w:val="00211D96"/>
    <w:rsid w:val="00230BBB"/>
    <w:rsid w:val="00240BF9"/>
    <w:rsid w:val="00252840"/>
    <w:rsid w:val="00280807"/>
    <w:rsid w:val="00283379"/>
    <w:rsid w:val="002B4073"/>
    <w:rsid w:val="002C2B44"/>
    <w:rsid w:val="002D07DB"/>
    <w:rsid w:val="002E6AF0"/>
    <w:rsid w:val="0032320E"/>
    <w:rsid w:val="00332140"/>
    <w:rsid w:val="0037485F"/>
    <w:rsid w:val="003E14CC"/>
    <w:rsid w:val="00426442"/>
    <w:rsid w:val="00480818"/>
    <w:rsid w:val="00481217"/>
    <w:rsid w:val="004A03C9"/>
    <w:rsid w:val="004A4D96"/>
    <w:rsid w:val="004B6B7A"/>
    <w:rsid w:val="004B6BED"/>
    <w:rsid w:val="004E6C1B"/>
    <w:rsid w:val="004F1989"/>
    <w:rsid w:val="00513B3C"/>
    <w:rsid w:val="0054148E"/>
    <w:rsid w:val="005444AE"/>
    <w:rsid w:val="005667A7"/>
    <w:rsid w:val="0058386C"/>
    <w:rsid w:val="00592296"/>
    <w:rsid w:val="005B080B"/>
    <w:rsid w:val="005B6097"/>
    <w:rsid w:val="005B6388"/>
    <w:rsid w:val="005C3669"/>
    <w:rsid w:val="005C523E"/>
    <w:rsid w:val="005D3191"/>
    <w:rsid w:val="005E1F04"/>
    <w:rsid w:val="005E4560"/>
    <w:rsid w:val="005F6DD1"/>
    <w:rsid w:val="00600F23"/>
    <w:rsid w:val="00635AB1"/>
    <w:rsid w:val="00636930"/>
    <w:rsid w:val="0064408C"/>
    <w:rsid w:val="0065368B"/>
    <w:rsid w:val="00672AF3"/>
    <w:rsid w:val="00681BFD"/>
    <w:rsid w:val="006932B6"/>
    <w:rsid w:val="006971B9"/>
    <w:rsid w:val="006A0186"/>
    <w:rsid w:val="006A1DBD"/>
    <w:rsid w:val="006A7BC1"/>
    <w:rsid w:val="006B10DC"/>
    <w:rsid w:val="006C029F"/>
    <w:rsid w:val="006E4E9D"/>
    <w:rsid w:val="006F2629"/>
    <w:rsid w:val="0071560F"/>
    <w:rsid w:val="007209AC"/>
    <w:rsid w:val="007631F8"/>
    <w:rsid w:val="00770E1C"/>
    <w:rsid w:val="00772977"/>
    <w:rsid w:val="007C1D60"/>
    <w:rsid w:val="007C2584"/>
    <w:rsid w:val="007C2AF9"/>
    <w:rsid w:val="007C57AC"/>
    <w:rsid w:val="007F72C3"/>
    <w:rsid w:val="008029C7"/>
    <w:rsid w:val="008156C5"/>
    <w:rsid w:val="008349FE"/>
    <w:rsid w:val="00850625"/>
    <w:rsid w:val="00852E4C"/>
    <w:rsid w:val="00865FEF"/>
    <w:rsid w:val="00872CFA"/>
    <w:rsid w:val="008949D4"/>
    <w:rsid w:val="008A4313"/>
    <w:rsid w:val="008A708A"/>
    <w:rsid w:val="008B4E9C"/>
    <w:rsid w:val="008C5A70"/>
    <w:rsid w:val="008E6151"/>
    <w:rsid w:val="008E61E9"/>
    <w:rsid w:val="008F21F5"/>
    <w:rsid w:val="0091561B"/>
    <w:rsid w:val="00941307"/>
    <w:rsid w:val="009455AB"/>
    <w:rsid w:val="009B2FD4"/>
    <w:rsid w:val="009B5375"/>
    <w:rsid w:val="009C56A4"/>
    <w:rsid w:val="009D18A5"/>
    <w:rsid w:val="009F4334"/>
    <w:rsid w:val="00A13433"/>
    <w:rsid w:val="00A36EDA"/>
    <w:rsid w:val="00A70F3B"/>
    <w:rsid w:val="00A75B82"/>
    <w:rsid w:val="00A816A9"/>
    <w:rsid w:val="00A93BBB"/>
    <w:rsid w:val="00AB335A"/>
    <w:rsid w:val="00AC052A"/>
    <w:rsid w:val="00AE2E68"/>
    <w:rsid w:val="00AE6DDA"/>
    <w:rsid w:val="00AF79C5"/>
    <w:rsid w:val="00B028A9"/>
    <w:rsid w:val="00B12965"/>
    <w:rsid w:val="00B317F7"/>
    <w:rsid w:val="00B6761D"/>
    <w:rsid w:val="00B72E0B"/>
    <w:rsid w:val="00B738A1"/>
    <w:rsid w:val="00B73AEC"/>
    <w:rsid w:val="00B8647D"/>
    <w:rsid w:val="00B971BB"/>
    <w:rsid w:val="00BA1507"/>
    <w:rsid w:val="00BA48E6"/>
    <w:rsid w:val="00BE1E38"/>
    <w:rsid w:val="00C3669A"/>
    <w:rsid w:val="00C642F4"/>
    <w:rsid w:val="00C80610"/>
    <w:rsid w:val="00C81F02"/>
    <w:rsid w:val="00CA21C0"/>
    <w:rsid w:val="00CB001F"/>
    <w:rsid w:val="00CD4A01"/>
    <w:rsid w:val="00CD7619"/>
    <w:rsid w:val="00CE0908"/>
    <w:rsid w:val="00CE2203"/>
    <w:rsid w:val="00CE30A5"/>
    <w:rsid w:val="00D06AE0"/>
    <w:rsid w:val="00D154E0"/>
    <w:rsid w:val="00D362F3"/>
    <w:rsid w:val="00D43A9B"/>
    <w:rsid w:val="00D46FC4"/>
    <w:rsid w:val="00DC1EF3"/>
    <w:rsid w:val="00E33CF3"/>
    <w:rsid w:val="00E423B0"/>
    <w:rsid w:val="00E67044"/>
    <w:rsid w:val="00E75E32"/>
    <w:rsid w:val="00E83738"/>
    <w:rsid w:val="00E84216"/>
    <w:rsid w:val="00E87C58"/>
    <w:rsid w:val="00E92B8A"/>
    <w:rsid w:val="00E94170"/>
    <w:rsid w:val="00EA206F"/>
    <w:rsid w:val="00EA2C47"/>
    <w:rsid w:val="00EA4AEC"/>
    <w:rsid w:val="00EA5F8D"/>
    <w:rsid w:val="00EC08F2"/>
    <w:rsid w:val="00EC40F4"/>
    <w:rsid w:val="00ED430A"/>
    <w:rsid w:val="00EE3655"/>
    <w:rsid w:val="00EE600C"/>
    <w:rsid w:val="00F10751"/>
    <w:rsid w:val="00F17C97"/>
    <w:rsid w:val="00F51787"/>
    <w:rsid w:val="00F57D5C"/>
    <w:rsid w:val="00F641D0"/>
    <w:rsid w:val="00F74160"/>
    <w:rsid w:val="00F8262F"/>
    <w:rsid w:val="00F83485"/>
    <w:rsid w:val="00F876D9"/>
    <w:rsid w:val="00F91A34"/>
    <w:rsid w:val="00FA17EE"/>
    <w:rsid w:val="00FA3002"/>
    <w:rsid w:val="00FA443D"/>
    <w:rsid w:val="00FA5350"/>
    <w:rsid w:val="00FB21E3"/>
    <w:rsid w:val="00FB67D9"/>
    <w:rsid w:val="00FC3A77"/>
    <w:rsid w:val="00FD6728"/>
    <w:rsid w:val="00FE17E5"/>
    <w:rsid w:val="00FE38FF"/>
    <w:rsid w:val="00FF1902"/>
    <w:rsid w:val="00FF51B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32B6"/>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32B6"/>
    <w:pPr>
      <w:ind w:left="720"/>
      <w:contextualSpacing/>
    </w:pPr>
  </w:style>
  <w:style w:type="paragraph" w:styleId="Rozvrendokumentu">
    <w:name w:val="Document Map"/>
    <w:basedOn w:val="Normln"/>
    <w:link w:val="RozvrendokumentuChar"/>
    <w:uiPriority w:val="99"/>
    <w:semiHidden/>
    <w:unhideWhenUsed/>
    <w:rsid w:val="006932B6"/>
    <w:pPr>
      <w:spacing w:after="0" w:line="240" w:lineRule="auto"/>
    </w:pPr>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6932B6"/>
    <w:rPr>
      <w:rFonts w:ascii="Tahoma" w:hAnsi="Tahoma" w:cs="Tahoma"/>
      <w:sz w:val="16"/>
      <w:szCs w:val="16"/>
    </w:rPr>
  </w:style>
  <w:style w:type="paragraph" w:styleId="Textbubliny">
    <w:name w:val="Balloon Text"/>
    <w:basedOn w:val="Normln"/>
    <w:link w:val="TextbublinyChar"/>
    <w:uiPriority w:val="99"/>
    <w:semiHidden/>
    <w:unhideWhenUsed/>
    <w:rsid w:val="003E14C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E14CC"/>
    <w:rPr>
      <w:rFonts w:ascii="Tahoma" w:hAnsi="Tahoma" w:cs="Tahoma"/>
      <w:sz w:val="16"/>
      <w:szCs w:val="16"/>
    </w:rPr>
  </w:style>
  <w:style w:type="character" w:styleId="Hypertextovodkaz">
    <w:name w:val="Hyperlink"/>
    <w:basedOn w:val="Standardnpsmoodstavce"/>
    <w:uiPriority w:val="99"/>
    <w:unhideWhenUsed/>
    <w:rsid w:val="00A36EDA"/>
    <w:rPr>
      <w:color w:val="0000FF" w:themeColor="hyperlink"/>
      <w:u w:val="single"/>
    </w:rPr>
  </w:style>
  <w:style w:type="paragraph" w:styleId="Titulek">
    <w:name w:val="caption"/>
    <w:basedOn w:val="Normln"/>
    <w:next w:val="Normln"/>
    <w:uiPriority w:val="35"/>
    <w:unhideWhenUsed/>
    <w:qFormat/>
    <w:rsid w:val="00850625"/>
    <w:pPr>
      <w:spacing w:line="240" w:lineRule="auto"/>
    </w:pPr>
    <w:rPr>
      <w:b/>
      <w:bCs/>
      <w:color w:val="4F81BD" w:themeColor="accent1"/>
      <w:sz w:val="18"/>
      <w:szCs w:val="18"/>
    </w:rPr>
  </w:style>
  <w:style w:type="paragraph" w:customStyle="1" w:styleId="Default">
    <w:name w:val="Default"/>
    <w:rsid w:val="00FE17E5"/>
    <w:pPr>
      <w:autoSpaceDE w:val="0"/>
      <w:autoSpaceDN w:val="0"/>
      <w:adjustRightInd w:val="0"/>
      <w:spacing w:after="0" w:line="240" w:lineRule="auto"/>
    </w:pPr>
    <w:rPr>
      <w:rFonts w:ascii="Calibri" w:hAnsi="Calibri" w:cs="Calibri"/>
      <w:color w:val="000000"/>
      <w:sz w:val="24"/>
      <w:szCs w:val="24"/>
    </w:rPr>
  </w:style>
  <w:style w:type="character" w:customStyle="1" w:styleId="Nevyeenzmnka1">
    <w:name w:val="Nevyřešená zmínka1"/>
    <w:basedOn w:val="Standardnpsmoodstavce"/>
    <w:uiPriority w:val="99"/>
    <w:semiHidden/>
    <w:unhideWhenUsed/>
    <w:rsid w:val="008029C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792720">
      <w:bodyDiv w:val="1"/>
      <w:marLeft w:val="0"/>
      <w:marRight w:val="0"/>
      <w:marTop w:val="0"/>
      <w:marBottom w:val="0"/>
      <w:divBdr>
        <w:top w:val="none" w:sz="0" w:space="0" w:color="auto"/>
        <w:left w:val="none" w:sz="0" w:space="0" w:color="auto"/>
        <w:bottom w:val="none" w:sz="0" w:space="0" w:color="auto"/>
        <w:right w:val="none" w:sz="0" w:space="0" w:color="auto"/>
      </w:divBdr>
    </w:div>
    <w:div w:id="257638778">
      <w:bodyDiv w:val="1"/>
      <w:marLeft w:val="0"/>
      <w:marRight w:val="0"/>
      <w:marTop w:val="0"/>
      <w:marBottom w:val="0"/>
      <w:divBdr>
        <w:top w:val="none" w:sz="0" w:space="0" w:color="auto"/>
        <w:left w:val="none" w:sz="0" w:space="0" w:color="auto"/>
        <w:bottom w:val="none" w:sz="0" w:space="0" w:color="auto"/>
        <w:right w:val="none" w:sz="0" w:space="0" w:color="auto"/>
      </w:divBdr>
    </w:div>
    <w:div w:id="742409346">
      <w:bodyDiv w:val="1"/>
      <w:marLeft w:val="0"/>
      <w:marRight w:val="0"/>
      <w:marTop w:val="0"/>
      <w:marBottom w:val="0"/>
      <w:divBdr>
        <w:top w:val="none" w:sz="0" w:space="0" w:color="auto"/>
        <w:left w:val="none" w:sz="0" w:space="0" w:color="auto"/>
        <w:bottom w:val="none" w:sz="0" w:space="0" w:color="auto"/>
        <w:right w:val="none" w:sz="0" w:space="0" w:color="auto"/>
      </w:divBdr>
    </w:div>
    <w:div w:id="873080150">
      <w:bodyDiv w:val="1"/>
      <w:marLeft w:val="0"/>
      <w:marRight w:val="0"/>
      <w:marTop w:val="0"/>
      <w:marBottom w:val="0"/>
      <w:divBdr>
        <w:top w:val="none" w:sz="0" w:space="0" w:color="auto"/>
        <w:left w:val="none" w:sz="0" w:space="0" w:color="auto"/>
        <w:bottom w:val="none" w:sz="0" w:space="0" w:color="auto"/>
        <w:right w:val="none" w:sz="0" w:space="0" w:color="auto"/>
      </w:divBdr>
    </w:div>
    <w:div w:id="907963615">
      <w:bodyDiv w:val="1"/>
      <w:marLeft w:val="0"/>
      <w:marRight w:val="0"/>
      <w:marTop w:val="0"/>
      <w:marBottom w:val="0"/>
      <w:divBdr>
        <w:top w:val="none" w:sz="0" w:space="0" w:color="auto"/>
        <w:left w:val="none" w:sz="0" w:space="0" w:color="auto"/>
        <w:bottom w:val="none" w:sz="0" w:space="0" w:color="auto"/>
        <w:right w:val="none" w:sz="0" w:space="0" w:color="auto"/>
      </w:divBdr>
    </w:div>
    <w:div w:id="1116681103">
      <w:bodyDiv w:val="1"/>
      <w:marLeft w:val="0"/>
      <w:marRight w:val="0"/>
      <w:marTop w:val="0"/>
      <w:marBottom w:val="0"/>
      <w:divBdr>
        <w:top w:val="none" w:sz="0" w:space="0" w:color="auto"/>
        <w:left w:val="none" w:sz="0" w:space="0" w:color="auto"/>
        <w:bottom w:val="none" w:sz="0" w:space="0" w:color="auto"/>
        <w:right w:val="none" w:sz="0" w:space="0" w:color="auto"/>
      </w:divBdr>
    </w:div>
    <w:div w:id="207763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internimedicina.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ukl.cz"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2A649-F743-43CE-B9E8-8E5323589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998</Words>
  <Characters>5894</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6879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Klobouk</dc:creator>
  <cp:lastModifiedBy>user</cp:lastModifiedBy>
  <cp:revision>2</cp:revision>
  <cp:lastPrinted>2020-11-23T08:42:00Z</cp:lastPrinted>
  <dcterms:created xsi:type="dcterms:W3CDTF">2021-02-02T11:35:00Z</dcterms:created>
  <dcterms:modified xsi:type="dcterms:W3CDTF">2021-02-02T11:35:00Z</dcterms:modified>
</cp:coreProperties>
</file>