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4B29C0" w:rsidP="004B29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Klinika plicních nemocí a tuberkulózy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Prof.MUDr.Vítězslav Kolek,DrSc.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Přednosta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3560, 3552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4B29C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</w:t>
            </w:r>
            <w:r w:rsidR="00A26419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slav.kolek@fnol.cz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0676DA" w:rsidP="00046C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Keytruda 50 mg inf.plv.csl. 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376677" w:rsidP="00046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Lahvička á </w:t>
            </w:r>
            <w:r w:rsidR="000676D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mg 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376677" w:rsidP="00376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</w:t>
            </w:r>
            <w:r w:rsidR="009701AE">
              <w:rPr>
                <w:rFonts w:ascii="Arial" w:hAnsi="Arial" w:cs="Arial"/>
              </w:rPr>
              <w:t>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0676DA" w:rsidP="00046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00F4">
              <w:rPr>
                <w:rFonts w:ascii="Arial" w:hAnsi="Arial" w:cs="Arial"/>
              </w:rPr>
              <w:t>0</w:t>
            </w:r>
            <w:r w:rsidR="004B29C0">
              <w:rPr>
                <w:rFonts w:ascii="Arial" w:hAnsi="Arial" w:cs="Arial"/>
              </w:rPr>
              <w:t>mg</w:t>
            </w:r>
            <w:r w:rsidR="00EA00F4">
              <w:rPr>
                <w:rFonts w:ascii="Arial" w:hAnsi="Arial" w:cs="Arial"/>
              </w:rPr>
              <w:t xml:space="preserve">  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046CC3" w:rsidP="00067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39 435,64 Kč.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A00F4" w:rsidP="00067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 </w:t>
            </w:r>
            <w:r w:rsidR="00046CC3">
              <w:rPr>
                <w:rFonts w:ascii="Arial" w:hAnsi="Arial" w:cs="Arial"/>
              </w:rPr>
              <w:t>5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046CC3" w:rsidP="00046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2 523 881 </w:t>
            </w:r>
            <w:r w:rsidR="00E445A6">
              <w:rPr>
                <w:rFonts w:ascii="Arial" w:hAnsi="Arial" w:cs="Arial"/>
              </w:rPr>
              <w:t>Kč</w:t>
            </w:r>
            <w:r w:rsidR="008C0454">
              <w:rPr>
                <w:rFonts w:ascii="Arial" w:hAnsi="Arial" w:cs="Arial"/>
              </w:rPr>
              <w:t xml:space="preserve"> 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701A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progrese</w:t>
            </w:r>
            <w:r w:rsidR="00E431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E431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několik let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376677" w:rsidP="00067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Pembrolizumab (Keytruda</w:t>
            </w:r>
            <w:r w:rsidR="009701AE">
              <w:rPr>
                <w:rFonts w:ascii="Arial" w:hAnsi="Arial" w:cs="Arial"/>
              </w:rPr>
              <w:t>) v</w:t>
            </w:r>
            <w:r>
              <w:rPr>
                <w:rFonts w:ascii="Arial" w:hAnsi="Arial" w:cs="Arial"/>
              </w:rPr>
              <w:t> 30 min.infusi</w:t>
            </w: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0676DA" w:rsidRDefault="00046CC3" w:rsidP="000676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="009701AE">
              <w:rPr>
                <w:rFonts w:ascii="Arial" w:hAnsi="Arial" w:cs="Arial"/>
              </w:rPr>
              <w:t xml:space="preserve">dávce </w:t>
            </w:r>
            <w:r w:rsidR="00376677">
              <w:rPr>
                <w:rFonts w:ascii="Arial" w:hAnsi="Arial" w:cs="Arial"/>
              </w:rPr>
              <w:t>20</w:t>
            </w:r>
            <w:r w:rsidR="00EA00F4">
              <w:rPr>
                <w:rFonts w:ascii="Arial" w:hAnsi="Arial" w:cs="Arial"/>
              </w:rPr>
              <w:t>0</w:t>
            </w:r>
            <w:r w:rsidR="009701AE">
              <w:rPr>
                <w:rFonts w:ascii="Arial" w:hAnsi="Arial" w:cs="Arial"/>
              </w:rPr>
              <w:t>mg</w:t>
            </w:r>
            <w:r w:rsidR="00376677">
              <w:rPr>
                <w:rFonts w:ascii="Arial" w:hAnsi="Arial" w:cs="Arial"/>
              </w:rPr>
              <w:t xml:space="preserve"> co 3 týdny</w:t>
            </w:r>
            <w:r w:rsidR="009701AE">
              <w:rPr>
                <w:rFonts w:ascii="Arial" w:hAnsi="Arial" w:cs="Arial"/>
              </w:rPr>
              <w:t xml:space="preserve"> je </w:t>
            </w:r>
            <w:r w:rsidR="008C6065">
              <w:rPr>
                <w:rFonts w:ascii="Arial" w:hAnsi="Arial" w:cs="Arial"/>
              </w:rPr>
              <w:t>i</w:t>
            </w:r>
            <w:r w:rsidR="009701AE">
              <w:rPr>
                <w:rFonts w:ascii="Arial" w:hAnsi="Arial" w:cs="Arial"/>
              </w:rPr>
              <w:t>ndikovaný k</w:t>
            </w:r>
            <w:r w:rsidR="008C6065">
              <w:rPr>
                <w:rFonts w:ascii="Arial" w:hAnsi="Arial" w:cs="Arial"/>
              </w:rPr>
              <w:t> </w:t>
            </w:r>
            <w:r w:rsidR="009701AE">
              <w:rPr>
                <w:rFonts w:ascii="Arial" w:hAnsi="Arial" w:cs="Arial"/>
              </w:rPr>
              <w:t>léčbě</w:t>
            </w:r>
            <w:r w:rsidR="008C6065">
              <w:rPr>
                <w:rFonts w:ascii="Arial" w:hAnsi="Arial" w:cs="Arial"/>
              </w:rPr>
              <w:t xml:space="preserve"> </w:t>
            </w:r>
            <w:r w:rsidR="00376677">
              <w:rPr>
                <w:rFonts w:ascii="Arial" w:hAnsi="Arial" w:cs="Arial"/>
              </w:rPr>
              <w:t xml:space="preserve">pacientů </w:t>
            </w:r>
            <w:r w:rsidR="009701AE">
              <w:rPr>
                <w:rFonts w:ascii="Arial" w:hAnsi="Arial" w:cs="Arial"/>
              </w:rPr>
              <w:t xml:space="preserve"> </w:t>
            </w:r>
            <w:r w:rsidR="008C0454">
              <w:rPr>
                <w:rFonts w:ascii="Arial" w:hAnsi="Arial" w:cs="Arial"/>
              </w:rPr>
              <w:t>nemalobuněčného karcinomu plic (</w:t>
            </w:r>
            <w:r w:rsidR="009701AE">
              <w:rPr>
                <w:rFonts w:ascii="Arial" w:hAnsi="Arial" w:cs="Arial"/>
              </w:rPr>
              <w:t>NSCLC</w:t>
            </w:r>
            <w:r w:rsidR="008C0454">
              <w:rPr>
                <w:rFonts w:ascii="Arial" w:hAnsi="Arial" w:cs="Arial"/>
              </w:rPr>
              <w:t xml:space="preserve">) </w:t>
            </w:r>
            <w:r w:rsidR="00376677">
              <w:rPr>
                <w:rFonts w:ascii="Arial" w:hAnsi="Arial" w:cs="Arial"/>
              </w:rPr>
              <w:t xml:space="preserve">již léčených chemoterapií. </w:t>
            </w:r>
            <w:r w:rsidR="000676DA">
              <w:rPr>
                <w:rFonts w:ascii="Arial" w:hAnsi="Arial" w:cs="Arial"/>
              </w:rPr>
              <w:t xml:space="preserve">Léčba pokračuje do progrese nebo do nepřijatelné toxicity. </w:t>
            </w:r>
          </w:p>
          <w:p w:rsidR="003E37C3" w:rsidRDefault="000676DA" w:rsidP="000676DA">
            <w:pPr>
              <w:rPr>
                <w:rFonts w:ascii="Arial" w:hAnsi="Arial" w:cs="Arial"/>
              </w:rPr>
            </w:pPr>
            <w:r w:rsidRPr="000676DA">
              <w:rPr>
                <w:rFonts w:ascii="Arial" w:hAnsi="Arial" w:cs="Arial"/>
                <w:b/>
              </w:rPr>
              <w:t>Dle SPC</w:t>
            </w:r>
            <w:r>
              <w:rPr>
                <w:rFonts w:ascii="Arial" w:hAnsi="Arial" w:cs="Arial"/>
              </w:rPr>
              <w:t>:</w:t>
            </w:r>
          </w:p>
          <w:p w:rsidR="000676DA" w:rsidRPr="000676DA" w:rsidRDefault="000676DA" w:rsidP="000676DA">
            <w:pPr>
              <w:rPr>
                <w:rFonts w:ascii="Arial" w:hAnsi="Arial" w:cs="Arial"/>
                <w:b/>
              </w:rPr>
            </w:pPr>
            <w:r w:rsidRPr="000676DA">
              <w:rPr>
                <w:rFonts w:ascii="Arial" w:hAnsi="Arial" w:cs="Arial"/>
                <w:b/>
              </w:rPr>
              <w:t>Přípravek KEYTRUDA  je v monoterapii indikován v první linii k léčbě metastazujícího</w:t>
            </w:r>
          </w:p>
          <w:p w:rsidR="000676DA" w:rsidRPr="000676DA" w:rsidRDefault="000676DA" w:rsidP="000676DA">
            <w:pPr>
              <w:rPr>
                <w:rFonts w:ascii="Arial" w:hAnsi="Arial" w:cs="Arial"/>
                <w:b/>
              </w:rPr>
            </w:pPr>
            <w:r w:rsidRPr="000676DA">
              <w:rPr>
                <w:rFonts w:ascii="Arial" w:hAnsi="Arial" w:cs="Arial"/>
                <w:b/>
              </w:rPr>
              <w:t>nemalobuněčného karcinomu plic (non-small cell lung carcinoma - NSCLC) u dospělých, jejichž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76DA">
              <w:rPr>
                <w:rFonts w:ascii="Arial" w:hAnsi="Arial" w:cs="Arial"/>
                <w:b/>
              </w:rPr>
              <w:t>nádory exprimují PD-L1, se skóre nádorového podílu (tumour proportion score - TPS) ≥50 % bez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76DA">
              <w:rPr>
                <w:rFonts w:ascii="Arial" w:hAnsi="Arial" w:cs="Arial"/>
                <w:b/>
              </w:rPr>
              <w:t>pozitivních nádorových mutací EGFR nebo ALK.</w:t>
            </w:r>
          </w:p>
          <w:p w:rsidR="000676DA" w:rsidRDefault="000676DA" w:rsidP="000676DA">
            <w:pPr>
              <w:rPr>
                <w:rFonts w:ascii="Arial" w:hAnsi="Arial" w:cs="Arial"/>
                <w:b/>
              </w:rPr>
            </w:pPr>
          </w:p>
          <w:p w:rsidR="000676DA" w:rsidRDefault="000676DA" w:rsidP="000676DA">
            <w:pPr>
              <w:rPr>
                <w:rFonts w:ascii="Arial" w:hAnsi="Arial" w:cs="Arial"/>
                <w:b/>
              </w:rPr>
            </w:pPr>
            <w:r w:rsidRPr="000676DA">
              <w:rPr>
                <w:rFonts w:ascii="Arial" w:hAnsi="Arial" w:cs="Arial"/>
                <w:b/>
              </w:rPr>
              <w:t>Přípravek KEYTRUDA je v monoterapii indikován k léčbě lokálně pokročilého nebo metastazujícího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76DA">
              <w:rPr>
                <w:rFonts w:ascii="Arial" w:hAnsi="Arial" w:cs="Arial"/>
                <w:b/>
              </w:rPr>
              <w:t>NSCLC u dospělých, jejichž nádory exprimují PD-L1 s TPS ≥1 %, a kteří již byli léčeni nejméně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76DA">
              <w:rPr>
                <w:rFonts w:ascii="Arial" w:hAnsi="Arial" w:cs="Arial"/>
                <w:b/>
              </w:rPr>
              <w:t>jedním chemoterapeutickým režimem. Pacienti s pozitivními nádorovými mutacemi EGFR nebo ALK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76DA">
              <w:rPr>
                <w:rFonts w:ascii="Arial" w:hAnsi="Arial" w:cs="Arial"/>
                <w:b/>
              </w:rPr>
              <w:t>musí být také předtím, než dostanou přípravek KEYTRUDA, léčeni cílenou terapií.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3A02B3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3A02B3">
              <w:rPr>
                <w:rFonts w:ascii="Arial" w:hAnsi="Arial" w:cs="Arial"/>
              </w:rPr>
            </w:r>
            <w:r w:rsidR="003A02B3">
              <w:rPr>
                <w:rFonts w:ascii="Arial" w:hAnsi="Arial" w:cs="Arial"/>
              </w:rPr>
              <w:fldChar w:fldCharType="separate"/>
            </w:r>
            <w:r w:rsidR="003A02B3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3A02B3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4133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3A02B3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3A02B3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lastRenderedPageBreak/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3A02B3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3A02B3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8720A8">
            <w:pPr>
              <w:rPr>
                <w:rFonts w:ascii="Arial" w:hAnsi="Arial" w:cs="Arial"/>
              </w:rPr>
            </w:pP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3A02B3" w:rsidP="00602140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3A02B3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2A55DC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7F3717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3A02B3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046AC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3A02B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F5770F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3A02B3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91" w:rsidRPr="00B91830" w:rsidRDefault="00323291" w:rsidP="00C27E3B">
      <w:r>
        <w:separator/>
      </w:r>
    </w:p>
  </w:endnote>
  <w:endnote w:type="continuationSeparator" w:id="0">
    <w:p w:rsidR="00323291" w:rsidRPr="00B91830" w:rsidRDefault="00323291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41" w:rsidRPr="00D33B8B" w:rsidRDefault="00600E41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3A02B3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3A02B3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13608F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3A02B3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3A02B3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3A02B3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13608F">
      <w:rPr>
        <w:rFonts w:ascii="Arial" w:hAnsi="Arial" w:cs="Arial"/>
        <w:noProof/>
        <w:color w:val="7F7F7F" w:themeColor="text1" w:themeTint="80"/>
        <w:sz w:val="16"/>
        <w:szCs w:val="16"/>
      </w:rPr>
      <w:t>3</w:t>
    </w:r>
    <w:r w:rsidR="003A02B3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91" w:rsidRPr="00B91830" w:rsidRDefault="00323291" w:rsidP="00C27E3B">
      <w:r>
        <w:separator/>
      </w:r>
    </w:p>
  </w:footnote>
  <w:footnote w:type="continuationSeparator" w:id="0">
    <w:p w:rsidR="00323291" w:rsidRPr="00B91830" w:rsidRDefault="00323291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00E41" w:rsidRPr="00E3724A" w:rsidTr="00423778">
      <w:trPr>
        <w:trHeight w:val="840"/>
      </w:trPr>
      <w:tc>
        <w:tcPr>
          <w:tcW w:w="3261" w:type="dxa"/>
        </w:tcPr>
        <w:p w:rsidR="00600E41" w:rsidRDefault="00600E41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00E41" w:rsidRPr="00C02DBD" w:rsidRDefault="00600E41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00E41" w:rsidRPr="00C02DBD" w:rsidRDefault="00600E41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00E41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00E41" w:rsidRPr="00C02DBD" w:rsidRDefault="00600E41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00E41" w:rsidRPr="00C02DBD" w:rsidRDefault="00600E41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00E41" w:rsidRDefault="00600E41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00E41" w:rsidRPr="00C02DBD" w:rsidRDefault="00600E41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00E41" w:rsidRPr="00423778" w:rsidRDefault="00600E41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3A02B3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3A02B3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13608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3A02B3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00E41" w:rsidRPr="00C02DBD" w:rsidRDefault="00600E41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00E41" w:rsidRDefault="00600E4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23852"/>
    <w:rsid w:val="00046CC3"/>
    <w:rsid w:val="00047796"/>
    <w:rsid w:val="0006331D"/>
    <w:rsid w:val="000676DA"/>
    <w:rsid w:val="00077A25"/>
    <w:rsid w:val="00084F29"/>
    <w:rsid w:val="00096DD3"/>
    <w:rsid w:val="00097A43"/>
    <w:rsid w:val="000A4476"/>
    <w:rsid w:val="000A65E9"/>
    <w:rsid w:val="000F198E"/>
    <w:rsid w:val="000F320B"/>
    <w:rsid w:val="000F57C2"/>
    <w:rsid w:val="001059BB"/>
    <w:rsid w:val="0012536C"/>
    <w:rsid w:val="00126723"/>
    <w:rsid w:val="0013608F"/>
    <w:rsid w:val="00151B59"/>
    <w:rsid w:val="00152210"/>
    <w:rsid w:val="00164D08"/>
    <w:rsid w:val="0016590D"/>
    <w:rsid w:val="00175DC0"/>
    <w:rsid w:val="00180F64"/>
    <w:rsid w:val="001E326F"/>
    <w:rsid w:val="001F40E0"/>
    <w:rsid w:val="00207761"/>
    <w:rsid w:val="002134BB"/>
    <w:rsid w:val="00233FB4"/>
    <w:rsid w:val="0025516B"/>
    <w:rsid w:val="003013AC"/>
    <w:rsid w:val="003156EC"/>
    <w:rsid w:val="00323291"/>
    <w:rsid w:val="00335546"/>
    <w:rsid w:val="00351C86"/>
    <w:rsid w:val="003758BE"/>
    <w:rsid w:val="00376677"/>
    <w:rsid w:val="003812CD"/>
    <w:rsid w:val="003A02B3"/>
    <w:rsid w:val="003A28D1"/>
    <w:rsid w:val="003A2A0F"/>
    <w:rsid w:val="003C295D"/>
    <w:rsid w:val="003C5C6D"/>
    <w:rsid w:val="003E37C3"/>
    <w:rsid w:val="00410B15"/>
    <w:rsid w:val="00413305"/>
    <w:rsid w:val="00423778"/>
    <w:rsid w:val="004731E0"/>
    <w:rsid w:val="00494E77"/>
    <w:rsid w:val="00496D1C"/>
    <w:rsid w:val="004B29C0"/>
    <w:rsid w:val="004C5C87"/>
    <w:rsid w:val="004C7B6C"/>
    <w:rsid w:val="004F11E0"/>
    <w:rsid w:val="004F1C19"/>
    <w:rsid w:val="005433A3"/>
    <w:rsid w:val="00550EDC"/>
    <w:rsid w:val="00556ED5"/>
    <w:rsid w:val="00590F27"/>
    <w:rsid w:val="00591918"/>
    <w:rsid w:val="005A1415"/>
    <w:rsid w:val="005B69E7"/>
    <w:rsid w:val="00600E41"/>
    <w:rsid w:val="00602140"/>
    <w:rsid w:val="006054F0"/>
    <w:rsid w:val="006662AB"/>
    <w:rsid w:val="00675925"/>
    <w:rsid w:val="006D38FE"/>
    <w:rsid w:val="00706241"/>
    <w:rsid w:val="00706AEA"/>
    <w:rsid w:val="0071492B"/>
    <w:rsid w:val="007756FF"/>
    <w:rsid w:val="007B3EA5"/>
    <w:rsid w:val="007F2068"/>
    <w:rsid w:val="00800085"/>
    <w:rsid w:val="00846EA2"/>
    <w:rsid w:val="008720A8"/>
    <w:rsid w:val="0089323A"/>
    <w:rsid w:val="008C0454"/>
    <w:rsid w:val="008C6065"/>
    <w:rsid w:val="008E0A4B"/>
    <w:rsid w:val="009234B3"/>
    <w:rsid w:val="009367FB"/>
    <w:rsid w:val="009446B4"/>
    <w:rsid w:val="00946303"/>
    <w:rsid w:val="009701AE"/>
    <w:rsid w:val="00974BCA"/>
    <w:rsid w:val="009947F2"/>
    <w:rsid w:val="009D775B"/>
    <w:rsid w:val="009F235C"/>
    <w:rsid w:val="00A05ED4"/>
    <w:rsid w:val="00A22148"/>
    <w:rsid w:val="00A26419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556CF"/>
    <w:rsid w:val="00B82C53"/>
    <w:rsid w:val="00B90F30"/>
    <w:rsid w:val="00B91830"/>
    <w:rsid w:val="00BB7E6A"/>
    <w:rsid w:val="00BE0666"/>
    <w:rsid w:val="00C02DBD"/>
    <w:rsid w:val="00C12C57"/>
    <w:rsid w:val="00C27E3B"/>
    <w:rsid w:val="00C949A6"/>
    <w:rsid w:val="00CE0913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57833"/>
    <w:rsid w:val="00D66294"/>
    <w:rsid w:val="00D8620F"/>
    <w:rsid w:val="00D93D42"/>
    <w:rsid w:val="00D97C75"/>
    <w:rsid w:val="00DA0FB9"/>
    <w:rsid w:val="00DA2302"/>
    <w:rsid w:val="00DA593E"/>
    <w:rsid w:val="00DB6889"/>
    <w:rsid w:val="00DC6046"/>
    <w:rsid w:val="00DD54D4"/>
    <w:rsid w:val="00DF031A"/>
    <w:rsid w:val="00DF2EAB"/>
    <w:rsid w:val="00E02B8B"/>
    <w:rsid w:val="00E3724A"/>
    <w:rsid w:val="00E431DD"/>
    <w:rsid w:val="00E445A6"/>
    <w:rsid w:val="00E81850"/>
    <w:rsid w:val="00E974A5"/>
    <w:rsid w:val="00EA00F4"/>
    <w:rsid w:val="00EA7977"/>
    <w:rsid w:val="00EB5F50"/>
    <w:rsid w:val="00ED3242"/>
    <w:rsid w:val="00ED3BF0"/>
    <w:rsid w:val="00EF6557"/>
    <w:rsid w:val="00F1447D"/>
    <w:rsid w:val="00F23A96"/>
    <w:rsid w:val="00F475D6"/>
    <w:rsid w:val="00F52A78"/>
    <w:rsid w:val="00F63C28"/>
    <w:rsid w:val="00F6413B"/>
    <w:rsid w:val="00F73B82"/>
    <w:rsid w:val="00F7400F"/>
    <w:rsid w:val="00F86D40"/>
    <w:rsid w:val="00F95BAF"/>
    <w:rsid w:val="00FA0EB0"/>
    <w:rsid w:val="00FB7B5D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B5277-C769-4957-82A3-BE895296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2</cp:revision>
  <cp:lastPrinted>2017-04-19T05:11:00Z</cp:lastPrinted>
  <dcterms:created xsi:type="dcterms:W3CDTF">2017-05-03T08:59:00Z</dcterms:created>
  <dcterms:modified xsi:type="dcterms:W3CDTF">2017-05-03T08:59:00Z</dcterms:modified>
</cp:coreProperties>
</file>