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0FF69" w14:textId="52333112" w:rsidR="006932B6" w:rsidRDefault="00F8001F" w:rsidP="006932B6">
      <w:pPr>
        <w:jc w:val="right"/>
      </w:pPr>
      <w:r>
        <w:t>6.8</w:t>
      </w:r>
      <w:r w:rsidR="00FA6872">
        <w:t>.202</w:t>
      </w:r>
      <w:r w:rsidR="0049393C">
        <w:t>2</w:t>
      </w:r>
    </w:p>
    <w:p w14:paraId="36535E00" w14:textId="77777777" w:rsidR="006932B6" w:rsidRPr="00D81261" w:rsidRDefault="006932B6" w:rsidP="006932B6">
      <w:pPr>
        <w:jc w:val="right"/>
        <w:rPr>
          <w:sz w:val="18"/>
          <w:szCs w:val="18"/>
        </w:rPr>
      </w:pPr>
    </w:p>
    <w:p w14:paraId="3749ED68" w14:textId="3FF9B91F" w:rsidR="006932B6" w:rsidRPr="00787C8A" w:rsidRDefault="006932B6" w:rsidP="006932B6">
      <w:pPr>
        <w:jc w:val="center"/>
        <w:outlineLvl w:val="0"/>
      </w:pPr>
      <w:r>
        <w:t>Farmakoekonomická</w:t>
      </w:r>
      <w:r w:rsidRPr="00787C8A">
        <w:t xml:space="preserve"> analýza </w:t>
      </w:r>
      <w:r w:rsidR="0049393C">
        <w:t>léčivého přípravku</w:t>
      </w:r>
    </w:p>
    <w:p w14:paraId="2A258C98" w14:textId="6F4435CE" w:rsidR="006932B6" w:rsidRPr="0071560F" w:rsidRDefault="0049393C" w:rsidP="00CA21C0">
      <w:pPr>
        <w:jc w:val="center"/>
        <w:outlineLvl w:val="0"/>
        <w:rPr>
          <w:b/>
          <w:spacing w:val="60"/>
          <w:sz w:val="52"/>
          <w:szCs w:val="52"/>
        </w:rPr>
      </w:pPr>
      <w:r>
        <w:rPr>
          <w:b/>
          <w:spacing w:val="60"/>
          <w:sz w:val="52"/>
          <w:szCs w:val="52"/>
        </w:rPr>
        <w:t>KIMMTRAK</w:t>
      </w:r>
      <w:r w:rsidR="0071560F">
        <w:rPr>
          <w:b/>
          <w:spacing w:val="60"/>
          <w:sz w:val="52"/>
          <w:szCs w:val="52"/>
        </w:rPr>
        <w:br/>
      </w:r>
      <w:r w:rsidR="00E53D47">
        <w:rPr>
          <w:b/>
          <w:spacing w:val="40"/>
          <w:sz w:val="28"/>
          <w:szCs w:val="28"/>
        </w:rPr>
        <w:t xml:space="preserve">K terapií </w:t>
      </w:r>
      <w:r w:rsidR="00B527D8">
        <w:rPr>
          <w:b/>
          <w:spacing w:val="40"/>
          <w:sz w:val="28"/>
          <w:szCs w:val="28"/>
        </w:rPr>
        <w:t>paci</w:t>
      </w:r>
      <w:r>
        <w:rPr>
          <w:b/>
          <w:spacing w:val="40"/>
          <w:sz w:val="28"/>
          <w:szCs w:val="28"/>
        </w:rPr>
        <w:t>entů s</w:t>
      </w:r>
      <w:r w:rsidR="001E35F0">
        <w:rPr>
          <w:b/>
          <w:spacing w:val="40"/>
          <w:sz w:val="28"/>
          <w:szCs w:val="28"/>
        </w:rPr>
        <w:t> neresekovatelným nebo</w:t>
      </w:r>
      <w:r>
        <w:rPr>
          <w:b/>
          <w:spacing w:val="40"/>
          <w:sz w:val="28"/>
          <w:szCs w:val="28"/>
        </w:rPr>
        <w:t xml:space="preserve"> metastatickým </w:t>
      </w:r>
      <w:r w:rsidRPr="001E35F0">
        <w:rPr>
          <w:b/>
          <w:spacing w:val="40"/>
          <w:sz w:val="28"/>
          <w:szCs w:val="28"/>
          <w:u w:val="single"/>
        </w:rPr>
        <w:t>uveálním melanomem</w:t>
      </w:r>
      <w:r w:rsidR="001E35F0">
        <w:rPr>
          <w:b/>
          <w:spacing w:val="40"/>
          <w:sz w:val="28"/>
          <w:szCs w:val="28"/>
        </w:rPr>
        <w:t xml:space="preserve"> s mutací HLA-A*02:01</w:t>
      </w:r>
    </w:p>
    <w:p w14:paraId="7D8F6693" w14:textId="240AD2DA" w:rsidR="006932B6" w:rsidRDefault="006932B6" w:rsidP="006932B6">
      <w:pPr>
        <w:rPr>
          <w:b/>
          <w:sz w:val="24"/>
          <w:szCs w:val="24"/>
        </w:rPr>
      </w:pPr>
    </w:p>
    <w:p w14:paraId="4E47C8BD" w14:textId="77777777" w:rsidR="00701F92" w:rsidRPr="00D81261" w:rsidRDefault="00701F92" w:rsidP="006932B6">
      <w:pPr>
        <w:rPr>
          <w:b/>
          <w:sz w:val="24"/>
          <w:szCs w:val="24"/>
        </w:rPr>
      </w:pPr>
    </w:p>
    <w:p w14:paraId="015F20EC" w14:textId="41DA24DB" w:rsidR="006573F6" w:rsidRDefault="006573F6" w:rsidP="006932B6">
      <w:pPr>
        <w:outlineLvl w:val="0"/>
        <w:rPr>
          <w:b/>
        </w:rPr>
      </w:pPr>
      <w:r>
        <w:rPr>
          <w:b/>
        </w:rPr>
        <w:t xml:space="preserve">Celý </w:t>
      </w:r>
      <w:proofErr w:type="gramStart"/>
      <w:r>
        <w:rPr>
          <w:b/>
        </w:rPr>
        <w:t>název</w:t>
      </w:r>
      <w:r w:rsidRPr="006573F6">
        <w:t xml:space="preserve">:   </w:t>
      </w:r>
      <w:proofErr w:type="gramEnd"/>
      <w:r w:rsidRPr="006573F6">
        <w:t xml:space="preserve"> </w:t>
      </w:r>
      <w:r w:rsidR="001E35F0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 xml:space="preserve">KIMMTRAK </w:t>
      </w:r>
      <w:r w:rsidR="001E35F0">
        <w:rPr>
          <w:rFonts w:ascii="Verdana" w:hAnsi="Verdana"/>
          <w:color w:val="000000"/>
          <w:sz w:val="18"/>
          <w:szCs w:val="18"/>
          <w:shd w:val="clear" w:color="auto" w:fill="FFFFFF"/>
        </w:rPr>
        <w:t>100MCG/0,5ML INF CNC SOL 1X0,5ML</w:t>
      </w:r>
    </w:p>
    <w:p w14:paraId="397EB99A" w14:textId="4C35C0D1" w:rsidR="006932B6" w:rsidRPr="008E61E9" w:rsidRDefault="006932B6" w:rsidP="006932B6">
      <w:pPr>
        <w:outlineLvl w:val="0"/>
        <w:rPr>
          <w:rFonts w:ascii="Calibri" w:hAnsi="Calibri" w:cs="Calibri"/>
        </w:rPr>
      </w:pPr>
      <w:r>
        <w:rPr>
          <w:b/>
        </w:rPr>
        <w:t>Ú</w:t>
      </w:r>
      <w:r w:rsidRPr="00787C8A">
        <w:rPr>
          <w:b/>
        </w:rPr>
        <w:t>činná látka:</w:t>
      </w:r>
      <w:r>
        <w:rPr>
          <w:b/>
        </w:rPr>
        <w:t xml:space="preserve">      </w:t>
      </w:r>
      <w:r w:rsidR="001E35F0" w:rsidRPr="001E35F0">
        <w:t>fúzní protein</w:t>
      </w:r>
      <w:r w:rsidR="001E35F0">
        <w:rPr>
          <w:b/>
        </w:rPr>
        <w:t xml:space="preserve"> </w:t>
      </w:r>
      <w:r w:rsidR="001E35F0">
        <w:t>TEBENTAFUSP</w:t>
      </w:r>
    </w:p>
    <w:p w14:paraId="1C599C34" w14:textId="3CF66482" w:rsidR="00DD2B95" w:rsidRPr="00CD5CE4" w:rsidRDefault="00734B34" w:rsidP="00D81261">
      <w:pPr>
        <w:jc w:val="both"/>
        <w:rPr>
          <w:rFonts w:cstheme="minorHAnsi"/>
        </w:rPr>
      </w:pPr>
      <w:r>
        <w:rPr>
          <w:rFonts w:ascii="Calibri" w:hAnsi="Calibri" w:cs="Calibri"/>
          <w:b/>
        </w:rPr>
        <w:t>M</w:t>
      </w:r>
      <w:r w:rsidR="006932B6" w:rsidRPr="008E61E9">
        <w:rPr>
          <w:rFonts w:ascii="Calibri" w:hAnsi="Calibri" w:cs="Calibri"/>
          <w:b/>
        </w:rPr>
        <w:t xml:space="preserve">echanismus </w:t>
      </w:r>
      <w:proofErr w:type="gramStart"/>
      <w:r w:rsidR="006932B6" w:rsidRPr="008E61E9">
        <w:rPr>
          <w:rFonts w:ascii="Calibri" w:hAnsi="Calibri" w:cs="Calibri"/>
          <w:b/>
        </w:rPr>
        <w:t>účinku:</w:t>
      </w:r>
      <w:r w:rsidR="006932B6" w:rsidRPr="008E61E9">
        <w:rPr>
          <w:rFonts w:ascii="Calibri" w:hAnsi="Calibri" w:cs="Calibri"/>
        </w:rPr>
        <w:t xml:space="preserve">   </w:t>
      </w:r>
      <w:proofErr w:type="gramEnd"/>
      <w:r w:rsidR="006932B6" w:rsidRPr="008E61E9">
        <w:rPr>
          <w:rFonts w:ascii="Calibri" w:hAnsi="Calibri" w:cs="Calibri"/>
        </w:rPr>
        <w:t xml:space="preserve"> </w:t>
      </w:r>
      <w:proofErr w:type="spellStart"/>
      <w:r w:rsidR="00D81261">
        <w:rPr>
          <w:rFonts w:ascii="Calibri" w:hAnsi="Calibri" w:cs="Calibri"/>
        </w:rPr>
        <w:t>E</w:t>
      </w:r>
      <w:r w:rsidR="00DD2B95">
        <w:rPr>
          <w:rFonts w:ascii="Calibri" w:hAnsi="Calibri" w:cs="Calibri"/>
        </w:rPr>
        <w:t>nhancer</w:t>
      </w:r>
      <w:proofErr w:type="spellEnd"/>
      <w:r w:rsidR="00DD2B95">
        <w:rPr>
          <w:rFonts w:ascii="Calibri" w:hAnsi="Calibri" w:cs="Calibri"/>
        </w:rPr>
        <w:t xml:space="preserve"> T-buněk via CD3</w:t>
      </w:r>
      <w:r w:rsidR="00805411">
        <w:rPr>
          <w:rFonts w:ascii="Calibri" w:hAnsi="Calibri" w:cs="Calibri"/>
        </w:rPr>
        <w:t xml:space="preserve"> – tj.</w:t>
      </w:r>
      <w:r w:rsidR="00490D3E">
        <w:rPr>
          <w:rFonts w:ascii="Calibri" w:hAnsi="Calibri" w:cs="Calibri"/>
        </w:rPr>
        <w:t xml:space="preserve"> druh imunoterapie</w:t>
      </w:r>
      <w:r w:rsidR="00D81261" w:rsidRPr="00D81261">
        <w:rPr>
          <w:rFonts w:cstheme="minorHAnsi"/>
        </w:rPr>
        <w:t xml:space="preserve">. </w:t>
      </w:r>
      <w:proofErr w:type="spellStart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Tebentafusp</w:t>
      </w:r>
      <w:proofErr w:type="spellEnd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 xml:space="preserve"> je </w:t>
      </w:r>
      <w:proofErr w:type="spellStart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bispecifické</w:t>
      </w:r>
      <w:proofErr w:type="spellEnd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 xml:space="preserve"> proteinové léčivo sestávající z</w:t>
      </w:r>
      <w:r w:rsidR="00CD5CE4">
        <w:rPr>
          <w:rStyle w:val="q4iawc"/>
          <w:rFonts w:cstheme="minorHAnsi"/>
          <w:color w:val="000000"/>
          <w:shd w:val="clear" w:color="auto" w:fill="F5F5F5"/>
        </w:rPr>
        <w:t xml:space="preserve"> vysoce afinitní </w:t>
      </w:r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domény rozpustného T buněčného receptoru (</w:t>
      </w:r>
      <w:r w:rsidR="00CD5CE4">
        <w:rPr>
          <w:rStyle w:val="q4iawc"/>
          <w:rFonts w:cstheme="minorHAnsi"/>
          <w:color w:val="000000"/>
          <w:shd w:val="clear" w:color="auto" w:fill="F5F5F5"/>
        </w:rPr>
        <w:t xml:space="preserve">tzv. </w:t>
      </w:r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TCR) fúzované</w:t>
      </w:r>
      <w:r w:rsidR="00CD5CE4">
        <w:rPr>
          <w:rStyle w:val="q4iawc"/>
          <w:rFonts w:cstheme="minorHAnsi"/>
          <w:color w:val="000000"/>
          <w:shd w:val="clear" w:color="auto" w:fill="F5F5F5"/>
        </w:rPr>
        <w:t>ho</w:t>
      </w:r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 xml:space="preserve"> s anti-CD3 </w:t>
      </w:r>
      <w:proofErr w:type="spellStart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jednořetězcovým</w:t>
      </w:r>
      <w:proofErr w:type="spellEnd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 xml:space="preserve"> variabilním fragmentem (</w:t>
      </w:r>
      <w:r w:rsidR="00CD5CE4">
        <w:rPr>
          <w:rStyle w:val="q4iawc"/>
          <w:rFonts w:cstheme="minorHAnsi"/>
          <w:color w:val="000000"/>
          <w:shd w:val="clear" w:color="auto" w:fill="F5F5F5"/>
        </w:rPr>
        <w:t xml:space="preserve">tzv. </w:t>
      </w:r>
      <w:proofErr w:type="spellStart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scFv</w:t>
      </w:r>
      <w:proofErr w:type="spellEnd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).</w:t>
      </w:r>
      <w:r w:rsidR="00D81261" w:rsidRPr="00D81261">
        <w:rPr>
          <w:rFonts w:cstheme="minorHAnsi"/>
          <w:color w:val="000000"/>
          <w:shd w:val="clear" w:color="auto" w:fill="F5F5F5"/>
        </w:rPr>
        <w:t xml:space="preserve"> </w:t>
      </w:r>
      <w:r w:rsidR="00D81261" w:rsidRPr="00D81261">
        <w:rPr>
          <w:rStyle w:val="q4iawc"/>
          <w:rFonts w:cstheme="minorHAnsi"/>
          <w:color w:val="000000"/>
          <w:shd w:val="clear" w:color="auto" w:fill="D2E3FC"/>
        </w:rPr>
        <w:t>Doména TCR se zaměřuje na peptidový fragment glykoproteinu 100 (</w:t>
      </w:r>
      <w:r w:rsidR="00CD5CE4">
        <w:rPr>
          <w:rStyle w:val="q4iawc"/>
          <w:rFonts w:cstheme="minorHAnsi"/>
          <w:color w:val="000000"/>
          <w:shd w:val="clear" w:color="auto" w:fill="D2E3FC"/>
        </w:rPr>
        <w:t xml:space="preserve">tzv.  </w:t>
      </w:r>
      <w:r w:rsidR="00D81261" w:rsidRPr="00D81261">
        <w:rPr>
          <w:rStyle w:val="q4iawc"/>
          <w:rFonts w:cstheme="minorHAnsi"/>
          <w:color w:val="000000"/>
          <w:shd w:val="clear" w:color="auto" w:fill="D2E3FC"/>
        </w:rPr>
        <w:t xml:space="preserve">gp100) (YLEPGPVTA), když je prezentován lidským </w:t>
      </w:r>
      <w:proofErr w:type="spellStart"/>
      <w:r w:rsidR="00D81261" w:rsidRPr="00D81261">
        <w:rPr>
          <w:rStyle w:val="q4iawc"/>
          <w:rFonts w:cstheme="minorHAnsi"/>
          <w:color w:val="000000"/>
          <w:shd w:val="clear" w:color="auto" w:fill="D2E3FC"/>
        </w:rPr>
        <w:t>leukocytárním</w:t>
      </w:r>
      <w:proofErr w:type="spellEnd"/>
      <w:r w:rsidR="00D81261" w:rsidRPr="00D81261">
        <w:rPr>
          <w:rStyle w:val="q4iawc"/>
          <w:rFonts w:cstheme="minorHAnsi"/>
          <w:color w:val="000000"/>
          <w:shd w:val="clear" w:color="auto" w:fill="D2E3FC"/>
        </w:rPr>
        <w:t xml:space="preserve"> antigenem</w:t>
      </w:r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 xml:space="preserve"> (</w:t>
      </w:r>
      <w:r w:rsidR="00CD5CE4">
        <w:rPr>
          <w:rStyle w:val="q4iawc"/>
          <w:rFonts w:cstheme="minorHAnsi"/>
          <w:color w:val="000000"/>
          <w:shd w:val="clear" w:color="auto" w:fill="F5F5F5"/>
        </w:rPr>
        <w:t xml:space="preserve">tzv. </w:t>
      </w:r>
      <w:proofErr w:type="gramStart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HLA)-</w:t>
      </w:r>
      <w:proofErr w:type="gramEnd"/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A*02:01 na povrchu buňky.</w:t>
      </w:r>
      <w:r w:rsidR="00D81261" w:rsidRPr="00D81261">
        <w:rPr>
          <w:rFonts w:cstheme="minorHAnsi"/>
          <w:color w:val="000000"/>
          <w:shd w:val="clear" w:color="auto" w:fill="F5F5F5"/>
        </w:rPr>
        <w:t xml:space="preserve"> </w:t>
      </w:r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Cílený peptid gp100 je prezentován podskupinou populace, která exprimuje specifickou variantu (sérotyp) HLA-A2.</w:t>
      </w:r>
      <w:r w:rsidR="00D81261" w:rsidRPr="00D81261">
        <w:rPr>
          <w:rFonts w:cstheme="minorHAnsi"/>
          <w:color w:val="000000"/>
          <w:shd w:val="clear" w:color="auto" w:fill="F5F5F5"/>
        </w:rPr>
        <w:t xml:space="preserve"> </w:t>
      </w:r>
      <w:r w:rsidR="00D81261" w:rsidRPr="00D81261">
        <w:rPr>
          <w:rStyle w:val="q4iawc"/>
          <w:rFonts w:cstheme="minorHAnsi"/>
          <w:color w:val="000000"/>
          <w:shd w:val="clear" w:color="auto" w:fill="F5F5F5"/>
        </w:rPr>
        <w:t>Tuto variantu nese přibližně 50 % populace v severoamerické a západoevropské populaci</w:t>
      </w:r>
      <w:r w:rsidR="00CD5CE4">
        <w:rPr>
          <w:rStyle w:val="q4iawc"/>
          <w:rFonts w:cstheme="minorHAnsi"/>
          <w:color w:val="000000"/>
          <w:shd w:val="clear" w:color="auto" w:fill="F5F5F5"/>
        </w:rPr>
        <w:t xml:space="preserve">. </w:t>
      </w:r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I</w:t>
      </w:r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munitní synapse se vytvoří, když se TCR zaměřovací doména </w:t>
      </w:r>
      <w:proofErr w:type="spellStart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tebentafusp</w:t>
      </w:r>
      <w:r w:rsidR="00CD5CE4">
        <w:rPr>
          <w:rStyle w:val="q4iawc"/>
          <w:rFonts w:cstheme="minorHAnsi"/>
          <w:color w:val="000000"/>
          <w:shd w:val="clear" w:color="auto" w:fill="F5F5F5"/>
        </w:rPr>
        <w:t>u</w:t>
      </w:r>
      <w:proofErr w:type="spellEnd"/>
      <w:r w:rsidR="00CD5CE4">
        <w:rPr>
          <w:rStyle w:val="q4iawc"/>
          <w:rFonts w:cstheme="minorHAnsi"/>
          <w:color w:val="000000"/>
          <w:shd w:val="clear" w:color="auto" w:fill="F5F5F5"/>
        </w:rPr>
        <w:t xml:space="preserve"> na</w:t>
      </w:r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váže na buňky</w:t>
      </w:r>
      <w:r w:rsidR="002C4E94">
        <w:rPr>
          <w:rStyle w:val="q4iawc"/>
          <w:rFonts w:cstheme="minorHAnsi"/>
          <w:color w:val="000000"/>
          <w:shd w:val="clear" w:color="auto" w:fill="F5F5F5"/>
        </w:rPr>
        <w:t xml:space="preserve"> uveálního melanomu</w:t>
      </w:r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 a CD3 efektorová doména se </w:t>
      </w:r>
      <w:r w:rsidR="002C4E94">
        <w:rPr>
          <w:rStyle w:val="q4iawc"/>
          <w:rFonts w:cstheme="minorHAnsi"/>
          <w:color w:val="000000"/>
          <w:shd w:val="clear" w:color="auto" w:fill="F5F5F5"/>
        </w:rPr>
        <w:t>na</w:t>
      </w:r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váže na </w:t>
      </w:r>
      <w:proofErr w:type="spellStart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polyklonální</w:t>
      </w:r>
      <w:proofErr w:type="spellEnd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 T buňky.</w:t>
      </w:r>
      <w:r w:rsidR="00CD5CE4" w:rsidRPr="00CD5CE4">
        <w:rPr>
          <w:rFonts w:cstheme="minorHAnsi"/>
          <w:color w:val="000000"/>
          <w:shd w:val="clear" w:color="auto" w:fill="F5F5F5"/>
        </w:rPr>
        <w:t xml:space="preserve"> </w:t>
      </w:r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Tato imunitní synapse </w:t>
      </w:r>
      <w:r w:rsidR="002C4E94">
        <w:rPr>
          <w:rStyle w:val="q4iawc"/>
          <w:rFonts w:cstheme="minorHAnsi"/>
          <w:color w:val="000000"/>
          <w:shd w:val="clear" w:color="auto" w:fill="F5F5F5"/>
        </w:rPr>
        <w:t xml:space="preserve">pak </w:t>
      </w:r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vede k přesměrování, proliferaci a aktivaci </w:t>
      </w:r>
      <w:proofErr w:type="spellStart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polyklonálních</w:t>
      </w:r>
      <w:proofErr w:type="spellEnd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 T buněk bez ohledu na jejich nativní TCR specifičnost. </w:t>
      </w:r>
      <w:proofErr w:type="spellStart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Tebentafuspem</w:t>
      </w:r>
      <w:proofErr w:type="spellEnd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 aktivované </w:t>
      </w:r>
      <w:proofErr w:type="spellStart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polyklonální</w:t>
      </w:r>
      <w:proofErr w:type="spellEnd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 T buňky uvolňují zánětlivé </w:t>
      </w:r>
      <w:proofErr w:type="spellStart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cytokiny</w:t>
      </w:r>
      <w:proofErr w:type="spellEnd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 a cytolytické proteiny, které vedou k přímé lýze nádorových buněk.</w:t>
      </w:r>
      <w:r w:rsidR="00CD5CE4" w:rsidRPr="00CD5CE4">
        <w:rPr>
          <w:rFonts w:cstheme="minorHAnsi"/>
          <w:color w:val="000000"/>
          <w:shd w:val="clear" w:color="auto" w:fill="F5F5F5"/>
        </w:rPr>
        <w:t xml:space="preserve"> </w:t>
      </w:r>
      <w:proofErr w:type="spellStart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Lýza</w:t>
      </w:r>
      <w:proofErr w:type="spellEnd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 zprostředkovaná </w:t>
      </w:r>
      <w:proofErr w:type="spellStart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>tebentafusp</w:t>
      </w:r>
      <w:r w:rsidR="002C4E94">
        <w:rPr>
          <w:rStyle w:val="q4iawc"/>
          <w:rFonts w:cstheme="minorHAnsi"/>
          <w:color w:val="000000"/>
          <w:shd w:val="clear" w:color="auto" w:fill="F5F5F5"/>
        </w:rPr>
        <w:t>em</w:t>
      </w:r>
      <w:proofErr w:type="spellEnd"/>
      <w:r w:rsidR="00CD5CE4" w:rsidRPr="00CD5CE4">
        <w:rPr>
          <w:rStyle w:val="q4iawc"/>
          <w:rFonts w:cstheme="minorHAnsi"/>
          <w:color w:val="000000"/>
          <w:shd w:val="clear" w:color="auto" w:fill="F5F5F5"/>
        </w:rPr>
        <w:t xml:space="preserve"> může navíc vyvolat endogenní protinádorovou imunitní odpověď prostřednictvím šíření epitopu.</w:t>
      </w:r>
      <w:r w:rsidR="002C6226" w:rsidRPr="002C6226">
        <w:rPr>
          <w:rStyle w:val="q4iawc"/>
          <w:rFonts w:cstheme="minorHAnsi"/>
          <w:color w:val="000000"/>
          <w:shd w:val="clear" w:color="auto" w:fill="F5F5F5"/>
          <w:vertAlign w:val="superscript"/>
        </w:rPr>
        <w:t>4</w:t>
      </w:r>
    </w:p>
    <w:p w14:paraId="073AED7F" w14:textId="4AD30452" w:rsidR="006932B6" w:rsidRPr="008E61E9" w:rsidRDefault="006932B6" w:rsidP="006932B6">
      <w:pPr>
        <w:rPr>
          <w:rFonts w:ascii="Calibri" w:hAnsi="Calibri" w:cs="Calibri"/>
        </w:rPr>
      </w:pPr>
      <w:proofErr w:type="gramStart"/>
      <w:r w:rsidRPr="008E61E9">
        <w:rPr>
          <w:rFonts w:ascii="Calibri" w:hAnsi="Calibri" w:cs="Calibri"/>
          <w:b/>
        </w:rPr>
        <w:t>Výrobce:</w:t>
      </w:r>
      <w:r w:rsidRPr="008E61E9">
        <w:rPr>
          <w:rFonts w:ascii="Calibri" w:hAnsi="Calibri" w:cs="Calibri"/>
        </w:rPr>
        <w:t xml:space="preserve">   </w:t>
      </w:r>
      <w:proofErr w:type="gramEnd"/>
      <w:r w:rsidRPr="008E61E9">
        <w:rPr>
          <w:rFonts w:ascii="Calibri" w:hAnsi="Calibri" w:cs="Calibri"/>
        </w:rPr>
        <w:t xml:space="preserve">  </w:t>
      </w:r>
      <w:proofErr w:type="spellStart"/>
      <w:r w:rsidR="00B527D8">
        <w:rPr>
          <w:rFonts w:ascii="Calibri" w:hAnsi="Calibri" w:cs="Calibri"/>
        </w:rPr>
        <w:t>AstraZeneca</w:t>
      </w:r>
      <w:proofErr w:type="spellEnd"/>
    </w:p>
    <w:p w14:paraId="2A433862" w14:textId="774542B3" w:rsidR="00AF79C5" w:rsidRPr="009D15D6" w:rsidRDefault="00B57DD5" w:rsidP="00E643C8">
      <w:pPr>
        <w:spacing w:line="240" w:lineRule="auto"/>
        <w:jc w:val="both"/>
        <w:rPr>
          <w:i/>
          <w:color w:val="7F7F7F" w:themeColor="text1" w:themeTint="80"/>
        </w:rPr>
      </w:pPr>
      <w:r>
        <w:rPr>
          <w:rFonts w:ascii="Calibri" w:hAnsi="Calibri" w:cs="Calibri"/>
          <w:b/>
        </w:rPr>
        <w:t>I</w:t>
      </w:r>
      <w:r w:rsidR="006932B6" w:rsidRPr="008E61E9">
        <w:rPr>
          <w:rFonts w:ascii="Calibri" w:hAnsi="Calibri" w:cs="Calibri"/>
          <w:b/>
        </w:rPr>
        <w:t xml:space="preserve">ndikace dle </w:t>
      </w:r>
      <w:proofErr w:type="gramStart"/>
      <w:r w:rsidR="006932B6" w:rsidRPr="008E61E9">
        <w:rPr>
          <w:rFonts w:ascii="Calibri" w:hAnsi="Calibri" w:cs="Calibri"/>
          <w:b/>
        </w:rPr>
        <w:t>SPC:</w:t>
      </w:r>
      <w:r w:rsidR="006932B6" w:rsidRPr="008E61E9">
        <w:rPr>
          <w:rFonts w:ascii="Calibri" w:hAnsi="Calibri" w:cs="Calibri"/>
        </w:rPr>
        <w:t xml:space="preserve">   </w:t>
      </w:r>
      <w:proofErr w:type="gramEnd"/>
      <w:r w:rsidR="001C3EBF" w:rsidRPr="001C3EBF">
        <w:rPr>
          <w:i/>
        </w:rPr>
        <w:t xml:space="preserve">Přípravek KIMMTRAK je indikován jako monoterapie pro léčbu dospělých pacientů s neresekovatelným nebo metastatickým uveálním melanomem s pozitivním lidským </w:t>
      </w:r>
      <w:proofErr w:type="spellStart"/>
      <w:r w:rsidR="001C3EBF" w:rsidRPr="001C3EBF">
        <w:rPr>
          <w:i/>
        </w:rPr>
        <w:t>leukocytárním</w:t>
      </w:r>
      <w:proofErr w:type="spellEnd"/>
      <w:r w:rsidR="001C3EBF" w:rsidRPr="001C3EBF">
        <w:rPr>
          <w:i/>
        </w:rPr>
        <w:t xml:space="preserve"> antigenem (HLA)-A*02:01.</w:t>
      </w:r>
    </w:p>
    <w:p w14:paraId="6FD6E08A" w14:textId="71D3A341" w:rsidR="006932B6" w:rsidRPr="008E61E9" w:rsidRDefault="006932B6" w:rsidP="00E643C8">
      <w:pPr>
        <w:jc w:val="both"/>
        <w:rPr>
          <w:rFonts w:ascii="Calibri" w:hAnsi="Calibri" w:cs="Calibri"/>
        </w:rPr>
      </w:pPr>
      <w:r w:rsidRPr="008E61E9">
        <w:rPr>
          <w:rFonts w:ascii="Calibri" w:hAnsi="Calibri" w:cs="Calibri"/>
          <w:b/>
        </w:rPr>
        <w:t>Stav LP v </w:t>
      </w:r>
      <w:proofErr w:type="gramStart"/>
      <w:r w:rsidRPr="008E61E9">
        <w:rPr>
          <w:rFonts w:ascii="Calibri" w:hAnsi="Calibri" w:cs="Calibri"/>
          <w:b/>
        </w:rPr>
        <w:t>ČR:</w:t>
      </w:r>
      <w:r w:rsidR="003F52AF">
        <w:rPr>
          <w:rFonts w:ascii="Calibri" w:hAnsi="Calibri" w:cs="Calibri"/>
        </w:rPr>
        <w:t xml:space="preserve">   </w:t>
      </w:r>
      <w:proofErr w:type="gramEnd"/>
      <w:r w:rsidR="003F52AF">
        <w:rPr>
          <w:rFonts w:ascii="Calibri" w:hAnsi="Calibri" w:cs="Calibri"/>
        </w:rPr>
        <w:t xml:space="preserve">  </w:t>
      </w:r>
      <w:r w:rsidR="002E4A05">
        <w:rPr>
          <w:rFonts w:ascii="Calibri" w:hAnsi="Calibri" w:cs="Calibri"/>
        </w:rPr>
        <w:t>Registrován</w:t>
      </w:r>
      <w:r w:rsidR="003F5DD7">
        <w:rPr>
          <w:rFonts w:ascii="Calibri" w:hAnsi="Calibri" w:cs="Calibri"/>
        </w:rPr>
        <w:t xml:space="preserve"> centrální procedurou jako </w:t>
      </w:r>
      <w:proofErr w:type="spellStart"/>
      <w:r w:rsidR="003F5DD7" w:rsidRPr="003F5DD7">
        <w:rPr>
          <w:rFonts w:ascii="Calibri" w:hAnsi="Calibri" w:cs="Calibri"/>
          <w:b/>
          <w:color w:val="0070C0"/>
        </w:rPr>
        <w:t>orphan</w:t>
      </w:r>
      <w:proofErr w:type="spellEnd"/>
      <w:r w:rsidR="002E4A05" w:rsidRPr="009D15D6">
        <w:rPr>
          <w:rFonts w:ascii="Calibri" w:hAnsi="Calibri" w:cs="Calibri"/>
        </w:rPr>
        <w:t>,</w:t>
      </w:r>
      <w:r w:rsidR="002E4A05" w:rsidRPr="009D15D6">
        <w:rPr>
          <w:rFonts w:ascii="Calibri" w:hAnsi="Calibri" w:cs="Calibri"/>
          <w:color w:val="00B050"/>
        </w:rPr>
        <w:t xml:space="preserve"> </w:t>
      </w:r>
      <w:r w:rsidR="00DE0984" w:rsidRPr="00DE0984">
        <w:rPr>
          <w:rFonts w:ascii="Calibri" w:hAnsi="Calibri" w:cs="Calibri"/>
          <w:color w:val="FF0000"/>
        </w:rPr>
        <w:t>úhrada nestanovena,</w:t>
      </w:r>
      <w:r w:rsidR="00DE0984">
        <w:rPr>
          <w:rFonts w:ascii="Calibri" w:hAnsi="Calibri" w:cs="Calibri"/>
          <w:color w:val="00B050"/>
        </w:rPr>
        <w:t xml:space="preserve"> </w:t>
      </w:r>
      <w:r w:rsidR="00DE0984" w:rsidRPr="00DE0984">
        <w:rPr>
          <w:rFonts w:ascii="Calibri" w:hAnsi="Calibri" w:cs="Calibri"/>
        </w:rPr>
        <w:t xml:space="preserve">žádost </w:t>
      </w:r>
      <w:r w:rsidR="006F12D5">
        <w:rPr>
          <w:rFonts w:ascii="Calibri" w:hAnsi="Calibri" w:cs="Calibri"/>
        </w:rPr>
        <w:t xml:space="preserve">držitelem registrace nebyla </w:t>
      </w:r>
      <w:r w:rsidR="003D0471">
        <w:rPr>
          <w:rFonts w:ascii="Calibri" w:hAnsi="Calibri" w:cs="Calibri"/>
        </w:rPr>
        <w:t xml:space="preserve">k 6.8.2022 </w:t>
      </w:r>
      <w:r w:rsidR="00DE0984" w:rsidRPr="00DE0984">
        <w:rPr>
          <w:rFonts w:ascii="Calibri" w:hAnsi="Calibri" w:cs="Calibri"/>
        </w:rPr>
        <w:t>zatím podána.</w:t>
      </w:r>
    </w:p>
    <w:p w14:paraId="22F8892B" w14:textId="351AD7AB" w:rsidR="0071560F" w:rsidRPr="009D15D6" w:rsidRDefault="0071560F" w:rsidP="00B7298D">
      <w:pPr>
        <w:rPr>
          <w:rFonts w:ascii="Calibri" w:hAnsi="Calibri" w:cs="Calibri"/>
          <w:b/>
          <w:bCs/>
          <w:i/>
          <w:color w:val="000000" w:themeColor="text1"/>
        </w:rPr>
      </w:pPr>
      <w:r w:rsidRPr="00CA21C0">
        <w:rPr>
          <w:rFonts w:ascii="Calibri" w:hAnsi="Calibri" w:cs="Calibri"/>
          <w:b/>
          <w:bCs/>
          <w:color w:val="000000" w:themeColor="text1"/>
        </w:rPr>
        <w:t xml:space="preserve">Úhradové </w:t>
      </w:r>
      <w:proofErr w:type="gramStart"/>
      <w:r w:rsidR="00E7059F" w:rsidRPr="00CA21C0">
        <w:rPr>
          <w:rFonts w:ascii="Calibri" w:hAnsi="Calibri" w:cs="Calibri"/>
          <w:b/>
          <w:bCs/>
          <w:color w:val="000000" w:themeColor="text1"/>
        </w:rPr>
        <w:t xml:space="preserve">omezení:  </w:t>
      </w:r>
      <w:r w:rsidR="003F52AF">
        <w:rPr>
          <w:rFonts w:ascii="Calibri" w:hAnsi="Calibri" w:cs="Calibri"/>
        </w:rPr>
        <w:t xml:space="preserve"> </w:t>
      </w:r>
      <w:proofErr w:type="gramEnd"/>
      <w:r w:rsidR="00002236">
        <w:rPr>
          <w:rFonts w:ascii="Calibri" w:hAnsi="Calibri" w:cs="Calibri"/>
          <w:i/>
        </w:rPr>
        <w:t xml:space="preserve"> - </w:t>
      </w:r>
    </w:p>
    <w:p w14:paraId="3FA5BD7C" w14:textId="4B316362" w:rsidR="002C6DF4" w:rsidRDefault="002C6DF4" w:rsidP="002C6DF4">
      <w:pPr>
        <w:spacing w:after="0"/>
        <w:outlineLvl w:val="0"/>
        <w:rPr>
          <w:rFonts w:ascii="Calibri" w:hAnsi="Calibri" w:cs="Calibri"/>
          <w:b/>
        </w:rPr>
      </w:pPr>
      <w:r w:rsidRPr="002C6DF4">
        <w:rPr>
          <w:rFonts w:cstheme="minorHAnsi"/>
          <w:b/>
        </w:rPr>
        <w:t>Základní charakterizace onemocnění</w:t>
      </w:r>
      <w:r>
        <w:rPr>
          <w:rFonts w:cstheme="minorHAnsi"/>
          <w:b/>
          <w:u w:val="single"/>
        </w:rPr>
        <w:t>:</w:t>
      </w:r>
    </w:p>
    <w:p w14:paraId="7AD43766" w14:textId="3DC8EA12" w:rsidR="002C6DF4" w:rsidRDefault="00317CB4" w:rsidP="00B57DD5">
      <w:pPr>
        <w:spacing w:after="240"/>
        <w:jc w:val="both"/>
        <w:outlineLvl w:val="0"/>
        <w:rPr>
          <w:rFonts w:cstheme="minorHAnsi"/>
          <w:color w:val="000000"/>
          <w:shd w:val="clear" w:color="auto" w:fill="F5F5F5"/>
          <w:vertAlign w:val="superscript"/>
        </w:rPr>
      </w:pPr>
      <w:r w:rsidRPr="004A7A7B">
        <w:rPr>
          <w:rFonts w:cstheme="minorHAnsi"/>
          <w:b/>
          <w:color w:val="000000"/>
          <w:shd w:val="clear" w:color="auto" w:fill="F5F5F5"/>
        </w:rPr>
        <w:t xml:space="preserve">Uveální melanom </w:t>
      </w:r>
      <w:r w:rsidRPr="004A7A7B">
        <w:rPr>
          <w:rFonts w:cstheme="minorHAnsi"/>
          <w:b/>
          <w:color w:val="000000"/>
          <w:shd w:val="clear" w:color="auto" w:fill="F5F5F5"/>
        </w:rPr>
        <w:t xml:space="preserve">(dále jen „UM“) </w:t>
      </w:r>
      <w:r w:rsidRPr="004A7A7B">
        <w:rPr>
          <w:rFonts w:cstheme="minorHAnsi"/>
          <w:b/>
          <w:color w:val="000000"/>
          <w:shd w:val="clear" w:color="auto" w:fill="F5F5F5"/>
        </w:rPr>
        <w:t>je vzácná a vysoce maligní podskupina melanomu</w:t>
      </w:r>
      <w:r w:rsidRPr="00317CB4">
        <w:rPr>
          <w:rFonts w:cstheme="minorHAnsi"/>
          <w:color w:val="000000"/>
          <w:shd w:val="clear" w:color="auto" w:fill="F5F5F5"/>
        </w:rPr>
        <w:t xml:space="preserve">, která představuje </w:t>
      </w:r>
      <w:proofErr w:type="gramStart"/>
      <w:r w:rsidRPr="00317CB4">
        <w:rPr>
          <w:rFonts w:cstheme="minorHAnsi"/>
          <w:color w:val="000000"/>
          <w:shd w:val="clear" w:color="auto" w:fill="F5F5F5"/>
        </w:rPr>
        <w:t>&lt; 5</w:t>
      </w:r>
      <w:proofErr w:type="gramEnd"/>
      <w:r w:rsidRPr="00317CB4">
        <w:rPr>
          <w:rFonts w:cstheme="minorHAnsi"/>
          <w:color w:val="000000"/>
          <w:shd w:val="clear" w:color="auto" w:fill="F5F5F5"/>
        </w:rPr>
        <w:t xml:space="preserve"> % všech případů melanomu v</w:t>
      </w:r>
      <w:r>
        <w:rPr>
          <w:rFonts w:cstheme="minorHAnsi"/>
          <w:color w:val="000000"/>
          <w:shd w:val="clear" w:color="auto" w:fill="F5F5F5"/>
        </w:rPr>
        <w:t xml:space="preserve"> USA</w:t>
      </w:r>
      <w:r w:rsidRPr="00317CB4">
        <w:rPr>
          <w:rFonts w:cstheme="minorHAnsi"/>
          <w:color w:val="000000"/>
          <w:shd w:val="clear" w:color="auto" w:fill="F5F5F5"/>
        </w:rPr>
        <w:t xml:space="preserve">. V Evropě </w:t>
      </w:r>
      <w:r>
        <w:rPr>
          <w:rFonts w:cstheme="minorHAnsi"/>
          <w:color w:val="000000"/>
          <w:shd w:val="clear" w:color="auto" w:fill="F5F5F5"/>
        </w:rPr>
        <w:t>incidence</w:t>
      </w:r>
      <w:r w:rsidRPr="00317CB4">
        <w:rPr>
          <w:rFonts w:cstheme="minorHAnsi"/>
          <w:color w:val="000000"/>
          <w:shd w:val="clear" w:color="auto" w:fill="F5F5F5"/>
        </w:rPr>
        <w:t xml:space="preserve"> UM sleduje klesající gradient od severu k jihu, v rozmezí od 2 do 8 na milion obyvatel. U</w:t>
      </w:r>
      <w:r>
        <w:rPr>
          <w:rFonts w:cstheme="minorHAnsi"/>
          <w:color w:val="000000"/>
          <w:shd w:val="clear" w:color="auto" w:fill="F5F5F5"/>
        </w:rPr>
        <w:t>M</w:t>
      </w:r>
      <w:r w:rsidRPr="00317CB4">
        <w:rPr>
          <w:rFonts w:cstheme="minorHAnsi"/>
          <w:color w:val="000000"/>
          <w:shd w:val="clear" w:color="auto" w:fill="F5F5F5"/>
        </w:rPr>
        <w:t xml:space="preserve"> vzniká výhradně z melanocytů uvey a je biologicky, klinicky a geneticky odlišný od kožního melanomu. Kožní melanom má jednu z nejvyšších nádorových mutací (</w:t>
      </w:r>
      <w:r>
        <w:rPr>
          <w:rFonts w:cstheme="minorHAnsi"/>
          <w:color w:val="000000"/>
          <w:shd w:val="clear" w:color="auto" w:fill="F5F5F5"/>
        </w:rPr>
        <w:t>tzv.</w:t>
      </w:r>
      <w:r w:rsidR="00E85E23">
        <w:rPr>
          <w:rFonts w:cstheme="minorHAnsi"/>
          <w:color w:val="000000"/>
          <w:shd w:val="clear" w:color="auto" w:fill="F5F5F5"/>
        </w:rPr>
        <w:t xml:space="preserve"> </w:t>
      </w:r>
      <w:r w:rsidRPr="00317CB4">
        <w:rPr>
          <w:rFonts w:cstheme="minorHAnsi"/>
          <w:color w:val="000000"/>
          <w:shd w:val="clear" w:color="auto" w:fill="F5F5F5"/>
        </w:rPr>
        <w:t xml:space="preserve">TMB), zatímco TMB </w:t>
      </w:r>
      <w:r>
        <w:rPr>
          <w:rFonts w:cstheme="minorHAnsi"/>
          <w:color w:val="000000"/>
          <w:shd w:val="clear" w:color="auto" w:fill="F5F5F5"/>
        </w:rPr>
        <w:t xml:space="preserve">u </w:t>
      </w:r>
      <w:r w:rsidRPr="00317CB4">
        <w:rPr>
          <w:rFonts w:cstheme="minorHAnsi"/>
          <w:color w:val="000000"/>
          <w:shd w:val="clear" w:color="auto" w:fill="F5F5F5"/>
        </w:rPr>
        <w:t>UM patří mezi nejnižší ze všech rakovin.</w:t>
      </w:r>
      <w:r>
        <w:rPr>
          <w:rFonts w:cstheme="minorHAnsi"/>
          <w:color w:val="000000"/>
          <w:shd w:val="clear" w:color="auto" w:fill="F5F5F5"/>
        </w:rPr>
        <w:t xml:space="preserve"> UM</w:t>
      </w:r>
      <w:r w:rsidRPr="00317CB4">
        <w:rPr>
          <w:rFonts w:cstheme="minorHAnsi"/>
          <w:color w:val="000000"/>
          <w:shd w:val="clear" w:color="auto" w:fill="F5F5F5"/>
        </w:rPr>
        <w:t xml:space="preserve"> je život ohrožující onemocnění</w:t>
      </w:r>
      <w:r>
        <w:rPr>
          <w:rFonts w:cstheme="minorHAnsi"/>
          <w:color w:val="000000"/>
          <w:shd w:val="clear" w:color="auto" w:fill="F5F5F5"/>
        </w:rPr>
        <w:t>, které je</w:t>
      </w:r>
      <w:r w:rsidRPr="00317CB4">
        <w:rPr>
          <w:rFonts w:cstheme="minorHAnsi"/>
          <w:color w:val="000000"/>
          <w:shd w:val="clear" w:color="auto" w:fill="F5F5F5"/>
        </w:rPr>
        <w:t xml:space="preserve"> bez účinné terapie</w:t>
      </w:r>
      <w:r w:rsidR="00E85E23">
        <w:rPr>
          <w:rFonts w:cstheme="minorHAnsi"/>
          <w:color w:val="000000"/>
          <w:shd w:val="clear" w:color="auto" w:fill="F5F5F5"/>
        </w:rPr>
        <w:t xml:space="preserve"> v okamžiku objevení</w:t>
      </w:r>
      <w:r w:rsidRPr="00317CB4">
        <w:rPr>
          <w:rFonts w:cstheme="minorHAnsi"/>
          <w:color w:val="000000"/>
          <w:shd w:val="clear" w:color="auto" w:fill="F5F5F5"/>
        </w:rPr>
        <w:t xml:space="preserve"> metast</w:t>
      </w:r>
      <w:r w:rsidR="00E85E23">
        <w:rPr>
          <w:rFonts w:cstheme="minorHAnsi"/>
          <w:color w:val="000000"/>
          <w:shd w:val="clear" w:color="auto" w:fill="F5F5F5"/>
        </w:rPr>
        <w:t>áz</w:t>
      </w:r>
      <w:r w:rsidRPr="00317CB4">
        <w:rPr>
          <w:rFonts w:cstheme="minorHAnsi"/>
          <w:color w:val="000000"/>
          <w:shd w:val="clear" w:color="auto" w:fill="F5F5F5"/>
        </w:rPr>
        <w:t xml:space="preserve">. </w:t>
      </w:r>
      <w:r w:rsidRPr="004A7A7B">
        <w:rPr>
          <w:rFonts w:cstheme="minorHAnsi"/>
          <w:b/>
          <w:color w:val="000000"/>
          <w:shd w:val="clear" w:color="auto" w:fill="F5F5F5"/>
        </w:rPr>
        <w:t>Navzdory lokální terapi</w:t>
      </w:r>
      <w:r w:rsidRPr="004A7A7B">
        <w:rPr>
          <w:rFonts w:cstheme="minorHAnsi"/>
          <w:b/>
          <w:color w:val="000000"/>
          <w:shd w:val="clear" w:color="auto" w:fill="F5F5F5"/>
        </w:rPr>
        <w:t>i</w:t>
      </w:r>
      <w:r w:rsidRPr="004A7A7B">
        <w:rPr>
          <w:rFonts w:cstheme="minorHAnsi"/>
          <w:b/>
          <w:color w:val="000000"/>
          <w:shd w:val="clear" w:color="auto" w:fill="F5F5F5"/>
        </w:rPr>
        <w:t xml:space="preserve"> (ozařování a chirurgie)</w:t>
      </w:r>
      <w:r w:rsidR="00603B31" w:rsidRPr="004A7A7B">
        <w:rPr>
          <w:rFonts w:cstheme="minorHAnsi"/>
          <w:b/>
          <w:color w:val="000000"/>
          <w:shd w:val="clear" w:color="auto" w:fill="F5F5F5"/>
        </w:rPr>
        <w:t xml:space="preserve"> se </w:t>
      </w:r>
      <w:r w:rsidRPr="004A7A7B">
        <w:rPr>
          <w:rFonts w:cstheme="minorHAnsi"/>
          <w:b/>
          <w:color w:val="000000"/>
          <w:shd w:val="clear" w:color="auto" w:fill="F5F5F5"/>
        </w:rPr>
        <w:t xml:space="preserve">až u 50 % pacientů s UM </w:t>
      </w:r>
      <w:r w:rsidRPr="004A7A7B">
        <w:rPr>
          <w:rFonts w:cstheme="minorHAnsi"/>
          <w:b/>
          <w:color w:val="000000"/>
          <w:shd w:val="clear" w:color="auto" w:fill="F5F5F5"/>
        </w:rPr>
        <w:t>rozvinou</w:t>
      </w:r>
      <w:r w:rsidRPr="004A7A7B">
        <w:rPr>
          <w:rFonts w:cstheme="minorHAnsi"/>
          <w:b/>
          <w:color w:val="000000"/>
          <w:shd w:val="clear" w:color="auto" w:fill="F5F5F5"/>
        </w:rPr>
        <w:t xml:space="preserve"> systémové metastázy</w:t>
      </w:r>
      <w:r w:rsidRPr="00317CB4">
        <w:rPr>
          <w:rFonts w:cstheme="minorHAnsi"/>
          <w:color w:val="000000"/>
          <w:shd w:val="clear" w:color="auto" w:fill="F5F5F5"/>
        </w:rPr>
        <w:t xml:space="preserve">, převážně do jater (~90 % pacientů) a méně často </w:t>
      </w:r>
      <w:r w:rsidR="00603B31">
        <w:rPr>
          <w:rFonts w:cstheme="minorHAnsi"/>
          <w:color w:val="000000"/>
          <w:shd w:val="clear" w:color="auto" w:fill="F5F5F5"/>
        </w:rPr>
        <w:t xml:space="preserve">pak </w:t>
      </w:r>
      <w:r w:rsidRPr="00317CB4">
        <w:rPr>
          <w:rFonts w:cstheme="minorHAnsi"/>
          <w:color w:val="000000"/>
          <w:shd w:val="clear" w:color="auto" w:fill="F5F5F5"/>
        </w:rPr>
        <w:t xml:space="preserve">do plic a kostí. </w:t>
      </w:r>
      <w:r w:rsidRPr="004A7A7B">
        <w:rPr>
          <w:rFonts w:cstheme="minorHAnsi"/>
          <w:b/>
          <w:color w:val="000000"/>
          <w:shd w:val="clear" w:color="auto" w:fill="F5F5F5"/>
        </w:rPr>
        <w:t>Jakmile se rozvine metastatická UM (</w:t>
      </w:r>
      <w:r w:rsidR="00603B31" w:rsidRPr="004A7A7B">
        <w:rPr>
          <w:rFonts w:cstheme="minorHAnsi"/>
          <w:b/>
          <w:color w:val="000000"/>
          <w:shd w:val="clear" w:color="auto" w:fill="F5F5F5"/>
        </w:rPr>
        <w:t>dále jen „</w:t>
      </w:r>
      <w:proofErr w:type="spellStart"/>
      <w:r w:rsidRPr="004A7A7B">
        <w:rPr>
          <w:rFonts w:cstheme="minorHAnsi"/>
          <w:b/>
          <w:color w:val="000000"/>
          <w:shd w:val="clear" w:color="auto" w:fill="F5F5F5"/>
        </w:rPr>
        <w:t>mUM</w:t>
      </w:r>
      <w:proofErr w:type="spellEnd"/>
      <w:r w:rsidR="00603B31" w:rsidRPr="004A7A7B">
        <w:rPr>
          <w:rFonts w:cstheme="minorHAnsi"/>
          <w:b/>
          <w:color w:val="000000"/>
          <w:shd w:val="clear" w:color="auto" w:fill="F5F5F5"/>
        </w:rPr>
        <w:t>“</w:t>
      </w:r>
      <w:r w:rsidRPr="004A7A7B">
        <w:rPr>
          <w:rFonts w:cstheme="minorHAnsi"/>
          <w:b/>
          <w:color w:val="000000"/>
          <w:shd w:val="clear" w:color="auto" w:fill="F5F5F5"/>
        </w:rPr>
        <w:t xml:space="preserve">), prognóza a výsledky jsou </w:t>
      </w:r>
      <w:r w:rsidR="000025C0" w:rsidRPr="004A7A7B">
        <w:rPr>
          <w:rFonts w:cstheme="minorHAnsi"/>
          <w:b/>
          <w:color w:val="000000"/>
          <w:shd w:val="clear" w:color="auto" w:fill="F5F5F5"/>
        </w:rPr>
        <w:t>neutěšené</w:t>
      </w:r>
      <w:r w:rsidR="001C5DDC" w:rsidRPr="004A7A7B">
        <w:rPr>
          <w:rFonts w:cstheme="minorHAnsi"/>
          <w:b/>
          <w:color w:val="000000"/>
          <w:shd w:val="clear" w:color="auto" w:fill="F5F5F5"/>
        </w:rPr>
        <w:t xml:space="preserve">, </w:t>
      </w:r>
      <w:r w:rsidRPr="004A7A7B">
        <w:rPr>
          <w:rFonts w:cstheme="minorHAnsi"/>
          <w:b/>
          <w:color w:val="000000"/>
          <w:shd w:val="clear" w:color="auto" w:fill="F5F5F5"/>
        </w:rPr>
        <w:t>s medián</w:t>
      </w:r>
      <w:r w:rsidR="00603B31" w:rsidRPr="004A7A7B">
        <w:rPr>
          <w:rFonts w:cstheme="minorHAnsi"/>
          <w:b/>
          <w:color w:val="000000"/>
          <w:shd w:val="clear" w:color="auto" w:fill="F5F5F5"/>
        </w:rPr>
        <w:t>em</w:t>
      </w:r>
      <w:r w:rsidRPr="004A7A7B">
        <w:rPr>
          <w:rFonts w:cstheme="minorHAnsi"/>
          <w:b/>
          <w:color w:val="000000"/>
          <w:shd w:val="clear" w:color="auto" w:fill="F5F5F5"/>
        </w:rPr>
        <w:t xml:space="preserve"> přežití ≤ 12 měsíců</w:t>
      </w:r>
      <w:r w:rsidRPr="00317CB4">
        <w:rPr>
          <w:rFonts w:cstheme="minorHAnsi"/>
          <w:color w:val="000000"/>
          <w:shd w:val="clear" w:color="auto" w:fill="F5F5F5"/>
        </w:rPr>
        <w:t>. Za posledních 40 let nedošlo k žádnému významnému zlepšení přežití pacientů s mUM.</w:t>
      </w:r>
      <w:r w:rsidR="00B57DD5" w:rsidRPr="00B57DD5">
        <w:rPr>
          <w:rFonts w:cstheme="minorHAnsi"/>
          <w:color w:val="000000"/>
          <w:shd w:val="clear" w:color="auto" w:fill="F5F5F5"/>
          <w:vertAlign w:val="superscript"/>
        </w:rPr>
        <w:t>4</w:t>
      </w:r>
    </w:p>
    <w:p w14:paraId="33B2F569" w14:textId="7F5E2EA8" w:rsidR="00F47A4E" w:rsidRDefault="002242BD" w:rsidP="002C6DF4">
      <w:pPr>
        <w:spacing w:after="0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Postavení v klinické praxi a r</w:t>
      </w:r>
      <w:r w:rsidR="006932B6" w:rsidRPr="008E61E9">
        <w:rPr>
          <w:rFonts w:ascii="Calibri" w:hAnsi="Calibri" w:cs="Calibri"/>
          <w:b/>
        </w:rPr>
        <w:t>elevantní komparátory:</w:t>
      </w:r>
    </w:p>
    <w:p w14:paraId="737D9F39" w14:textId="77D2F66C" w:rsidR="004731A7" w:rsidRDefault="00BE2334" w:rsidP="001B5EB0">
      <w:pPr>
        <w:spacing w:after="0"/>
        <w:jc w:val="both"/>
        <w:rPr>
          <w:rFonts w:ascii="Calibri" w:hAnsi="Calibri" w:cs="Calibri"/>
          <w:b/>
        </w:rPr>
      </w:pPr>
      <w:r>
        <w:rPr>
          <w:rStyle w:val="q4iawc"/>
          <w:rFonts w:cstheme="minorHAnsi"/>
          <w:color w:val="000000"/>
          <w:shd w:val="clear" w:color="auto" w:fill="F5F5F5"/>
        </w:rPr>
        <w:t>Dosud neexistovaly</w:t>
      </w:r>
      <w:r w:rsidR="00B57DD5" w:rsidRPr="00B57DD5">
        <w:rPr>
          <w:rStyle w:val="q4iawc"/>
          <w:rFonts w:cstheme="minorHAnsi"/>
          <w:color w:val="000000"/>
          <w:shd w:val="clear" w:color="auto" w:fill="F5F5F5"/>
        </w:rPr>
        <w:t xml:space="preserve"> žádné systémové ani lokální terapie schválen</w:t>
      </w:r>
      <w:r>
        <w:rPr>
          <w:rStyle w:val="q4iawc"/>
          <w:rFonts w:cstheme="minorHAnsi"/>
          <w:color w:val="000000"/>
          <w:shd w:val="clear" w:color="auto" w:fill="F5F5F5"/>
        </w:rPr>
        <w:t>é</w:t>
      </w:r>
      <w:r w:rsidR="00B57DD5" w:rsidRPr="00B57DD5">
        <w:rPr>
          <w:rStyle w:val="q4iawc"/>
          <w:rFonts w:cstheme="minorHAnsi"/>
          <w:color w:val="000000"/>
          <w:shd w:val="clear" w:color="auto" w:fill="F5F5F5"/>
        </w:rPr>
        <w:t xml:space="preserve"> speciálně pro léčbu mUM</w:t>
      </w:r>
      <w:r w:rsidR="00B57DD5" w:rsidRPr="00BE2334">
        <w:rPr>
          <w:rStyle w:val="q4iawc"/>
          <w:rFonts w:cstheme="minorHAnsi"/>
          <w:color w:val="000000"/>
          <w:shd w:val="clear" w:color="auto" w:fill="F5F5F5"/>
          <w:vertAlign w:val="superscript"/>
        </w:rPr>
        <w:t>4</w:t>
      </w:r>
      <w:r w:rsidR="00B57DD5" w:rsidRPr="00B57DD5">
        <w:rPr>
          <w:rStyle w:val="q4iawc"/>
          <w:rFonts w:cstheme="minorHAnsi"/>
          <w:color w:val="000000"/>
          <w:shd w:val="clear" w:color="auto" w:fill="F5F5F5"/>
        </w:rPr>
        <w:t>.</w:t>
      </w:r>
      <w:r w:rsidR="00B57DD5">
        <w:rPr>
          <w:rStyle w:val="q4iawc"/>
          <w:rFonts w:cstheme="minorHAnsi"/>
          <w:color w:val="000000"/>
          <w:shd w:val="clear" w:color="auto" w:fill="F5F5F5"/>
        </w:rPr>
        <w:t xml:space="preserve"> </w:t>
      </w:r>
      <w:r w:rsidR="004731A7" w:rsidRPr="00F00FCE">
        <w:rPr>
          <w:rFonts w:cstheme="minorHAnsi"/>
          <w:b/>
        </w:rPr>
        <w:t>Dle aktuálních doporučení NCCN</w:t>
      </w:r>
      <w:r w:rsidR="00B76BE4" w:rsidRPr="00F00FCE">
        <w:rPr>
          <w:rFonts w:cstheme="minorHAnsi"/>
          <w:b/>
        </w:rPr>
        <w:t xml:space="preserve"> z 5.4.2022</w:t>
      </w:r>
      <w:r w:rsidR="00002236" w:rsidRPr="00F00FCE">
        <w:rPr>
          <w:rFonts w:cstheme="minorHAnsi"/>
          <w:b/>
        </w:rPr>
        <w:t xml:space="preserve"> je doporučen</w:t>
      </w:r>
      <w:r w:rsidR="00457F3A" w:rsidRPr="00F00FCE">
        <w:rPr>
          <w:rFonts w:cstheme="minorHAnsi"/>
          <w:b/>
        </w:rPr>
        <w:t xml:space="preserve"> v 1. linii</w:t>
      </w:r>
      <w:r w:rsidR="00002236" w:rsidRPr="00F00FCE">
        <w:rPr>
          <w:rFonts w:cstheme="minorHAnsi"/>
          <w:b/>
        </w:rPr>
        <w:t xml:space="preserve"> v případě potvrzené mutace HLA-A*02:01 p</w:t>
      </w:r>
      <w:r w:rsidR="00457F3A" w:rsidRPr="00F00FCE">
        <w:rPr>
          <w:rFonts w:cstheme="minorHAnsi"/>
          <w:b/>
        </w:rPr>
        <w:t>referenčně</w:t>
      </w:r>
      <w:r w:rsidR="00002236" w:rsidRPr="00F00FCE">
        <w:rPr>
          <w:rFonts w:ascii="Calibri" w:hAnsi="Calibri" w:cs="Calibri"/>
          <w:b/>
        </w:rPr>
        <w:t xml:space="preserve"> </w:t>
      </w:r>
      <w:proofErr w:type="spellStart"/>
      <w:r w:rsidR="00002236" w:rsidRPr="00F00FCE">
        <w:rPr>
          <w:rFonts w:ascii="Calibri" w:hAnsi="Calibri" w:cs="Calibri"/>
          <w:b/>
        </w:rPr>
        <w:t>tebentafusp</w:t>
      </w:r>
      <w:proofErr w:type="spellEnd"/>
      <w:r w:rsidR="00457F3A" w:rsidRPr="00F00FCE">
        <w:rPr>
          <w:rFonts w:ascii="Calibri" w:hAnsi="Calibri" w:cs="Calibri"/>
          <w:b/>
        </w:rPr>
        <w:t xml:space="preserve">, a to s </w:t>
      </w:r>
      <w:r w:rsidR="00457F3A" w:rsidRPr="00F00FCE">
        <w:rPr>
          <w:rFonts w:cstheme="minorHAnsi"/>
          <w:b/>
        </w:rPr>
        <w:t>doporučení</w:t>
      </w:r>
      <w:r w:rsidR="00457F3A" w:rsidRPr="00F00FCE">
        <w:rPr>
          <w:rFonts w:cstheme="minorHAnsi"/>
          <w:b/>
        </w:rPr>
        <w:t>m</w:t>
      </w:r>
      <w:r w:rsidR="00457F3A" w:rsidRPr="00F00FCE">
        <w:rPr>
          <w:rFonts w:cstheme="minorHAnsi"/>
          <w:b/>
        </w:rPr>
        <w:t xml:space="preserve"> nejvyšší kategorie 1</w:t>
      </w:r>
      <w:r w:rsidR="000D5397" w:rsidRPr="00F00FCE">
        <w:rPr>
          <w:rFonts w:ascii="Calibri" w:hAnsi="Calibri" w:cs="Calibri"/>
          <w:b/>
          <w:vertAlign w:val="superscript"/>
        </w:rPr>
        <w:t>2</w:t>
      </w:r>
      <w:r w:rsidR="00002236">
        <w:rPr>
          <w:rFonts w:ascii="Calibri" w:hAnsi="Calibri" w:cs="Calibri"/>
        </w:rPr>
        <w:t xml:space="preserve">. </w:t>
      </w:r>
      <w:r w:rsidR="001B5EB0">
        <w:rPr>
          <w:rFonts w:ascii="Calibri" w:hAnsi="Calibri" w:cs="Calibri"/>
        </w:rPr>
        <w:t xml:space="preserve"> </w:t>
      </w:r>
      <w:r w:rsidR="001B5EB0" w:rsidRPr="00A237D5">
        <w:rPr>
          <w:rFonts w:cstheme="minorHAnsi"/>
          <w:b/>
          <w:u w:val="single"/>
        </w:rPr>
        <w:t xml:space="preserve">ESMO přiřazuje </w:t>
      </w:r>
      <w:proofErr w:type="spellStart"/>
      <w:r w:rsidR="00D80A4F">
        <w:rPr>
          <w:rFonts w:cstheme="minorHAnsi"/>
          <w:b/>
          <w:u w:val="single"/>
        </w:rPr>
        <w:t>tebentafuspu</w:t>
      </w:r>
      <w:proofErr w:type="spellEnd"/>
      <w:r w:rsidR="001B5EB0" w:rsidRPr="00A237D5">
        <w:rPr>
          <w:rFonts w:cstheme="minorHAnsi"/>
          <w:b/>
          <w:u w:val="single"/>
        </w:rPr>
        <w:t xml:space="preserve"> u</w:t>
      </w:r>
      <w:r w:rsidR="00D80A4F">
        <w:rPr>
          <w:rFonts w:cstheme="minorHAnsi"/>
          <w:b/>
          <w:u w:val="single"/>
        </w:rPr>
        <w:t xml:space="preserve"> </w:t>
      </w:r>
      <w:proofErr w:type="spellStart"/>
      <w:r w:rsidR="00D80A4F">
        <w:rPr>
          <w:rFonts w:cstheme="minorHAnsi"/>
          <w:b/>
          <w:u w:val="single"/>
        </w:rPr>
        <w:t>neresekovatelného</w:t>
      </w:r>
      <w:proofErr w:type="spellEnd"/>
      <w:r w:rsidR="00D80A4F">
        <w:rPr>
          <w:rFonts w:cstheme="minorHAnsi"/>
          <w:b/>
          <w:u w:val="single"/>
        </w:rPr>
        <w:t xml:space="preserve"> či </w:t>
      </w:r>
      <w:proofErr w:type="spellStart"/>
      <w:r w:rsidR="00D80A4F">
        <w:rPr>
          <w:rFonts w:cstheme="minorHAnsi"/>
          <w:b/>
          <w:u w:val="single"/>
        </w:rPr>
        <w:t>mUM</w:t>
      </w:r>
      <w:proofErr w:type="spellEnd"/>
      <w:r w:rsidR="00D80A4F">
        <w:rPr>
          <w:rFonts w:cstheme="minorHAnsi"/>
          <w:b/>
          <w:u w:val="single"/>
        </w:rPr>
        <w:t xml:space="preserve"> s </w:t>
      </w:r>
      <w:r w:rsidR="00D80A4F" w:rsidRPr="00D80A4F">
        <w:rPr>
          <w:rFonts w:cstheme="minorHAnsi"/>
          <w:b/>
          <w:u w:val="single"/>
        </w:rPr>
        <w:t xml:space="preserve">pozitivním </w:t>
      </w:r>
      <w:r w:rsidR="00D80A4F" w:rsidRPr="00D80A4F">
        <w:rPr>
          <w:rFonts w:cstheme="minorHAnsi"/>
          <w:b/>
          <w:u w:val="single"/>
        </w:rPr>
        <w:t>HLA-A*02:01</w:t>
      </w:r>
      <w:r w:rsidR="001B5EB0" w:rsidRPr="00A237D5">
        <w:rPr>
          <w:rFonts w:cstheme="minorHAnsi"/>
          <w:b/>
          <w:u w:val="single"/>
        </w:rPr>
        <w:t xml:space="preserve"> skóre ESMO-MCBS ve výši </w:t>
      </w:r>
      <w:r w:rsidR="00D80A4F">
        <w:rPr>
          <w:rFonts w:cstheme="minorHAnsi"/>
          <w:b/>
          <w:u w:val="single"/>
        </w:rPr>
        <w:t>4</w:t>
      </w:r>
      <w:r w:rsidR="001B5EB0" w:rsidRPr="00A237D5">
        <w:rPr>
          <w:rFonts w:cstheme="minorHAnsi"/>
          <w:b/>
          <w:u w:val="single"/>
        </w:rPr>
        <w:t xml:space="preserve"> (</w:t>
      </w:r>
      <w:r w:rsidR="001B5EB0">
        <w:rPr>
          <w:rFonts w:cstheme="minorHAnsi"/>
          <w:b/>
          <w:u w:val="single"/>
        </w:rPr>
        <w:t xml:space="preserve">pozn.: </w:t>
      </w:r>
      <w:r w:rsidR="001B5EB0" w:rsidRPr="00A237D5">
        <w:rPr>
          <w:rFonts w:cstheme="minorHAnsi"/>
          <w:b/>
          <w:u w:val="single"/>
        </w:rPr>
        <w:t>stupnic</w:t>
      </w:r>
      <w:r w:rsidR="001B5EB0">
        <w:rPr>
          <w:rFonts w:cstheme="minorHAnsi"/>
          <w:b/>
          <w:u w:val="single"/>
        </w:rPr>
        <w:t>e je</w:t>
      </w:r>
      <w:r w:rsidR="001B5EB0" w:rsidRPr="00A237D5">
        <w:rPr>
          <w:rFonts w:cstheme="minorHAnsi"/>
          <w:b/>
          <w:u w:val="single"/>
        </w:rPr>
        <w:t xml:space="preserve"> od 1 do 5</w:t>
      </w:r>
      <w:r w:rsidR="001B5EB0">
        <w:rPr>
          <w:rFonts w:cstheme="minorHAnsi"/>
          <w:b/>
          <w:u w:val="single"/>
        </w:rPr>
        <w:t xml:space="preserve"> a</w:t>
      </w:r>
      <w:r w:rsidR="001B5EB0" w:rsidRPr="00A237D5">
        <w:rPr>
          <w:rFonts w:cstheme="minorHAnsi"/>
          <w:b/>
          <w:u w:val="single"/>
        </w:rPr>
        <w:t xml:space="preserve"> jen stupně 4 a 5 znamenají podstatný klinický přínos</w:t>
      </w:r>
      <w:r w:rsidR="001B5EB0">
        <w:rPr>
          <w:rFonts w:cstheme="minorHAnsi"/>
          <w:b/>
          <w:u w:val="single"/>
        </w:rPr>
        <w:t>)</w:t>
      </w:r>
      <w:r w:rsidR="00D80A4F">
        <w:rPr>
          <w:rFonts w:cstheme="minorHAnsi"/>
          <w:vertAlign w:val="superscript"/>
        </w:rPr>
        <w:t>5</w:t>
      </w:r>
      <w:r w:rsidR="001B5EB0">
        <w:rPr>
          <w:rFonts w:cstheme="minorHAnsi"/>
        </w:rPr>
        <w:t>.</w:t>
      </w:r>
      <w:r w:rsidR="001B5EB0">
        <w:rPr>
          <w:rFonts w:cstheme="minorHAnsi"/>
        </w:rPr>
        <w:t xml:space="preserve"> </w:t>
      </w:r>
      <w:r w:rsidR="00002236">
        <w:rPr>
          <w:rFonts w:ascii="Calibri" w:hAnsi="Calibri" w:cs="Calibri"/>
        </w:rPr>
        <w:t>Bez ohledu na mutaci je</w:t>
      </w:r>
      <w:r w:rsidR="001B5EB0">
        <w:rPr>
          <w:rFonts w:ascii="Calibri" w:hAnsi="Calibri" w:cs="Calibri"/>
        </w:rPr>
        <w:t xml:space="preserve"> dle NCCN</w:t>
      </w:r>
      <w:r w:rsidR="001B5EB0" w:rsidRPr="001B5EB0">
        <w:rPr>
          <w:rFonts w:ascii="Calibri" w:hAnsi="Calibri" w:cs="Calibri"/>
          <w:vertAlign w:val="superscript"/>
        </w:rPr>
        <w:t>2</w:t>
      </w:r>
      <w:r w:rsidR="00002236">
        <w:rPr>
          <w:rFonts w:ascii="Calibri" w:hAnsi="Calibri" w:cs="Calibri"/>
        </w:rPr>
        <w:t xml:space="preserve"> doporučen </w:t>
      </w:r>
      <w:proofErr w:type="spellStart"/>
      <w:r w:rsidR="00801DE1">
        <w:rPr>
          <w:rFonts w:ascii="Calibri" w:hAnsi="Calibri" w:cs="Calibri"/>
        </w:rPr>
        <w:t>pembrolizumab</w:t>
      </w:r>
      <w:proofErr w:type="spellEnd"/>
      <w:r w:rsidR="00801DE1">
        <w:rPr>
          <w:rFonts w:ascii="Calibri" w:hAnsi="Calibri" w:cs="Calibri"/>
        </w:rPr>
        <w:t xml:space="preserve">, </w:t>
      </w:r>
      <w:proofErr w:type="spellStart"/>
      <w:r w:rsidR="00801DE1">
        <w:rPr>
          <w:rFonts w:ascii="Calibri" w:hAnsi="Calibri" w:cs="Calibri"/>
        </w:rPr>
        <w:t>nivolumab</w:t>
      </w:r>
      <w:proofErr w:type="spellEnd"/>
      <w:r w:rsidR="00801DE1">
        <w:rPr>
          <w:rFonts w:ascii="Calibri" w:hAnsi="Calibri" w:cs="Calibri"/>
        </w:rPr>
        <w:t xml:space="preserve">, </w:t>
      </w:r>
      <w:proofErr w:type="spellStart"/>
      <w:r w:rsidR="00801DE1">
        <w:rPr>
          <w:rFonts w:ascii="Calibri" w:hAnsi="Calibri" w:cs="Calibri"/>
        </w:rPr>
        <w:t>nivolumab</w:t>
      </w:r>
      <w:proofErr w:type="spellEnd"/>
      <w:r w:rsidR="00801DE1">
        <w:rPr>
          <w:rFonts w:ascii="Calibri" w:hAnsi="Calibri" w:cs="Calibri"/>
        </w:rPr>
        <w:t>/</w:t>
      </w:r>
      <w:proofErr w:type="spellStart"/>
      <w:r w:rsidR="00801DE1">
        <w:rPr>
          <w:rFonts w:ascii="Calibri" w:hAnsi="Calibri" w:cs="Calibri"/>
        </w:rPr>
        <w:t>ipilimumab</w:t>
      </w:r>
      <w:proofErr w:type="spellEnd"/>
      <w:r w:rsidR="00801DE1">
        <w:rPr>
          <w:rFonts w:ascii="Calibri" w:hAnsi="Calibri" w:cs="Calibri"/>
        </w:rPr>
        <w:t xml:space="preserve">, </w:t>
      </w:r>
      <w:proofErr w:type="spellStart"/>
      <w:r w:rsidR="00801DE1">
        <w:rPr>
          <w:rFonts w:ascii="Calibri" w:hAnsi="Calibri" w:cs="Calibri"/>
        </w:rPr>
        <w:t>ipilimumab</w:t>
      </w:r>
      <w:proofErr w:type="spellEnd"/>
      <w:r w:rsidR="00801DE1">
        <w:rPr>
          <w:rFonts w:ascii="Calibri" w:hAnsi="Calibri" w:cs="Calibri"/>
        </w:rPr>
        <w:t xml:space="preserve">, </w:t>
      </w:r>
      <w:proofErr w:type="spellStart"/>
      <w:r w:rsidR="00801DE1">
        <w:rPr>
          <w:rFonts w:ascii="Calibri" w:hAnsi="Calibri" w:cs="Calibri"/>
        </w:rPr>
        <w:t>dacarbazin</w:t>
      </w:r>
      <w:proofErr w:type="spellEnd"/>
      <w:r w:rsidR="00801DE1">
        <w:rPr>
          <w:rFonts w:ascii="Calibri" w:hAnsi="Calibri" w:cs="Calibri"/>
        </w:rPr>
        <w:t xml:space="preserve">, </w:t>
      </w:r>
      <w:proofErr w:type="spellStart"/>
      <w:r w:rsidR="00801DE1">
        <w:rPr>
          <w:rFonts w:ascii="Calibri" w:hAnsi="Calibri" w:cs="Calibri"/>
        </w:rPr>
        <w:t>temozolomid</w:t>
      </w:r>
      <w:proofErr w:type="spellEnd"/>
      <w:r w:rsidR="00801DE1">
        <w:rPr>
          <w:rFonts w:ascii="Calibri" w:hAnsi="Calibri" w:cs="Calibri"/>
        </w:rPr>
        <w:t xml:space="preserve">, </w:t>
      </w:r>
      <w:proofErr w:type="spellStart"/>
      <w:r w:rsidR="00801DE1">
        <w:rPr>
          <w:rFonts w:ascii="Calibri" w:hAnsi="Calibri" w:cs="Calibri"/>
        </w:rPr>
        <w:t>paclitaxel</w:t>
      </w:r>
      <w:proofErr w:type="spellEnd"/>
      <w:r w:rsidR="00801DE1">
        <w:rPr>
          <w:rFonts w:ascii="Calibri" w:hAnsi="Calibri" w:cs="Calibri"/>
        </w:rPr>
        <w:t xml:space="preserve">, </w:t>
      </w:r>
      <w:proofErr w:type="spellStart"/>
      <w:r w:rsidR="00801DE1">
        <w:rPr>
          <w:rFonts w:ascii="Calibri" w:hAnsi="Calibri" w:cs="Calibri"/>
        </w:rPr>
        <w:t>karboplatina</w:t>
      </w:r>
      <w:proofErr w:type="spellEnd"/>
      <w:r w:rsidR="00801DE1">
        <w:rPr>
          <w:rFonts w:ascii="Calibri" w:hAnsi="Calibri" w:cs="Calibri"/>
        </w:rPr>
        <w:t>/</w:t>
      </w:r>
      <w:proofErr w:type="spellStart"/>
      <w:r w:rsidR="00801DE1">
        <w:rPr>
          <w:rFonts w:ascii="Calibri" w:hAnsi="Calibri" w:cs="Calibri"/>
        </w:rPr>
        <w:t>paclitaxel</w:t>
      </w:r>
      <w:proofErr w:type="spellEnd"/>
      <w:r w:rsidR="00801DE1">
        <w:rPr>
          <w:rFonts w:ascii="Calibri" w:hAnsi="Calibri" w:cs="Calibri"/>
        </w:rPr>
        <w:t xml:space="preserve"> a </w:t>
      </w:r>
      <w:proofErr w:type="spellStart"/>
      <w:r w:rsidR="00801DE1">
        <w:rPr>
          <w:rFonts w:ascii="Calibri" w:hAnsi="Calibri" w:cs="Calibri"/>
        </w:rPr>
        <w:t>trametinib</w:t>
      </w:r>
      <w:proofErr w:type="spellEnd"/>
      <w:r w:rsidR="00F00FCE">
        <w:rPr>
          <w:rFonts w:ascii="Calibri" w:hAnsi="Calibri" w:cs="Calibri"/>
        </w:rPr>
        <w:t xml:space="preserve"> – všechny</w:t>
      </w:r>
      <w:r w:rsidR="00E85E23">
        <w:rPr>
          <w:rFonts w:ascii="Calibri" w:hAnsi="Calibri" w:cs="Calibri"/>
        </w:rPr>
        <w:t xml:space="preserve"> ale</w:t>
      </w:r>
      <w:r w:rsidR="00F00FCE">
        <w:rPr>
          <w:rFonts w:ascii="Calibri" w:hAnsi="Calibri" w:cs="Calibri"/>
        </w:rPr>
        <w:t xml:space="preserve"> jen </w:t>
      </w:r>
      <w:r w:rsidR="00F00FCE" w:rsidRPr="00F00FCE">
        <w:rPr>
          <w:rFonts w:ascii="Calibri" w:hAnsi="Calibri" w:cs="Calibri"/>
        </w:rPr>
        <w:t xml:space="preserve">s </w:t>
      </w:r>
      <w:r w:rsidR="00F00FCE" w:rsidRPr="00F00FCE">
        <w:rPr>
          <w:rFonts w:cstheme="minorHAnsi"/>
          <w:b/>
        </w:rPr>
        <w:t>doporučení</w:t>
      </w:r>
      <w:r w:rsidR="00F00FCE" w:rsidRPr="00F00FCE">
        <w:rPr>
          <w:rFonts w:cstheme="minorHAnsi"/>
          <w:b/>
        </w:rPr>
        <w:t>m</w:t>
      </w:r>
      <w:r w:rsidR="00F00FCE" w:rsidRPr="00F00FCE">
        <w:rPr>
          <w:rFonts w:cstheme="minorHAnsi"/>
          <w:b/>
        </w:rPr>
        <w:t xml:space="preserve"> kategorie 2A</w:t>
      </w:r>
      <w:r w:rsidR="00F00FCE">
        <w:rPr>
          <w:rFonts w:cstheme="minorHAnsi"/>
        </w:rPr>
        <w:t xml:space="preserve"> (tj. jedná se o doporučení s nižší úrovní evidence než je kategorie 1</w:t>
      </w:r>
      <w:r w:rsidR="00F00FCE">
        <w:rPr>
          <w:rFonts w:cstheme="minorHAnsi"/>
        </w:rPr>
        <w:t>)</w:t>
      </w:r>
      <w:r w:rsidR="00801DE1">
        <w:rPr>
          <w:rFonts w:ascii="Calibri" w:hAnsi="Calibri" w:cs="Calibri"/>
        </w:rPr>
        <w:t>.</w:t>
      </w:r>
      <w:r w:rsidR="004913AC">
        <w:rPr>
          <w:rFonts w:ascii="Calibri" w:hAnsi="Calibri" w:cs="Calibri"/>
        </w:rPr>
        <w:t xml:space="preserve"> Registrační studie LP KIMMTRAK je jediná, do které byli zařazeni pouze pacienti s HLA-A*02:01 mutací. V kontrolním ramen</w:t>
      </w:r>
      <w:r w:rsidR="00796A86">
        <w:rPr>
          <w:rFonts w:ascii="Calibri" w:hAnsi="Calibri" w:cs="Calibri"/>
        </w:rPr>
        <w:t>i</w:t>
      </w:r>
      <w:r w:rsidR="004913AC">
        <w:rPr>
          <w:rFonts w:ascii="Calibri" w:hAnsi="Calibri" w:cs="Calibri"/>
        </w:rPr>
        <w:t xml:space="preserve"> (n = 126) byl podáván jeden ze tří režimů: </w:t>
      </w:r>
      <w:proofErr w:type="spellStart"/>
      <w:r w:rsidR="00165B1C">
        <w:rPr>
          <w:rFonts w:ascii="Calibri" w:hAnsi="Calibri" w:cs="Calibri"/>
        </w:rPr>
        <w:t>p</w:t>
      </w:r>
      <w:r w:rsidR="004913AC">
        <w:rPr>
          <w:rFonts w:ascii="Calibri" w:hAnsi="Calibri" w:cs="Calibri"/>
        </w:rPr>
        <w:t>embrolizumab</w:t>
      </w:r>
      <w:proofErr w:type="spellEnd"/>
      <w:r w:rsidR="004913AC">
        <w:rPr>
          <w:rFonts w:ascii="Calibri" w:hAnsi="Calibri" w:cs="Calibri"/>
        </w:rPr>
        <w:t xml:space="preserve"> (82 %), </w:t>
      </w:r>
      <w:proofErr w:type="spellStart"/>
      <w:r w:rsidR="004913AC">
        <w:rPr>
          <w:rFonts w:ascii="Calibri" w:hAnsi="Calibri" w:cs="Calibri"/>
        </w:rPr>
        <w:t>ipilimumab</w:t>
      </w:r>
      <w:proofErr w:type="spellEnd"/>
      <w:r w:rsidR="004913AC">
        <w:rPr>
          <w:rFonts w:ascii="Calibri" w:hAnsi="Calibri" w:cs="Calibri"/>
        </w:rPr>
        <w:t xml:space="preserve"> (13 %) a </w:t>
      </w:r>
      <w:proofErr w:type="spellStart"/>
      <w:r w:rsidR="004913AC">
        <w:rPr>
          <w:rFonts w:ascii="Calibri" w:hAnsi="Calibri" w:cs="Calibri"/>
        </w:rPr>
        <w:t>dakarbazin</w:t>
      </w:r>
      <w:proofErr w:type="spellEnd"/>
      <w:r w:rsidR="004913AC">
        <w:rPr>
          <w:rFonts w:ascii="Calibri" w:hAnsi="Calibri" w:cs="Calibri"/>
        </w:rPr>
        <w:t xml:space="preserve"> (5 %). </w:t>
      </w:r>
      <w:r w:rsidR="00D06297">
        <w:rPr>
          <w:rFonts w:ascii="Calibri" w:hAnsi="Calibri" w:cs="Calibri"/>
        </w:rPr>
        <w:t xml:space="preserve">Většina pacientů byla léčena </w:t>
      </w:r>
      <w:proofErr w:type="spellStart"/>
      <w:r w:rsidR="00D06297">
        <w:rPr>
          <w:rFonts w:ascii="Calibri" w:hAnsi="Calibri" w:cs="Calibri"/>
        </w:rPr>
        <w:t>pembrolizumabem</w:t>
      </w:r>
      <w:proofErr w:type="spellEnd"/>
      <w:r w:rsidR="00D06297" w:rsidRPr="00A46843">
        <w:rPr>
          <w:rFonts w:ascii="Calibri" w:hAnsi="Calibri" w:cs="Calibri"/>
          <w:u w:val="single"/>
        </w:rPr>
        <w:t xml:space="preserve">. </w:t>
      </w:r>
      <w:r w:rsidR="00A46843" w:rsidRPr="00A46843">
        <w:rPr>
          <w:rFonts w:ascii="Calibri" w:hAnsi="Calibri" w:cs="Calibri"/>
          <w:u w:val="single"/>
        </w:rPr>
        <w:t xml:space="preserve"> </w:t>
      </w:r>
      <w:r w:rsidR="00D06297" w:rsidRPr="00A46843">
        <w:rPr>
          <w:rFonts w:ascii="Calibri" w:hAnsi="Calibri" w:cs="Calibri"/>
          <w:b/>
          <w:u w:val="single"/>
        </w:rPr>
        <w:t xml:space="preserve">Z tohoto důvodu byl jako jediný komparátor vybrán </w:t>
      </w:r>
      <w:proofErr w:type="spellStart"/>
      <w:r w:rsidR="00D06297" w:rsidRPr="00A46843">
        <w:rPr>
          <w:rFonts w:ascii="Calibri" w:hAnsi="Calibri" w:cs="Calibri"/>
          <w:b/>
          <w:u w:val="single"/>
        </w:rPr>
        <w:t>pembrolizumab</w:t>
      </w:r>
      <w:proofErr w:type="spellEnd"/>
      <w:r w:rsidR="00D06297" w:rsidRPr="00724C39">
        <w:rPr>
          <w:rFonts w:ascii="Calibri" w:hAnsi="Calibri" w:cs="Calibri"/>
          <w:b/>
        </w:rPr>
        <w:t>.</w:t>
      </w:r>
    </w:p>
    <w:p w14:paraId="7E1A490C" w14:textId="77777777" w:rsidR="00701F92" w:rsidRDefault="00701F92" w:rsidP="001B5EB0">
      <w:pPr>
        <w:spacing w:after="0"/>
        <w:jc w:val="both"/>
        <w:rPr>
          <w:rFonts w:ascii="Calibri" w:hAnsi="Calibri" w:cs="Calibri"/>
          <w:b/>
        </w:rPr>
      </w:pPr>
    </w:p>
    <w:p w14:paraId="5B608899" w14:textId="77777777" w:rsidR="00501A48" w:rsidRDefault="00501A48" w:rsidP="00501A48">
      <w:pPr>
        <w:spacing w:after="0"/>
        <w:jc w:val="both"/>
        <w:outlineLvl w:val="0"/>
        <w:rPr>
          <w:rFonts w:ascii="Calibri" w:hAnsi="Calibri" w:cs="Calibri"/>
        </w:rPr>
      </w:pPr>
    </w:p>
    <w:p w14:paraId="1FF09F2E" w14:textId="731EC822" w:rsidR="006932B6" w:rsidRPr="000C4FD9" w:rsidRDefault="006932B6" w:rsidP="002C6226">
      <w:pPr>
        <w:spacing w:after="0"/>
        <w:rPr>
          <w:rFonts w:ascii="Calibri" w:hAnsi="Calibri" w:cs="Calibri"/>
          <w:b/>
        </w:rPr>
      </w:pPr>
      <w:r w:rsidRPr="000C4FD9">
        <w:rPr>
          <w:rFonts w:ascii="Calibri" w:hAnsi="Calibri" w:cs="Calibri"/>
          <w:b/>
        </w:rPr>
        <w:t>Specifikace</w:t>
      </w:r>
      <w:r w:rsidR="003459A2">
        <w:rPr>
          <w:rFonts w:ascii="Calibri" w:hAnsi="Calibri" w:cs="Calibri"/>
          <w:b/>
        </w:rPr>
        <w:t xml:space="preserve"> FE</w:t>
      </w:r>
      <w:r w:rsidRPr="000C4FD9">
        <w:rPr>
          <w:rFonts w:ascii="Calibri" w:hAnsi="Calibri" w:cs="Calibri"/>
          <w:b/>
        </w:rPr>
        <w:t xml:space="preserve"> analýzy:</w:t>
      </w:r>
    </w:p>
    <w:p w14:paraId="6D175CAF" w14:textId="06A28D21" w:rsidR="00F8262F" w:rsidRPr="0030322C" w:rsidRDefault="00F8262F" w:rsidP="00872CFA">
      <w:pPr>
        <w:pStyle w:val="Odstavecseseznamem"/>
        <w:numPr>
          <w:ilvl w:val="0"/>
          <w:numId w:val="2"/>
        </w:numPr>
        <w:outlineLvl w:val="0"/>
        <w:rPr>
          <w:rFonts w:ascii="Calibri" w:hAnsi="Calibri" w:cs="Calibri"/>
        </w:rPr>
      </w:pPr>
      <w:r w:rsidRPr="00F8262F">
        <w:rPr>
          <w:rFonts w:ascii="Calibri" w:hAnsi="Calibri" w:cs="Calibri"/>
        </w:rPr>
        <w:t xml:space="preserve">Byla </w:t>
      </w:r>
      <w:r w:rsidR="00872CFA">
        <w:rPr>
          <w:rFonts w:ascii="Calibri" w:hAnsi="Calibri" w:cs="Calibri"/>
        </w:rPr>
        <w:t>realizována</w:t>
      </w:r>
      <w:r w:rsidR="00724C39">
        <w:rPr>
          <w:rFonts w:ascii="Calibri" w:hAnsi="Calibri" w:cs="Calibri"/>
          <w:b/>
        </w:rPr>
        <w:t xml:space="preserve"> </w:t>
      </w:r>
      <w:proofErr w:type="spellStart"/>
      <w:r w:rsidR="00A6227E">
        <w:rPr>
          <w:rFonts w:ascii="Calibri" w:hAnsi="Calibri" w:cs="Calibri"/>
          <w:b/>
        </w:rPr>
        <w:t>cost-effectivness</w:t>
      </w:r>
      <w:proofErr w:type="spellEnd"/>
      <w:r w:rsidR="00A6227E">
        <w:rPr>
          <w:rFonts w:ascii="Calibri" w:hAnsi="Calibri" w:cs="Calibri"/>
          <w:b/>
        </w:rPr>
        <w:t xml:space="preserve"> analýza.</w:t>
      </w:r>
    </w:p>
    <w:p w14:paraId="344B8F86" w14:textId="4BC429C2" w:rsidR="0030322C" w:rsidRPr="00872CFA" w:rsidRDefault="0030322C" w:rsidP="00872CFA">
      <w:pPr>
        <w:pStyle w:val="Odstavecseseznamem"/>
        <w:numPr>
          <w:ilvl w:val="0"/>
          <w:numId w:val="2"/>
        </w:numPr>
        <w:outlineLvl w:val="0"/>
        <w:rPr>
          <w:rFonts w:ascii="Calibri" w:hAnsi="Calibri" w:cs="Calibri"/>
        </w:rPr>
      </w:pPr>
      <w:r>
        <w:rPr>
          <w:rFonts w:ascii="Calibri" w:hAnsi="Calibri" w:cs="Calibri"/>
          <w:bCs/>
        </w:rPr>
        <w:t>Analýza byla realizována z perspektivy nemocnice</w:t>
      </w:r>
      <w:r w:rsidR="00E85E23">
        <w:rPr>
          <w:rFonts w:ascii="Calibri" w:hAnsi="Calibri" w:cs="Calibri"/>
          <w:bCs/>
        </w:rPr>
        <w:t xml:space="preserve"> a z celoživotního horizontu.</w:t>
      </w:r>
    </w:p>
    <w:p w14:paraId="51CDDB86" w14:textId="73448ABD" w:rsidR="006932B6" w:rsidRDefault="006932B6" w:rsidP="006932B6">
      <w:pPr>
        <w:pStyle w:val="Odstavecseseznamem"/>
        <w:numPr>
          <w:ilvl w:val="0"/>
          <w:numId w:val="2"/>
        </w:numPr>
      </w:pPr>
      <w:r>
        <w:t>Do této analýzy byly započítány pouze náklady na cenu léčiv, nebyly zahrnuty náklady na úpravu do finální lékové formy, náklady spojené aplikací a náklady spojené s prevencí a terapií nežádoucích účinků</w:t>
      </w:r>
      <w:r w:rsidR="00701F92">
        <w:t xml:space="preserve"> (zejména pro </w:t>
      </w:r>
      <w:r w:rsidR="00701F92" w:rsidRPr="006703FB">
        <w:rPr>
          <w:b/>
        </w:rPr>
        <w:t>syndrom „cytokinové bouře“</w:t>
      </w:r>
      <w:r w:rsidR="00FE1A61" w:rsidRPr="006703FB">
        <w:rPr>
          <w:b/>
        </w:rPr>
        <w:t xml:space="preserve"> (CRS)</w:t>
      </w:r>
      <w:r w:rsidR="00701F92" w:rsidRPr="006703FB">
        <w:rPr>
          <w:b/>
        </w:rPr>
        <w:t xml:space="preserve"> po </w:t>
      </w:r>
      <w:proofErr w:type="spellStart"/>
      <w:r w:rsidR="00701F92" w:rsidRPr="006703FB">
        <w:rPr>
          <w:b/>
        </w:rPr>
        <w:t>tebentafuspu</w:t>
      </w:r>
      <w:proofErr w:type="spellEnd"/>
      <w:r w:rsidR="000B7394" w:rsidRPr="006703FB">
        <w:rPr>
          <w:b/>
        </w:rPr>
        <w:t xml:space="preserve"> – ten byl nejčastější ve stupni závažnosti 2 (</w:t>
      </w:r>
      <w:r w:rsidR="000D13F2" w:rsidRPr="006703FB">
        <w:rPr>
          <w:b/>
        </w:rPr>
        <w:t xml:space="preserve">cca u </w:t>
      </w:r>
      <w:proofErr w:type="gramStart"/>
      <w:r w:rsidR="000D13F2" w:rsidRPr="006703FB">
        <w:rPr>
          <w:b/>
        </w:rPr>
        <w:t>70%</w:t>
      </w:r>
      <w:proofErr w:type="gramEnd"/>
      <w:r w:rsidR="000D13F2" w:rsidRPr="006703FB">
        <w:rPr>
          <w:b/>
        </w:rPr>
        <w:t xml:space="preserve"> pacientů) a</w:t>
      </w:r>
      <w:r w:rsidR="000B7394" w:rsidRPr="006703FB">
        <w:rPr>
          <w:b/>
        </w:rPr>
        <w:t xml:space="preserve"> </w:t>
      </w:r>
      <w:proofErr w:type="spellStart"/>
      <w:r w:rsidR="000B7394" w:rsidRPr="006703FB">
        <w:rPr>
          <w:b/>
        </w:rPr>
        <w:t>tocilizumab</w:t>
      </w:r>
      <w:proofErr w:type="spellEnd"/>
      <w:r w:rsidR="000B7394" w:rsidRPr="006703FB">
        <w:rPr>
          <w:b/>
        </w:rPr>
        <w:t xml:space="preserve"> byl </w:t>
      </w:r>
      <w:r w:rsidR="000D13F2" w:rsidRPr="006703FB">
        <w:rPr>
          <w:b/>
        </w:rPr>
        <w:t>ve studiích</w:t>
      </w:r>
      <w:r w:rsidR="000D13F2" w:rsidRPr="006703FB">
        <w:rPr>
          <w:b/>
          <w:vertAlign w:val="superscript"/>
        </w:rPr>
        <w:t>4</w:t>
      </w:r>
      <w:r w:rsidR="000D13F2" w:rsidRPr="006703FB">
        <w:rPr>
          <w:b/>
        </w:rPr>
        <w:t xml:space="preserve"> použit jen u 1-2% pacientů</w:t>
      </w:r>
      <w:r w:rsidR="00701F92">
        <w:t>)</w:t>
      </w:r>
      <w:r>
        <w:t xml:space="preserve">. </w:t>
      </w:r>
    </w:p>
    <w:p w14:paraId="278B5818" w14:textId="5A3BAA13" w:rsidR="00E85E23" w:rsidRDefault="00E85E23" w:rsidP="006932B6">
      <w:pPr>
        <w:pStyle w:val="Odstavecseseznamem"/>
        <w:numPr>
          <w:ilvl w:val="0"/>
          <w:numId w:val="2"/>
        </w:numPr>
      </w:pPr>
      <w:r>
        <w:rPr>
          <w:rFonts w:cstheme="minorHAnsi"/>
        </w:rPr>
        <w:t xml:space="preserve">Do CEA nebyly započítávány náklady na následující linie léčby </w:t>
      </w:r>
      <w:proofErr w:type="spellStart"/>
      <w:r>
        <w:rPr>
          <w:rFonts w:cstheme="minorHAnsi"/>
        </w:rPr>
        <w:t>mUM</w:t>
      </w:r>
      <w:proofErr w:type="spellEnd"/>
      <w:r>
        <w:rPr>
          <w:rFonts w:cstheme="minorHAnsi"/>
        </w:rPr>
        <w:t>.</w:t>
      </w:r>
    </w:p>
    <w:p w14:paraId="01EE631A" w14:textId="3AC32BA5" w:rsidR="00701F92" w:rsidRDefault="00701F92" w:rsidP="00701F92">
      <w:pPr>
        <w:pStyle w:val="Odstavecseseznamem"/>
      </w:pPr>
    </w:p>
    <w:p w14:paraId="6C6E39F9" w14:textId="037C4CB8" w:rsidR="000B7394" w:rsidRDefault="000B7394" w:rsidP="00701F92">
      <w:pPr>
        <w:pStyle w:val="Odstavecseseznamem"/>
      </w:pPr>
    </w:p>
    <w:p w14:paraId="1F570F20" w14:textId="77777777" w:rsidR="000B7394" w:rsidRDefault="000B7394" w:rsidP="00701F92">
      <w:pPr>
        <w:pStyle w:val="Odstavecseseznamem"/>
      </w:pPr>
    </w:p>
    <w:p w14:paraId="7533B80B" w14:textId="5BB2E7E9" w:rsidR="006932B6" w:rsidRDefault="006932B6" w:rsidP="006932B6">
      <w:pPr>
        <w:rPr>
          <w:b/>
        </w:rPr>
      </w:pPr>
      <w:r w:rsidRPr="009F4334">
        <w:rPr>
          <w:b/>
        </w:rPr>
        <w:t>Výsledky</w:t>
      </w:r>
      <w:r w:rsidR="00AD2273">
        <w:rPr>
          <w:b/>
        </w:rPr>
        <w:t>:</w:t>
      </w:r>
    </w:p>
    <w:p w14:paraId="1802A1C3" w14:textId="77777777" w:rsidR="003F1975" w:rsidRPr="00283567" w:rsidRDefault="003F1975" w:rsidP="000F6C0C">
      <w:pPr>
        <w:pStyle w:val="Odstavecseseznamem"/>
        <w:numPr>
          <w:ilvl w:val="0"/>
          <w:numId w:val="15"/>
        </w:numPr>
        <w:spacing w:after="120"/>
        <w:rPr>
          <w:b/>
          <w:bCs/>
          <w:spacing w:val="60"/>
          <w:u w:val="single"/>
        </w:rPr>
      </w:pPr>
      <w:r w:rsidRPr="00283567">
        <w:rPr>
          <w:b/>
          <w:bCs/>
          <w:spacing w:val="60"/>
          <w:u w:val="single"/>
        </w:rPr>
        <w:t>Účinnost a bezpečnos</w:t>
      </w:r>
      <w:r w:rsidR="0041419C" w:rsidRPr="00283567">
        <w:rPr>
          <w:b/>
          <w:bCs/>
          <w:spacing w:val="60"/>
          <w:u w:val="single"/>
        </w:rPr>
        <w:t>t</w:t>
      </w:r>
      <w:r w:rsidR="007A5C07" w:rsidRPr="00283567">
        <w:rPr>
          <w:b/>
          <w:bCs/>
          <w:spacing w:val="60"/>
          <w:u w:val="single"/>
        </w:rPr>
        <w:t>:</w:t>
      </w:r>
    </w:p>
    <w:p w14:paraId="7FC074CD" w14:textId="71A43192" w:rsidR="00FB7C17" w:rsidRDefault="008127B4" w:rsidP="00245157">
      <w:pPr>
        <w:spacing w:after="0"/>
        <w:ind w:firstLine="708"/>
        <w:jc w:val="both"/>
        <w:rPr>
          <w:rFonts w:cstheme="minorHAnsi"/>
          <w:color w:val="000000"/>
          <w:shd w:val="clear" w:color="auto" w:fill="F5F5F5"/>
        </w:rPr>
      </w:pPr>
      <w:r>
        <w:rPr>
          <w:bCs/>
        </w:rPr>
        <w:t xml:space="preserve">Údaje o účinnosti a bezpečnosti pochází ze práce Nathan </w:t>
      </w:r>
      <w:r w:rsidRPr="008127B4">
        <w:rPr>
          <w:bCs/>
          <w:i/>
        </w:rPr>
        <w:t>et al</w:t>
      </w:r>
      <w:r>
        <w:rPr>
          <w:bCs/>
        </w:rPr>
        <w:t>. (2021)</w:t>
      </w:r>
      <w:r w:rsidR="000D5397" w:rsidRPr="000D5397">
        <w:rPr>
          <w:bCs/>
          <w:vertAlign w:val="superscript"/>
        </w:rPr>
        <w:t>3</w:t>
      </w:r>
      <w:r>
        <w:rPr>
          <w:bCs/>
        </w:rPr>
        <w:t xml:space="preserve">. Je to prospektivní nezaslepená randomizovaná studie III. </w:t>
      </w:r>
      <w:proofErr w:type="gramStart"/>
      <w:r w:rsidR="00245157">
        <w:rPr>
          <w:bCs/>
        </w:rPr>
        <w:t>f</w:t>
      </w:r>
      <w:r>
        <w:rPr>
          <w:bCs/>
        </w:rPr>
        <w:t>áze</w:t>
      </w:r>
      <w:r w:rsidR="00245157">
        <w:rPr>
          <w:bCs/>
        </w:rPr>
        <w:t xml:space="preserve"> - c</w:t>
      </w:r>
      <w:r w:rsidR="00245157">
        <w:rPr>
          <w:bCs/>
        </w:rPr>
        <w:t>rossover</w:t>
      </w:r>
      <w:proofErr w:type="gramEnd"/>
      <w:r w:rsidR="00245157">
        <w:rPr>
          <w:bCs/>
        </w:rPr>
        <w:t xml:space="preserve"> z kontrolního ramene do aktivního ramene po progresi byl povolen až v update části studie (n = 16)</w:t>
      </w:r>
      <w:r w:rsidR="00245157" w:rsidRPr="006911D5">
        <w:rPr>
          <w:bCs/>
          <w:vertAlign w:val="superscript"/>
        </w:rPr>
        <w:t>4</w:t>
      </w:r>
      <w:r w:rsidR="00245157">
        <w:rPr>
          <w:bCs/>
        </w:rPr>
        <w:t>.</w:t>
      </w:r>
      <w:r w:rsidR="00D83624">
        <w:rPr>
          <w:bCs/>
        </w:rPr>
        <w:t xml:space="preserve"> </w:t>
      </w:r>
      <w:proofErr w:type="spellStart"/>
      <w:r w:rsidR="00D83624" w:rsidRPr="00D83624">
        <w:rPr>
          <w:b/>
          <w:bCs/>
        </w:rPr>
        <w:t>Nepředléčeným</w:t>
      </w:r>
      <w:proofErr w:type="spellEnd"/>
      <w:r w:rsidR="003D2235">
        <w:rPr>
          <w:b/>
          <w:bCs/>
        </w:rPr>
        <w:t xml:space="preserve"> (</w:t>
      </w:r>
      <w:r w:rsidR="006703FB">
        <w:rPr>
          <w:b/>
          <w:bCs/>
        </w:rPr>
        <w:t xml:space="preserve">a to jen </w:t>
      </w:r>
      <w:r w:rsidR="007570EE">
        <w:rPr>
          <w:b/>
          <w:bCs/>
        </w:rPr>
        <w:t xml:space="preserve">pro pokročilý či </w:t>
      </w:r>
      <w:proofErr w:type="spellStart"/>
      <w:r w:rsidR="007570EE">
        <w:rPr>
          <w:b/>
          <w:bCs/>
        </w:rPr>
        <w:t>mUM</w:t>
      </w:r>
      <w:proofErr w:type="spellEnd"/>
      <w:r w:rsidR="007570EE">
        <w:rPr>
          <w:b/>
          <w:bCs/>
        </w:rPr>
        <w:t>)</w:t>
      </w:r>
      <w:r>
        <w:rPr>
          <w:bCs/>
        </w:rPr>
        <w:t xml:space="preserve"> </w:t>
      </w:r>
      <w:r w:rsidR="00D83624">
        <w:rPr>
          <w:bCs/>
        </w:rPr>
        <w:t>p</w:t>
      </w:r>
      <w:r>
        <w:rPr>
          <w:bCs/>
        </w:rPr>
        <w:t>acientům v aktivním rameni (n = 252) byl podáván tebentafusp každých sedm dní, pacientům v kontrolním rameni (n = 126)</w:t>
      </w:r>
      <w:r w:rsidR="00982636">
        <w:rPr>
          <w:bCs/>
        </w:rPr>
        <w:t xml:space="preserve"> </w:t>
      </w:r>
      <w:r>
        <w:rPr>
          <w:bCs/>
        </w:rPr>
        <w:t>byla podávaná terapie dle volby lékaře</w:t>
      </w:r>
      <w:r w:rsidR="00796A86">
        <w:rPr>
          <w:bCs/>
        </w:rPr>
        <w:t xml:space="preserve">: </w:t>
      </w:r>
      <w:proofErr w:type="spellStart"/>
      <w:r w:rsidR="00796A86">
        <w:rPr>
          <w:rFonts w:ascii="Calibri" w:hAnsi="Calibri" w:cs="Calibri"/>
        </w:rPr>
        <w:t>pembrolizumab</w:t>
      </w:r>
      <w:proofErr w:type="spellEnd"/>
      <w:r w:rsidR="00796A86">
        <w:rPr>
          <w:rFonts w:ascii="Calibri" w:hAnsi="Calibri" w:cs="Calibri"/>
        </w:rPr>
        <w:t xml:space="preserve"> (82 %), </w:t>
      </w:r>
      <w:proofErr w:type="spellStart"/>
      <w:r w:rsidR="00796A86">
        <w:rPr>
          <w:rFonts w:ascii="Calibri" w:hAnsi="Calibri" w:cs="Calibri"/>
        </w:rPr>
        <w:t>ipilimumab</w:t>
      </w:r>
      <w:proofErr w:type="spellEnd"/>
      <w:r w:rsidR="00796A86">
        <w:rPr>
          <w:rFonts w:ascii="Calibri" w:hAnsi="Calibri" w:cs="Calibri"/>
        </w:rPr>
        <w:t xml:space="preserve"> (13 %) a </w:t>
      </w:r>
      <w:proofErr w:type="spellStart"/>
      <w:r w:rsidR="00796A86">
        <w:rPr>
          <w:rFonts w:ascii="Calibri" w:hAnsi="Calibri" w:cs="Calibri"/>
        </w:rPr>
        <w:t>dakarbazin</w:t>
      </w:r>
      <w:proofErr w:type="spellEnd"/>
      <w:r w:rsidR="00796A86">
        <w:rPr>
          <w:rFonts w:ascii="Calibri" w:hAnsi="Calibri" w:cs="Calibri"/>
        </w:rPr>
        <w:t xml:space="preserve"> (5 %).</w:t>
      </w:r>
      <w:r w:rsidR="00796A86">
        <w:rPr>
          <w:bCs/>
        </w:rPr>
        <w:t xml:space="preserve"> </w:t>
      </w:r>
      <w:proofErr w:type="spellStart"/>
      <w:r w:rsidR="002C6226">
        <w:rPr>
          <w:bCs/>
        </w:rPr>
        <w:t>mOS</w:t>
      </w:r>
      <w:proofErr w:type="spellEnd"/>
      <w:r w:rsidR="003C1BA7">
        <w:rPr>
          <w:bCs/>
        </w:rPr>
        <w:t xml:space="preserve"> </w:t>
      </w:r>
      <w:r w:rsidR="00560989">
        <w:rPr>
          <w:bCs/>
        </w:rPr>
        <w:t xml:space="preserve">v primární analýze (tj. před </w:t>
      </w:r>
      <w:proofErr w:type="spellStart"/>
      <w:r w:rsidR="00560989">
        <w:rPr>
          <w:bCs/>
        </w:rPr>
        <w:t>cross-overem</w:t>
      </w:r>
      <w:proofErr w:type="spellEnd"/>
      <w:r w:rsidR="00560989">
        <w:rPr>
          <w:bCs/>
        </w:rPr>
        <w:t xml:space="preserve">) </w:t>
      </w:r>
      <w:r w:rsidR="003C1BA7">
        <w:rPr>
          <w:bCs/>
        </w:rPr>
        <w:t xml:space="preserve">byl 21,7 (18,6 – 28,6) měsíců v aktivním rameni a 16,0 (9,7 – 18,4) v kontrolním rameni, </w:t>
      </w:r>
      <w:r w:rsidR="003C1BA7" w:rsidRPr="00963920">
        <w:rPr>
          <w:b/>
          <w:bCs/>
        </w:rPr>
        <w:t>HR OS 0,51</w:t>
      </w:r>
      <w:r w:rsidR="003C1BA7">
        <w:rPr>
          <w:bCs/>
        </w:rPr>
        <w:t xml:space="preserve"> (0,37 – 0,71). </w:t>
      </w:r>
      <w:proofErr w:type="spellStart"/>
      <w:r w:rsidR="002C6226">
        <w:rPr>
          <w:bCs/>
        </w:rPr>
        <w:t>mPFS</w:t>
      </w:r>
      <w:proofErr w:type="spellEnd"/>
      <w:r w:rsidR="003C1BA7">
        <w:rPr>
          <w:bCs/>
        </w:rPr>
        <w:t xml:space="preserve"> byl 3,3 (3,0 – 5,0) měsíců v aktivním rameni a 2,9 (2,9 – 3,0) v kontrolním rameni, </w:t>
      </w:r>
      <w:r w:rsidR="003C1BA7" w:rsidRPr="00963920">
        <w:rPr>
          <w:b/>
          <w:bCs/>
        </w:rPr>
        <w:t>HR PFS 0,73</w:t>
      </w:r>
      <w:r w:rsidR="003C1BA7">
        <w:rPr>
          <w:bCs/>
        </w:rPr>
        <w:t xml:space="preserve"> (0,58 – 0,94).</w:t>
      </w:r>
      <w:r w:rsidR="003A3775">
        <w:rPr>
          <w:bCs/>
        </w:rPr>
        <w:t xml:space="preserve"> HR OS proti podskupině </w:t>
      </w:r>
      <w:r w:rsidR="00012573">
        <w:rPr>
          <w:bCs/>
        </w:rPr>
        <w:t>pacientů,</w:t>
      </w:r>
      <w:r w:rsidR="003A3775">
        <w:rPr>
          <w:bCs/>
        </w:rPr>
        <w:t xml:space="preserve"> kterým byl podáván pembrolizumab bylo </w:t>
      </w:r>
      <w:r w:rsidR="003A3775" w:rsidRPr="003A3775">
        <w:rPr>
          <w:bCs/>
        </w:rPr>
        <w:t>0,51 (0,35-0,75)</w:t>
      </w:r>
      <w:r w:rsidR="003A3775">
        <w:rPr>
          <w:bCs/>
        </w:rPr>
        <w:t>.</w:t>
      </w:r>
      <w:r w:rsidR="00355C36">
        <w:rPr>
          <w:bCs/>
        </w:rPr>
        <w:t xml:space="preserve"> Nežádoucí účinky grade </w:t>
      </w:r>
      <w:r w:rsidR="00355C36">
        <w:rPr>
          <w:rFonts w:cstheme="minorHAnsi"/>
          <w:bCs/>
        </w:rPr>
        <w:t>≥</w:t>
      </w:r>
      <w:r w:rsidR="00355C36">
        <w:rPr>
          <w:bCs/>
        </w:rPr>
        <w:t xml:space="preserve">3 spojené s léčbou byly pozorovány u </w:t>
      </w:r>
      <w:r w:rsidR="00355C36" w:rsidRPr="0045513E">
        <w:rPr>
          <w:bCs/>
          <w:color w:val="C00000"/>
        </w:rPr>
        <w:t>44,5 %</w:t>
      </w:r>
      <w:r w:rsidR="00355C36">
        <w:rPr>
          <w:bCs/>
        </w:rPr>
        <w:t xml:space="preserve"> pacientů v aktivním rameni a u </w:t>
      </w:r>
      <w:r w:rsidR="00355C36" w:rsidRPr="00963920">
        <w:rPr>
          <w:bCs/>
          <w:color w:val="C00000"/>
        </w:rPr>
        <w:t>17,1 %</w:t>
      </w:r>
      <w:r w:rsidR="00355C36">
        <w:rPr>
          <w:bCs/>
        </w:rPr>
        <w:t xml:space="preserve"> pacientů v kontrolním rameni. NÚ vedoucí k přerušení léčby bylo zaznamenáno u 2 % pacientů v aktivním rameni a u 4,5 % v kontrolním rameni.</w:t>
      </w:r>
      <w:r w:rsidR="002C6226">
        <w:rPr>
          <w:bCs/>
        </w:rPr>
        <w:t xml:space="preserve"> </w:t>
      </w:r>
      <w:proofErr w:type="spellStart"/>
      <w:r w:rsidR="00446C9A" w:rsidRPr="00446C9A">
        <w:rPr>
          <w:rFonts w:cstheme="minorHAnsi"/>
          <w:color w:val="000000"/>
          <w:shd w:val="clear" w:color="auto" w:fill="F5F5F5"/>
        </w:rPr>
        <w:t>Tebentafusp</w:t>
      </w:r>
      <w:proofErr w:type="spellEnd"/>
      <w:r w:rsidR="00446C9A" w:rsidRPr="00446C9A">
        <w:rPr>
          <w:rFonts w:cstheme="minorHAnsi"/>
          <w:color w:val="000000"/>
          <w:shd w:val="clear" w:color="auto" w:fill="F5F5F5"/>
        </w:rPr>
        <w:t xml:space="preserve"> má poměrně rozsáhlý stupeň toxicity. Vyskytlo se více </w:t>
      </w:r>
      <w:r w:rsidR="00446C9A">
        <w:rPr>
          <w:rFonts w:cstheme="minorHAnsi"/>
          <w:color w:val="000000"/>
          <w:shd w:val="clear" w:color="auto" w:fill="F5F5F5"/>
        </w:rPr>
        <w:t>NÚ</w:t>
      </w:r>
      <w:r w:rsidR="00446C9A" w:rsidRPr="00446C9A">
        <w:rPr>
          <w:rFonts w:cstheme="minorHAnsi"/>
          <w:color w:val="000000"/>
          <w:shd w:val="clear" w:color="auto" w:fill="F5F5F5"/>
        </w:rPr>
        <w:t xml:space="preserve"> a </w:t>
      </w:r>
      <w:r w:rsidR="00446C9A">
        <w:rPr>
          <w:rFonts w:cstheme="minorHAnsi"/>
          <w:color w:val="000000"/>
          <w:shd w:val="clear" w:color="auto" w:fill="F5F5F5"/>
        </w:rPr>
        <w:t>vážných NÚ</w:t>
      </w:r>
      <w:r w:rsidR="00446C9A" w:rsidRPr="00446C9A">
        <w:rPr>
          <w:rFonts w:cstheme="minorHAnsi"/>
          <w:color w:val="000000"/>
          <w:shd w:val="clear" w:color="auto" w:fill="F5F5F5"/>
        </w:rPr>
        <w:t xml:space="preserve"> souvisejících s</w:t>
      </w:r>
      <w:r w:rsidR="00446C9A">
        <w:rPr>
          <w:rFonts w:cstheme="minorHAnsi"/>
          <w:color w:val="000000"/>
          <w:shd w:val="clear" w:color="auto" w:fill="F5F5F5"/>
        </w:rPr>
        <w:t xml:space="preserve"> jeho </w:t>
      </w:r>
      <w:r w:rsidR="00446C9A" w:rsidRPr="00446C9A">
        <w:rPr>
          <w:rFonts w:cstheme="minorHAnsi"/>
          <w:color w:val="000000"/>
          <w:shd w:val="clear" w:color="auto" w:fill="F5F5F5"/>
        </w:rPr>
        <w:t xml:space="preserve">léčbou, než bylo pozorováno při </w:t>
      </w:r>
      <w:r w:rsidR="00446C9A">
        <w:rPr>
          <w:rFonts w:cstheme="minorHAnsi"/>
          <w:color w:val="000000"/>
          <w:shd w:val="clear" w:color="auto" w:fill="F5F5F5"/>
        </w:rPr>
        <w:t xml:space="preserve">léčbě dle </w:t>
      </w:r>
      <w:r w:rsidR="00446C9A" w:rsidRPr="00446C9A">
        <w:rPr>
          <w:rFonts w:cstheme="minorHAnsi"/>
          <w:color w:val="000000"/>
          <w:shd w:val="clear" w:color="auto" w:fill="F5F5F5"/>
        </w:rPr>
        <w:t xml:space="preserve">výběru zkoušejícího (inhibitory imunitního kontrolního bodu a chemoterapie). </w:t>
      </w:r>
      <w:r w:rsidR="00446C9A">
        <w:rPr>
          <w:rFonts w:cstheme="minorHAnsi"/>
          <w:color w:val="000000"/>
          <w:shd w:val="clear" w:color="auto" w:fill="F5F5F5"/>
        </w:rPr>
        <w:t>NÚ</w:t>
      </w:r>
      <w:r w:rsidR="00446C9A" w:rsidRPr="00446C9A">
        <w:rPr>
          <w:rFonts w:cstheme="minorHAnsi"/>
          <w:color w:val="000000"/>
          <w:shd w:val="clear" w:color="auto" w:fill="F5F5F5"/>
        </w:rPr>
        <w:t xml:space="preserve"> se však postupem času zmenšovaly s pokračující léčbou po několika prvních (často 3) léčebných cyklech, výskyt </w:t>
      </w:r>
      <w:r w:rsidR="00446C9A">
        <w:rPr>
          <w:rFonts w:cstheme="minorHAnsi"/>
          <w:color w:val="000000"/>
          <w:shd w:val="clear" w:color="auto" w:fill="F5F5F5"/>
        </w:rPr>
        <w:t xml:space="preserve">NÚ </w:t>
      </w:r>
      <w:r w:rsidR="00446C9A" w:rsidRPr="00446C9A">
        <w:rPr>
          <w:rFonts w:cstheme="minorHAnsi"/>
          <w:color w:val="000000"/>
          <w:shd w:val="clear" w:color="auto" w:fill="F5F5F5"/>
        </w:rPr>
        <w:t>4. stupně byl nízký a žádn</w:t>
      </w:r>
      <w:r w:rsidR="00446C9A">
        <w:rPr>
          <w:rFonts w:cstheme="minorHAnsi"/>
          <w:color w:val="000000"/>
          <w:shd w:val="clear" w:color="auto" w:fill="F5F5F5"/>
        </w:rPr>
        <w:t>ý</w:t>
      </w:r>
      <w:r w:rsidR="00446C9A" w:rsidRPr="00446C9A">
        <w:rPr>
          <w:rFonts w:cstheme="minorHAnsi"/>
          <w:color w:val="000000"/>
          <w:shd w:val="clear" w:color="auto" w:fill="F5F5F5"/>
        </w:rPr>
        <w:t xml:space="preserve"> 5. stup</w:t>
      </w:r>
      <w:r w:rsidR="00446C9A">
        <w:rPr>
          <w:rFonts w:cstheme="minorHAnsi"/>
          <w:color w:val="000000"/>
          <w:shd w:val="clear" w:color="auto" w:fill="F5F5F5"/>
        </w:rPr>
        <w:t>eň</w:t>
      </w:r>
      <w:r w:rsidR="00446C9A" w:rsidRPr="00446C9A">
        <w:rPr>
          <w:rFonts w:cstheme="minorHAnsi"/>
          <w:color w:val="000000"/>
          <w:shd w:val="clear" w:color="auto" w:fill="F5F5F5"/>
        </w:rPr>
        <w:t xml:space="preserve"> nebyl registrován. Míra vysazení a míra snížení dávky byla nízká a nebyla hlášena žádná úmrtí související s léčbou. Celkový závěr z prezentovaných údajů je, že toxicita </w:t>
      </w:r>
      <w:proofErr w:type="spellStart"/>
      <w:r w:rsidR="00446C9A" w:rsidRPr="00446C9A">
        <w:rPr>
          <w:rFonts w:cstheme="minorHAnsi"/>
          <w:color w:val="000000"/>
          <w:shd w:val="clear" w:color="auto" w:fill="F5F5F5"/>
        </w:rPr>
        <w:t>tebentafusp</w:t>
      </w:r>
      <w:r w:rsidR="00FE1A61">
        <w:rPr>
          <w:rFonts w:cstheme="minorHAnsi"/>
          <w:color w:val="000000"/>
          <w:shd w:val="clear" w:color="auto" w:fill="F5F5F5"/>
        </w:rPr>
        <w:t>u</w:t>
      </w:r>
      <w:proofErr w:type="spellEnd"/>
      <w:r w:rsidR="00446C9A" w:rsidRPr="00446C9A">
        <w:rPr>
          <w:rFonts w:cstheme="minorHAnsi"/>
          <w:color w:val="000000"/>
          <w:shd w:val="clear" w:color="auto" w:fill="F5F5F5"/>
        </w:rPr>
        <w:t xml:space="preserve">, i když je široká, je zvládnutelná. Nežádoucí lékové reakce </w:t>
      </w:r>
      <w:proofErr w:type="spellStart"/>
      <w:r w:rsidR="00446C9A" w:rsidRPr="00446C9A">
        <w:rPr>
          <w:rFonts w:cstheme="minorHAnsi"/>
          <w:color w:val="000000"/>
          <w:shd w:val="clear" w:color="auto" w:fill="F5F5F5"/>
        </w:rPr>
        <w:t>tebentafuspu</w:t>
      </w:r>
      <w:proofErr w:type="spellEnd"/>
      <w:r w:rsidR="00446C9A" w:rsidRPr="00446C9A">
        <w:rPr>
          <w:rFonts w:cstheme="minorHAnsi"/>
          <w:color w:val="000000"/>
          <w:shd w:val="clear" w:color="auto" w:fill="F5F5F5"/>
        </w:rPr>
        <w:t xml:space="preserve"> lze do značné míry vysvětlit jeho </w:t>
      </w:r>
      <w:r w:rsidR="00FE1A61">
        <w:rPr>
          <w:rFonts w:cstheme="minorHAnsi"/>
          <w:color w:val="000000"/>
          <w:shd w:val="clear" w:color="auto" w:fill="F5F5F5"/>
        </w:rPr>
        <w:t>mechanismem působení</w:t>
      </w:r>
      <w:r w:rsidR="00446C9A" w:rsidRPr="00446C9A">
        <w:rPr>
          <w:rFonts w:cstheme="minorHAnsi"/>
          <w:color w:val="000000"/>
          <w:shd w:val="clear" w:color="auto" w:fill="F5F5F5"/>
        </w:rPr>
        <w:t>. Nejčastějšími jsou CRS a (akutní) kožní toxicita. Povaha a vysoká frekvence</w:t>
      </w:r>
      <w:r w:rsidR="00FE1A61">
        <w:rPr>
          <w:rFonts w:cstheme="minorHAnsi"/>
          <w:color w:val="000000"/>
          <w:shd w:val="clear" w:color="auto" w:fill="F5F5F5"/>
        </w:rPr>
        <w:t xml:space="preserve"> NÚ</w:t>
      </w:r>
      <w:r w:rsidR="00446C9A" w:rsidRPr="00446C9A">
        <w:rPr>
          <w:rFonts w:cstheme="minorHAnsi"/>
          <w:color w:val="000000"/>
          <w:shd w:val="clear" w:color="auto" w:fill="F5F5F5"/>
        </w:rPr>
        <w:t xml:space="preserve">, zejména CRS, se zcela liší od většiny v současnosti dostupných protirakovinných léčebných postupů a znamená, že podmínky, za kterých pacienti dostávají </w:t>
      </w:r>
      <w:r w:rsidR="00FE1A61">
        <w:rPr>
          <w:rFonts w:cstheme="minorHAnsi"/>
          <w:color w:val="000000"/>
          <w:shd w:val="clear" w:color="auto" w:fill="F5F5F5"/>
        </w:rPr>
        <w:t xml:space="preserve">tuto </w:t>
      </w:r>
      <w:r w:rsidR="00446C9A" w:rsidRPr="00446C9A">
        <w:rPr>
          <w:rFonts w:cstheme="minorHAnsi"/>
          <w:color w:val="000000"/>
          <w:shd w:val="clear" w:color="auto" w:fill="F5F5F5"/>
        </w:rPr>
        <w:t>léčbu, musí být</w:t>
      </w:r>
      <w:r w:rsidR="00FE1A61">
        <w:rPr>
          <w:rFonts w:cstheme="minorHAnsi"/>
          <w:color w:val="000000"/>
          <w:shd w:val="clear" w:color="auto" w:fill="F5F5F5"/>
        </w:rPr>
        <w:t xml:space="preserve"> přiměřené</w:t>
      </w:r>
      <w:r w:rsidR="00446C9A" w:rsidRPr="00446C9A">
        <w:rPr>
          <w:rFonts w:cstheme="minorHAnsi"/>
          <w:color w:val="000000"/>
          <w:shd w:val="clear" w:color="auto" w:fill="F5F5F5"/>
        </w:rPr>
        <w:t>.</w:t>
      </w:r>
    </w:p>
    <w:p w14:paraId="4FAF44DA" w14:textId="77777777" w:rsidR="006703FB" w:rsidRPr="00446C9A" w:rsidRDefault="006703FB" w:rsidP="00245157">
      <w:pPr>
        <w:spacing w:after="0"/>
        <w:ind w:firstLine="708"/>
        <w:jc w:val="both"/>
        <w:rPr>
          <w:rFonts w:cstheme="minorHAnsi"/>
          <w:bCs/>
        </w:rPr>
      </w:pPr>
    </w:p>
    <w:p w14:paraId="5DEC2E64" w14:textId="77777777" w:rsidR="00245157" w:rsidRPr="00446C9A" w:rsidRDefault="00245157" w:rsidP="002C6226">
      <w:pPr>
        <w:ind w:firstLine="708"/>
        <w:jc w:val="both"/>
        <w:rPr>
          <w:rFonts w:cstheme="minorHAnsi"/>
          <w:bCs/>
        </w:rPr>
      </w:pPr>
    </w:p>
    <w:p w14:paraId="109C0EC1" w14:textId="77777777" w:rsidR="00C134F2" w:rsidRPr="00283567" w:rsidRDefault="00C314F6" w:rsidP="00283567">
      <w:pPr>
        <w:pStyle w:val="Odstavecseseznamem"/>
        <w:numPr>
          <w:ilvl w:val="0"/>
          <w:numId w:val="15"/>
        </w:numPr>
        <w:rPr>
          <w:b/>
          <w:spacing w:val="60"/>
          <w:u w:val="single"/>
        </w:rPr>
      </w:pPr>
      <w:r w:rsidRPr="00283567">
        <w:rPr>
          <w:b/>
          <w:spacing w:val="60"/>
          <w:u w:val="single"/>
        </w:rPr>
        <w:lastRenderedPageBreak/>
        <w:t>Náklad</w:t>
      </w:r>
      <w:r w:rsidR="007A5C07" w:rsidRPr="00283567">
        <w:rPr>
          <w:b/>
          <w:spacing w:val="60"/>
          <w:u w:val="single"/>
        </w:rPr>
        <w:t>y:</w:t>
      </w:r>
    </w:p>
    <w:p w14:paraId="0D4CD37F" w14:textId="201FD98D" w:rsidR="00012573" w:rsidRDefault="005E622F" w:rsidP="002C6226">
      <w:pPr>
        <w:spacing w:after="0"/>
      </w:pPr>
      <w:r>
        <w:t xml:space="preserve">Dávkování bylo v souladu se studií </w:t>
      </w:r>
      <w:r>
        <w:rPr>
          <w:bCs/>
        </w:rPr>
        <w:t xml:space="preserve">Nathan </w:t>
      </w:r>
      <w:r w:rsidRPr="008127B4">
        <w:rPr>
          <w:bCs/>
          <w:i/>
        </w:rPr>
        <w:t>et al</w:t>
      </w:r>
      <w:r>
        <w:rPr>
          <w:bCs/>
        </w:rPr>
        <w:t>. (2021)</w:t>
      </w:r>
      <w:r>
        <w:t xml:space="preserve"> a s SPC příslušných LP:</w:t>
      </w:r>
    </w:p>
    <w:tbl>
      <w:tblPr>
        <w:tblW w:w="10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680"/>
        <w:gridCol w:w="4180"/>
      </w:tblGrid>
      <w:tr w:rsidR="005E622F" w:rsidRPr="005E622F" w14:paraId="1930EB8B" w14:textId="77777777" w:rsidTr="00CF0780">
        <w:trPr>
          <w:trHeight w:val="350"/>
        </w:trPr>
        <w:tc>
          <w:tcPr>
            <w:tcW w:w="4700" w:type="dxa"/>
            <w:shd w:val="clear" w:color="auto" w:fill="FBD4B4" w:themeFill="accent6" w:themeFillTint="66"/>
            <w:noWrap/>
            <w:vAlign w:val="center"/>
            <w:hideMark/>
          </w:tcPr>
          <w:p w14:paraId="4F32C391" w14:textId="77777777" w:rsidR="005E622F" w:rsidRPr="005E622F" w:rsidRDefault="005E622F" w:rsidP="00CF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62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LP</w:t>
            </w:r>
          </w:p>
        </w:tc>
        <w:tc>
          <w:tcPr>
            <w:tcW w:w="1680" w:type="dxa"/>
            <w:shd w:val="clear" w:color="auto" w:fill="FBD4B4" w:themeFill="accent6" w:themeFillTint="66"/>
            <w:noWrap/>
            <w:vAlign w:val="center"/>
            <w:hideMark/>
          </w:tcPr>
          <w:p w14:paraId="69856345" w14:textId="77777777" w:rsidR="005E622F" w:rsidRPr="005E622F" w:rsidRDefault="005E622F" w:rsidP="00CF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62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látka</w:t>
            </w:r>
          </w:p>
        </w:tc>
        <w:tc>
          <w:tcPr>
            <w:tcW w:w="4180" w:type="dxa"/>
            <w:shd w:val="clear" w:color="auto" w:fill="FBD4B4" w:themeFill="accent6" w:themeFillTint="66"/>
            <w:noWrap/>
            <w:vAlign w:val="center"/>
            <w:hideMark/>
          </w:tcPr>
          <w:p w14:paraId="3D3E46DA" w14:textId="77777777" w:rsidR="005E622F" w:rsidRPr="005E622F" w:rsidRDefault="005E622F" w:rsidP="00CF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E62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dávkovací schéma</w:t>
            </w:r>
          </w:p>
        </w:tc>
      </w:tr>
      <w:tr w:rsidR="005E622F" w:rsidRPr="005E622F" w14:paraId="09DF3726" w14:textId="77777777" w:rsidTr="005B690E">
        <w:trPr>
          <w:trHeight w:val="771"/>
        </w:trPr>
        <w:tc>
          <w:tcPr>
            <w:tcW w:w="47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C8FEE1" w14:textId="77777777" w:rsidR="005E622F" w:rsidRPr="005E622F" w:rsidRDefault="005E622F" w:rsidP="005E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>KIMMTRAK 100MCG/0,5ML INF CNC SOL 1X0,5ML</w:t>
            </w: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E6A6E0" w14:textId="77777777" w:rsidR="005E622F" w:rsidRPr="005E622F" w:rsidRDefault="005E622F" w:rsidP="005E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>tebentafusp</w:t>
            </w:r>
          </w:p>
        </w:tc>
        <w:tc>
          <w:tcPr>
            <w:tcW w:w="4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9CAE81" w14:textId="77777777" w:rsidR="005E622F" w:rsidRPr="005E622F" w:rsidRDefault="005E622F" w:rsidP="005E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den 20 </w:t>
            </w:r>
            <w:proofErr w:type="spellStart"/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>ug</w:t>
            </w:r>
            <w:proofErr w:type="spellEnd"/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8. den 30 </w:t>
            </w:r>
            <w:proofErr w:type="spellStart"/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>ug</w:t>
            </w:r>
            <w:proofErr w:type="spellEnd"/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15. den 68 </w:t>
            </w:r>
            <w:proofErr w:type="spellStart"/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>ug</w:t>
            </w:r>
            <w:proofErr w:type="spellEnd"/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Pr="005E62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Dále 68 </w:t>
            </w:r>
            <w:proofErr w:type="spellStart"/>
            <w:r w:rsidRPr="005E62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ug</w:t>
            </w:r>
            <w:proofErr w:type="spellEnd"/>
            <w:r w:rsidRPr="005E622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každý týden</w:t>
            </w:r>
          </w:p>
        </w:tc>
      </w:tr>
      <w:tr w:rsidR="005E622F" w:rsidRPr="005E622F" w14:paraId="23BA714E" w14:textId="77777777" w:rsidTr="002C6226">
        <w:trPr>
          <w:trHeight w:val="350"/>
        </w:trPr>
        <w:tc>
          <w:tcPr>
            <w:tcW w:w="47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536DB1" w14:textId="77777777" w:rsidR="005E622F" w:rsidRPr="005E622F" w:rsidRDefault="005E622F" w:rsidP="005E62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5E622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KEYTRUDA 25MG/ML INF CNC SOL 1X4ML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A404AE" w14:textId="77777777" w:rsidR="005E622F" w:rsidRPr="005E622F" w:rsidRDefault="005E622F" w:rsidP="005E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>pembrolizumab</w:t>
            </w:r>
          </w:p>
        </w:tc>
        <w:tc>
          <w:tcPr>
            <w:tcW w:w="41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5457D6" w14:textId="77777777" w:rsidR="005E622F" w:rsidRPr="005E622F" w:rsidRDefault="005E622F" w:rsidP="005E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E622F">
              <w:rPr>
                <w:rFonts w:ascii="Calibri" w:eastAsia="Times New Roman" w:hAnsi="Calibri" w:cs="Calibri"/>
                <w:color w:val="000000"/>
                <w:lang w:eastAsia="cs-CZ"/>
              </w:rPr>
              <w:t>2 mg/kg každých 21 dní</w:t>
            </w:r>
          </w:p>
        </w:tc>
      </w:tr>
      <w:tr w:rsidR="002C6226" w:rsidRPr="005E622F" w14:paraId="1F6EC454" w14:textId="77777777" w:rsidTr="005B690E">
        <w:trPr>
          <w:trHeight w:val="350"/>
        </w:trPr>
        <w:tc>
          <w:tcPr>
            <w:tcW w:w="47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01629B9" w14:textId="77777777" w:rsidR="002C6226" w:rsidRPr="002C6226" w:rsidRDefault="002C6226" w:rsidP="005E622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16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4B7ECB" w14:textId="77777777" w:rsidR="002C6226" w:rsidRPr="005E622F" w:rsidRDefault="002C6226" w:rsidP="005E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4BEA77" w14:textId="77777777" w:rsidR="002C6226" w:rsidRPr="005E622F" w:rsidRDefault="002C6226" w:rsidP="005E6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2CCD5CF" w14:textId="6FFBAE18" w:rsidR="007004C5" w:rsidRDefault="00546691" w:rsidP="00012573">
      <w:r>
        <w:t>Dávkování LP KEYTRUDA bylo počítáno na člověka průměrné tělesné konstituce, tj. hmotnost 80 kg a BSA 2 m</w:t>
      </w:r>
      <w:r w:rsidRPr="00546691">
        <w:rPr>
          <w:vertAlign w:val="superscript"/>
        </w:rPr>
        <w:t>2</w:t>
      </w:r>
      <w:r>
        <w:t>.</w:t>
      </w:r>
    </w:p>
    <w:p w14:paraId="4485702D" w14:textId="479ECBE5" w:rsidR="00012573" w:rsidRDefault="007004C5" w:rsidP="002C6226">
      <w:pPr>
        <w:spacing w:after="0"/>
      </w:pPr>
      <w:r>
        <w:t>Aktuální ceny k 28.7.2022 vč. DPH 10 % jsou následující:</w:t>
      </w:r>
    </w:p>
    <w:tbl>
      <w:tblPr>
        <w:tblW w:w="775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5"/>
        <w:gridCol w:w="2049"/>
      </w:tblGrid>
      <w:tr w:rsidR="007004C5" w:rsidRPr="007004C5" w14:paraId="4C694D80" w14:textId="77777777" w:rsidTr="007004C5">
        <w:trPr>
          <w:trHeight w:val="401"/>
        </w:trPr>
        <w:tc>
          <w:tcPr>
            <w:tcW w:w="5705" w:type="dxa"/>
            <w:shd w:val="clear" w:color="auto" w:fill="E5B8B7" w:themeFill="accent2" w:themeFillTint="66"/>
            <w:noWrap/>
            <w:vAlign w:val="center"/>
            <w:hideMark/>
          </w:tcPr>
          <w:p w14:paraId="57CC291F" w14:textId="77777777" w:rsidR="007004C5" w:rsidRPr="007004C5" w:rsidRDefault="007004C5" w:rsidP="0070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0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LP</w:t>
            </w:r>
          </w:p>
        </w:tc>
        <w:tc>
          <w:tcPr>
            <w:tcW w:w="2049" w:type="dxa"/>
            <w:shd w:val="clear" w:color="auto" w:fill="E5B8B7" w:themeFill="accent2" w:themeFillTint="66"/>
            <w:noWrap/>
            <w:vAlign w:val="center"/>
            <w:hideMark/>
          </w:tcPr>
          <w:p w14:paraId="4E527542" w14:textId="77777777" w:rsidR="007004C5" w:rsidRPr="007004C5" w:rsidRDefault="007004C5" w:rsidP="0070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00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balení</w:t>
            </w:r>
          </w:p>
        </w:tc>
      </w:tr>
      <w:tr w:rsidR="007004C5" w:rsidRPr="007004C5" w14:paraId="25FF2580" w14:textId="77777777" w:rsidTr="007004C5">
        <w:trPr>
          <w:trHeight w:val="401"/>
        </w:trPr>
        <w:tc>
          <w:tcPr>
            <w:tcW w:w="5705" w:type="dxa"/>
            <w:shd w:val="clear" w:color="auto" w:fill="auto"/>
            <w:noWrap/>
            <w:vAlign w:val="center"/>
            <w:hideMark/>
          </w:tcPr>
          <w:p w14:paraId="7ECF103F" w14:textId="77777777" w:rsidR="007004C5" w:rsidRPr="007004C5" w:rsidRDefault="007004C5" w:rsidP="0070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04C5">
              <w:rPr>
                <w:rFonts w:ascii="Calibri" w:eastAsia="Times New Roman" w:hAnsi="Calibri" w:cs="Calibri"/>
                <w:color w:val="000000"/>
                <w:lang w:eastAsia="cs-CZ"/>
              </w:rPr>
              <w:t>KIMMTRAK 100MCG/0,5ML INF CNC SOL 1X0,5ML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14:paraId="68AF3E8A" w14:textId="66531B45" w:rsidR="007004C5" w:rsidRPr="007004C5" w:rsidRDefault="007004C5" w:rsidP="0070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04C5">
              <w:rPr>
                <w:rFonts w:ascii="Calibri" w:eastAsia="Times New Roman" w:hAnsi="Calibri" w:cs="Calibri"/>
                <w:color w:val="000000"/>
                <w:lang w:eastAsia="cs-CZ"/>
              </w:rPr>
              <w:t>342 817,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04C5">
              <w:rPr>
                <w:rFonts w:ascii="Calibri" w:eastAsia="Times New Roman" w:hAnsi="Calibri" w:cs="Calibri"/>
                <w:color w:val="000000"/>
                <w:lang w:eastAsia="cs-CZ"/>
              </w:rPr>
              <w:t>00 Kč</w:t>
            </w:r>
          </w:p>
        </w:tc>
      </w:tr>
      <w:tr w:rsidR="007004C5" w:rsidRPr="007004C5" w14:paraId="12E86923" w14:textId="77777777" w:rsidTr="007004C5">
        <w:trPr>
          <w:trHeight w:val="401"/>
        </w:trPr>
        <w:tc>
          <w:tcPr>
            <w:tcW w:w="5705" w:type="dxa"/>
            <w:shd w:val="clear" w:color="auto" w:fill="auto"/>
            <w:noWrap/>
            <w:vAlign w:val="center"/>
            <w:hideMark/>
          </w:tcPr>
          <w:p w14:paraId="484E7285" w14:textId="77777777" w:rsidR="007004C5" w:rsidRPr="007004C5" w:rsidRDefault="007004C5" w:rsidP="007004C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7004C5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KEYTRUDA 25MG/ML INF CNC SOL 1X4ML</w:t>
            </w:r>
          </w:p>
        </w:tc>
        <w:tc>
          <w:tcPr>
            <w:tcW w:w="2049" w:type="dxa"/>
            <w:shd w:val="clear" w:color="auto" w:fill="auto"/>
            <w:noWrap/>
            <w:vAlign w:val="center"/>
            <w:hideMark/>
          </w:tcPr>
          <w:p w14:paraId="048C3C0D" w14:textId="3200DE0B" w:rsidR="007004C5" w:rsidRPr="007004C5" w:rsidRDefault="007004C5" w:rsidP="00700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004C5">
              <w:rPr>
                <w:rFonts w:ascii="Calibri" w:eastAsia="Times New Roman" w:hAnsi="Calibri" w:cs="Calibri"/>
                <w:color w:val="000000"/>
                <w:lang w:eastAsia="cs-CZ"/>
              </w:rPr>
              <w:t>59 093,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7004C5">
              <w:rPr>
                <w:rFonts w:ascii="Calibri" w:eastAsia="Times New Roman" w:hAnsi="Calibri" w:cs="Calibri"/>
                <w:color w:val="000000"/>
                <w:lang w:eastAsia="cs-CZ"/>
              </w:rPr>
              <w:t>00 Kč</w:t>
            </w:r>
          </w:p>
        </w:tc>
      </w:tr>
    </w:tbl>
    <w:p w14:paraId="1B0DB00A" w14:textId="77777777" w:rsidR="007004C5" w:rsidRDefault="007004C5" w:rsidP="002C6226">
      <w:pPr>
        <w:spacing w:after="0"/>
      </w:pPr>
    </w:p>
    <w:p w14:paraId="3BFA76CE" w14:textId="4F3C3777" w:rsidR="00012573" w:rsidRDefault="00D01B6F" w:rsidP="002C6226">
      <w:pPr>
        <w:spacing w:after="0"/>
      </w:pPr>
      <w:r>
        <w:t xml:space="preserve">Zde jsou uvedený ceny za 6 měsíců </w:t>
      </w:r>
      <w:r w:rsidRPr="00F76CBD">
        <w:rPr>
          <w:b/>
        </w:rPr>
        <w:t>rovnoměrně rozložené</w:t>
      </w:r>
      <w:r>
        <w:t xml:space="preserve"> terapie:</w:t>
      </w:r>
    </w:p>
    <w:tbl>
      <w:tblPr>
        <w:tblW w:w="803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4"/>
        <w:gridCol w:w="3195"/>
      </w:tblGrid>
      <w:tr w:rsidR="00D01B6F" w:rsidRPr="00D01B6F" w14:paraId="7D965073" w14:textId="77777777" w:rsidTr="00CF0780">
        <w:trPr>
          <w:trHeight w:val="406"/>
        </w:trPr>
        <w:tc>
          <w:tcPr>
            <w:tcW w:w="4844" w:type="dxa"/>
            <w:shd w:val="clear" w:color="auto" w:fill="FABF8F" w:themeFill="accent6" w:themeFillTint="99"/>
            <w:noWrap/>
            <w:vAlign w:val="center"/>
            <w:hideMark/>
          </w:tcPr>
          <w:p w14:paraId="028720CB" w14:textId="77777777" w:rsidR="00D01B6F" w:rsidRPr="00D01B6F" w:rsidRDefault="00D01B6F" w:rsidP="00CF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1B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LP</w:t>
            </w:r>
          </w:p>
        </w:tc>
        <w:tc>
          <w:tcPr>
            <w:tcW w:w="3195" w:type="dxa"/>
            <w:shd w:val="clear" w:color="auto" w:fill="FABF8F" w:themeFill="accent6" w:themeFillTint="99"/>
            <w:noWrap/>
            <w:vAlign w:val="center"/>
            <w:hideMark/>
          </w:tcPr>
          <w:p w14:paraId="1501B556" w14:textId="77777777" w:rsidR="00D01B6F" w:rsidRPr="00D01B6F" w:rsidRDefault="00D01B6F" w:rsidP="00CF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01B6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6 měsíců terapie</w:t>
            </w:r>
          </w:p>
        </w:tc>
      </w:tr>
      <w:tr w:rsidR="00D01B6F" w:rsidRPr="00D01B6F" w14:paraId="29D34AF6" w14:textId="77777777" w:rsidTr="005B690E">
        <w:trPr>
          <w:trHeight w:val="406"/>
        </w:trPr>
        <w:tc>
          <w:tcPr>
            <w:tcW w:w="4844" w:type="dxa"/>
            <w:shd w:val="clear" w:color="auto" w:fill="auto"/>
            <w:noWrap/>
            <w:vAlign w:val="center"/>
            <w:hideMark/>
          </w:tcPr>
          <w:p w14:paraId="0A994311" w14:textId="77777777" w:rsidR="00D01B6F" w:rsidRPr="00D01B6F" w:rsidRDefault="00D01B6F" w:rsidP="00D0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B6F">
              <w:rPr>
                <w:rFonts w:ascii="Calibri" w:eastAsia="Times New Roman" w:hAnsi="Calibri" w:cs="Calibri"/>
                <w:color w:val="000000"/>
                <w:lang w:eastAsia="cs-CZ"/>
              </w:rPr>
              <w:t>KIMMTRAK 100MCG/0,5ML INF CNC SOL 1X0,5ML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14:paraId="34AE9D3F" w14:textId="5DD5721C" w:rsidR="00D01B6F" w:rsidRPr="00D01B6F" w:rsidRDefault="00D01B6F" w:rsidP="00D0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B6F">
              <w:rPr>
                <w:rFonts w:ascii="Calibri" w:eastAsia="Times New Roman" w:hAnsi="Calibri" w:cs="Calibri"/>
                <w:color w:val="000000"/>
                <w:lang w:eastAsia="cs-CZ"/>
              </w:rPr>
              <w:t>8 815 294,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01B6F">
              <w:rPr>
                <w:rFonts w:ascii="Calibri" w:eastAsia="Times New Roman" w:hAnsi="Calibri" w:cs="Calibri"/>
                <w:color w:val="000000"/>
                <w:lang w:eastAsia="cs-CZ"/>
              </w:rPr>
              <w:t>29 Kč</w:t>
            </w:r>
          </w:p>
        </w:tc>
      </w:tr>
      <w:tr w:rsidR="00D01B6F" w:rsidRPr="00D01B6F" w14:paraId="79248682" w14:textId="77777777" w:rsidTr="005B690E">
        <w:trPr>
          <w:trHeight w:val="406"/>
        </w:trPr>
        <w:tc>
          <w:tcPr>
            <w:tcW w:w="4844" w:type="dxa"/>
            <w:shd w:val="clear" w:color="auto" w:fill="auto"/>
            <w:noWrap/>
            <w:vAlign w:val="center"/>
            <w:hideMark/>
          </w:tcPr>
          <w:p w14:paraId="29EF8760" w14:textId="77777777" w:rsidR="00D01B6F" w:rsidRPr="00D01B6F" w:rsidRDefault="00D01B6F" w:rsidP="00D01B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D01B6F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KEYTRUDA 25MG/ML INF CNC SOL 1X4ML</w:t>
            </w:r>
          </w:p>
        </w:tc>
        <w:tc>
          <w:tcPr>
            <w:tcW w:w="3195" w:type="dxa"/>
            <w:shd w:val="clear" w:color="auto" w:fill="auto"/>
            <w:noWrap/>
            <w:vAlign w:val="bottom"/>
            <w:hideMark/>
          </w:tcPr>
          <w:p w14:paraId="652936B4" w14:textId="608781A0" w:rsidR="00D01B6F" w:rsidRPr="00D01B6F" w:rsidRDefault="00D01B6F" w:rsidP="00D01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01B6F">
              <w:rPr>
                <w:rFonts w:ascii="Calibri" w:eastAsia="Times New Roman" w:hAnsi="Calibri" w:cs="Calibri"/>
                <w:color w:val="000000"/>
                <w:lang w:eastAsia="cs-CZ"/>
              </w:rPr>
              <w:t>680 228,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D01B6F">
              <w:rPr>
                <w:rFonts w:ascii="Calibri" w:eastAsia="Times New Roman" w:hAnsi="Calibri" w:cs="Calibri"/>
                <w:color w:val="000000"/>
                <w:lang w:eastAsia="cs-CZ"/>
              </w:rPr>
              <w:t>57 Kč</w:t>
            </w:r>
          </w:p>
        </w:tc>
      </w:tr>
      <w:tr w:rsidR="00E85E23" w:rsidRPr="00D01B6F" w14:paraId="09B119AF" w14:textId="77777777" w:rsidTr="005B690E">
        <w:trPr>
          <w:trHeight w:val="406"/>
        </w:trPr>
        <w:tc>
          <w:tcPr>
            <w:tcW w:w="4844" w:type="dxa"/>
            <w:shd w:val="clear" w:color="auto" w:fill="auto"/>
            <w:noWrap/>
            <w:vAlign w:val="center"/>
          </w:tcPr>
          <w:p w14:paraId="41896267" w14:textId="77777777" w:rsidR="00E85E23" w:rsidRDefault="00E85E23" w:rsidP="00D01B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</w:p>
          <w:p w14:paraId="293FB792" w14:textId="77777777" w:rsidR="00E85E23" w:rsidRDefault="00E85E23" w:rsidP="00D01B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</w:p>
          <w:p w14:paraId="1430FAA4" w14:textId="01B686BB" w:rsidR="00E85E23" w:rsidRPr="00D01B6F" w:rsidRDefault="00E85E23" w:rsidP="00D01B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95" w:type="dxa"/>
            <w:shd w:val="clear" w:color="auto" w:fill="auto"/>
            <w:noWrap/>
            <w:vAlign w:val="bottom"/>
          </w:tcPr>
          <w:p w14:paraId="360C1C94" w14:textId="77777777" w:rsidR="00E85E23" w:rsidRPr="00D01B6F" w:rsidRDefault="00E85E23" w:rsidP="00E85E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E981118" w14:textId="181F32DF" w:rsidR="000E6DA6" w:rsidRPr="00322429" w:rsidRDefault="00D01B6F" w:rsidP="00E85E23">
      <w:pPr>
        <w:spacing w:after="0"/>
        <w:jc w:val="both"/>
      </w:pPr>
      <w:r>
        <w:t xml:space="preserve">Pro zrcadlení reálné situace byla použita data ze studie </w:t>
      </w:r>
      <w:r>
        <w:rPr>
          <w:bCs/>
        </w:rPr>
        <w:t xml:space="preserve">Nathan </w:t>
      </w:r>
      <w:r w:rsidRPr="008127B4">
        <w:rPr>
          <w:bCs/>
          <w:i/>
        </w:rPr>
        <w:t>et al</w:t>
      </w:r>
      <w:r>
        <w:rPr>
          <w:bCs/>
        </w:rPr>
        <w:t>. (2021)</w:t>
      </w:r>
      <w:r w:rsidR="000D5397" w:rsidRPr="000D5397">
        <w:rPr>
          <w:bCs/>
          <w:vertAlign w:val="superscript"/>
        </w:rPr>
        <w:t>3</w:t>
      </w:r>
      <w:r>
        <w:rPr>
          <w:bCs/>
        </w:rPr>
        <w:t xml:space="preserve">. Pro výpočet ceny terapie byl použit </w:t>
      </w:r>
      <w:r w:rsidRPr="00A23514">
        <w:rPr>
          <w:b/>
          <w:bCs/>
        </w:rPr>
        <w:t>průměr</w:t>
      </w:r>
      <w:r>
        <w:rPr>
          <w:bCs/>
        </w:rPr>
        <w:t xml:space="preserve"> doby, po kterou bylo dané léčivo podáváno. Tebentafusp byl podáván průměrně 218 dní (SD = 190), pembrolizumab 132 dní (SD = 140)</w:t>
      </w:r>
      <w:r w:rsidR="00A23514">
        <w:rPr>
          <w:bCs/>
        </w:rPr>
        <w:t>. Byla taky započítána hodnota relativní intenzity dávky (T = 1, P = 0,91) do bodových hodnot vycházející z průměru. Do hodnot odchylek započítána nebyla.</w:t>
      </w:r>
    </w:p>
    <w:tbl>
      <w:tblPr>
        <w:tblW w:w="1044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"/>
        <w:gridCol w:w="4508"/>
        <w:gridCol w:w="2270"/>
        <w:gridCol w:w="2237"/>
      </w:tblGrid>
      <w:tr w:rsidR="00CA2167" w:rsidRPr="000E6DA6" w14:paraId="625E390E" w14:textId="77777777" w:rsidTr="005B690E">
        <w:trPr>
          <w:trHeight w:val="509"/>
        </w:trPr>
        <w:tc>
          <w:tcPr>
            <w:tcW w:w="0" w:type="auto"/>
            <w:shd w:val="clear" w:color="auto" w:fill="943634" w:themeFill="accent2" w:themeFillShade="BF"/>
            <w:noWrap/>
            <w:vAlign w:val="center"/>
            <w:hideMark/>
          </w:tcPr>
          <w:p w14:paraId="2880C6BD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lang w:eastAsia="cs-CZ"/>
              </w:rPr>
              <w:t>LP</w:t>
            </w:r>
          </w:p>
        </w:tc>
        <w:tc>
          <w:tcPr>
            <w:tcW w:w="4508" w:type="dxa"/>
            <w:shd w:val="clear" w:color="auto" w:fill="943634" w:themeFill="accent2" w:themeFillShade="BF"/>
            <w:noWrap/>
            <w:vAlign w:val="center"/>
            <w:hideMark/>
          </w:tcPr>
          <w:p w14:paraId="6F551208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0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b/>
                <w:color w:val="FFFFFF" w:themeColor="background1"/>
                <w:sz w:val="24"/>
                <w:szCs w:val="20"/>
                <w:lang w:eastAsia="cs-CZ"/>
              </w:rPr>
              <w:t>Cena za průměrnou délku podávání</w:t>
            </w:r>
          </w:p>
        </w:tc>
        <w:tc>
          <w:tcPr>
            <w:tcW w:w="2270" w:type="dxa"/>
            <w:shd w:val="clear" w:color="auto" w:fill="943634" w:themeFill="accent2" w:themeFillShade="BF"/>
            <w:noWrap/>
            <w:vAlign w:val="center"/>
            <w:hideMark/>
          </w:tcPr>
          <w:p w14:paraId="2DA1A0CA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cs-CZ"/>
              </w:rPr>
              <w:t>dolní hranice SD</w:t>
            </w:r>
          </w:p>
        </w:tc>
        <w:tc>
          <w:tcPr>
            <w:tcW w:w="0" w:type="auto"/>
            <w:shd w:val="clear" w:color="auto" w:fill="943634" w:themeFill="accent2" w:themeFillShade="BF"/>
            <w:noWrap/>
            <w:vAlign w:val="center"/>
            <w:hideMark/>
          </w:tcPr>
          <w:p w14:paraId="2CA21DCE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b/>
                <w:color w:val="FFFFFF" w:themeColor="background1"/>
                <w:sz w:val="24"/>
                <w:lang w:eastAsia="cs-CZ"/>
              </w:rPr>
              <w:t>horní hranice SD</w:t>
            </w:r>
          </w:p>
        </w:tc>
      </w:tr>
      <w:tr w:rsidR="005B690E" w:rsidRPr="000E6DA6" w14:paraId="31829FCC" w14:textId="77777777" w:rsidTr="005B690E">
        <w:trPr>
          <w:trHeight w:val="50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FCA64" w14:textId="4E7CF120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color w:val="000000"/>
                <w:lang w:eastAsia="cs-CZ"/>
              </w:rPr>
              <w:t>KIMMTRAK</w:t>
            </w:r>
          </w:p>
        </w:tc>
        <w:tc>
          <w:tcPr>
            <w:tcW w:w="4508" w:type="dxa"/>
            <w:shd w:val="clear" w:color="auto" w:fill="auto"/>
            <w:noWrap/>
            <w:vAlign w:val="center"/>
            <w:hideMark/>
          </w:tcPr>
          <w:p w14:paraId="7FC44547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  <w:t>10 665 036,87 Kč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7A2A4AA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1 360 004,01 Kč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3C894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19 970 069,73 Kč</w:t>
            </w:r>
          </w:p>
        </w:tc>
      </w:tr>
      <w:tr w:rsidR="005B690E" w:rsidRPr="000E6DA6" w14:paraId="12EC0A07" w14:textId="77777777" w:rsidTr="005B690E">
        <w:trPr>
          <w:trHeight w:val="50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91A44" w14:textId="2A3B32C4" w:rsidR="000E6DA6" w:rsidRPr="000E6DA6" w:rsidRDefault="000E6DA6" w:rsidP="00CA216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</w:pPr>
            <w:r w:rsidRPr="000E6DA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cs-CZ"/>
              </w:rPr>
              <w:t>KEYTRUDA</w:t>
            </w:r>
          </w:p>
        </w:tc>
        <w:tc>
          <w:tcPr>
            <w:tcW w:w="4508" w:type="dxa"/>
            <w:shd w:val="clear" w:color="auto" w:fill="auto"/>
            <w:noWrap/>
            <w:vAlign w:val="center"/>
            <w:hideMark/>
          </w:tcPr>
          <w:p w14:paraId="58B195A4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  <w:t>452 219,73 Kč</w:t>
            </w:r>
          </w:p>
        </w:tc>
        <w:tc>
          <w:tcPr>
            <w:tcW w:w="2270" w:type="dxa"/>
            <w:shd w:val="clear" w:color="auto" w:fill="auto"/>
            <w:noWrap/>
            <w:vAlign w:val="center"/>
            <w:hideMark/>
          </w:tcPr>
          <w:p w14:paraId="2FC6A6FF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79 360,00 Kč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1461F" w14:textId="77777777" w:rsidR="000E6DA6" w:rsidRPr="000E6DA6" w:rsidRDefault="000E6DA6" w:rsidP="00CA21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0E6DA6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981 286,40 Kč</w:t>
            </w:r>
          </w:p>
        </w:tc>
      </w:tr>
    </w:tbl>
    <w:p w14:paraId="09C924D3" w14:textId="6C81EDB2" w:rsidR="000E6DA6" w:rsidRDefault="00E25553" w:rsidP="00012573">
      <w:pPr>
        <w:rPr>
          <w:i/>
          <w:sz w:val="18"/>
        </w:rPr>
      </w:pPr>
      <w:proofErr w:type="spellStart"/>
      <w:r w:rsidRPr="005B690E">
        <w:rPr>
          <w:i/>
          <w:sz w:val="18"/>
        </w:rPr>
        <w:t>Pozn</w:t>
      </w:r>
      <w:proofErr w:type="spellEnd"/>
      <w:r w:rsidRPr="005B690E">
        <w:rPr>
          <w:i/>
          <w:sz w:val="18"/>
        </w:rPr>
        <w:t xml:space="preserve">: SD – směrodatná odchylka. Vzhledem k tomu, že u skupiny pacientů léčených </w:t>
      </w:r>
      <w:proofErr w:type="spellStart"/>
      <w:r w:rsidRPr="005B690E">
        <w:rPr>
          <w:i/>
          <w:sz w:val="18"/>
        </w:rPr>
        <w:t>pembrolizumabem</w:t>
      </w:r>
      <w:proofErr w:type="spellEnd"/>
      <w:r w:rsidRPr="005B690E">
        <w:rPr>
          <w:i/>
          <w:sz w:val="18"/>
        </w:rPr>
        <w:t xml:space="preserve"> je SD větší než hodnota samotného průměru, dolní hranice by vyšla v záporných hodnotách. Z podstaty věci tohle není možné. Jako dolní hranice byla tedy uvažována cena za jeden podaný cyklus </w:t>
      </w:r>
      <w:proofErr w:type="spellStart"/>
      <w:r w:rsidRPr="005B690E">
        <w:rPr>
          <w:i/>
          <w:sz w:val="18"/>
        </w:rPr>
        <w:t>pembrolizumabu</w:t>
      </w:r>
      <w:proofErr w:type="spellEnd"/>
      <w:r w:rsidRPr="005B690E">
        <w:rPr>
          <w:i/>
          <w:sz w:val="18"/>
        </w:rPr>
        <w:t xml:space="preserve">. </w:t>
      </w:r>
    </w:p>
    <w:p w14:paraId="022F8949" w14:textId="4ECA8806" w:rsidR="00D01B6F" w:rsidRDefault="00490C98" w:rsidP="00490C98">
      <w:pPr>
        <w:keepNext/>
      </w:pPr>
      <w:r>
        <w:rPr>
          <w:noProof/>
        </w:rPr>
        <w:drawing>
          <wp:inline distT="0" distB="0" distL="0" distR="0" wp14:anchorId="4AD1356E" wp14:editId="56FBA256">
            <wp:extent cx="6574155" cy="210134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863" cy="2123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A62F45" w14:textId="7411C0CE" w:rsidR="00C97563" w:rsidRDefault="00490C98" w:rsidP="00322429">
      <w:pPr>
        <w:spacing w:after="360"/>
      </w:pPr>
      <w:r>
        <w:t xml:space="preserve">Graficky znázorněné možné cenové rozpětí za průměrnou dobu terapie </w:t>
      </w:r>
      <w:r>
        <w:rPr>
          <w:rFonts w:cstheme="minorHAnsi"/>
        </w:rPr>
        <w:t>±</w:t>
      </w:r>
      <w:r>
        <w:t xml:space="preserve"> SD. Z grafu ve vidět, že KEYTRUDA bude velmi pravděpodobně ve většině případů levnější variantou. </w:t>
      </w:r>
    </w:p>
    <w:p w14:paraId="43010E56" w14:textId="24461C36" w:rsidR="00C96CA4" w:rsidRPr="00C96CA4" w:rsidRDefault="000036D7" w:rsidP="003C5CE9">
      <w:pPr>
        <w:pStyle w:val="Odstavecseseznamem"/>
        <w:numPr>
          <w:ilvl w:val="0"/>
          <w:numId w:val="15"/>
        </w:numPr>
        <w:rPr>
          <w:b/>
          <w:spacing w:val="60"/>
          <w:u w:val="single"/>
        </w:rPr>
      </w:pPr>
      <w:r w:rsidRPr="00283567">
        <w:rPr>
          <w:b/>
          <w:spacing w:val="60"/>
          <w:u w:val="single"/>
        </w:rPr>
        <w:lastRenderedPageBreak/>
        <w:t>Nákladová efektivita: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2673"/>
        <w:gridCol w:w="2486"/>
        <w:gridCol w:w="2509"/>
      </w:tblGrid>
      <w:tr w:rsidR="003817B0" w:rsidRPr="00A87C24" w14:paraId="44E33396" w14:textId="77777777" w:rsidTr="003817B0">
        <w:trPr>
          <w:trHeight w:val="300"/>
        </w:trPr>
        <w:tc>
          <w:tcPr>
            <w:tcW w:w="0" w:type="auto"/>
            <w:shd w:val="clear" w:color="auto" w:fill="E5DFEC" w:themeFill="accent4" w:themeFillTint="33"/>
            <w:noWrap/>
            <w:vAlign w:val="center"/>
            <w:hideMark/>
          </w:tcPr>
          <w:p w14:paraId="2DF94548" w14:textId="77777777" w:rsidR="00A87C24" w:rsidRPr="00A87C24" w:rsidRDefault="00A87C24" w:rsidP="00A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E5DFEC" w:themeFill="accent4" w:themeFillTint="33"/>
            <w:noWrap/>
            <w:vAlign w:val="center"/>
            <w:hideMark/>
          </w:tcPr>
          <w:p w14:paraId="4EE39A05" w14:textId="77777777" w:rsidR="00A87C24" w:rsidRPr="00A87C24" w:rsidRDefault="00A87C24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7C24">
              <w:rPr>
                <w:rFonts w:ascii="Calibri" w:eastAsia="Times New Roman" w:hAnsi="Calibri" w:cs="Calibri"/>
                <w:color w:val="000000"/>
                <w:lang w:eastAsia="cs-CZ"/>
              </w:rPr>
              <w:t>Cena za průměrnou délku terapie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center"/>
            <w:hideMark/>
          </w:tcPr>
          <w:p w14:paraId="0C989ADF" w14:textId="77777777" w:rsidR="00A87C24" w:rsidRPr="00A87C24" w:rsidRDefault="00A87C24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7C24">
              <w:rPr>
                <w:rFonts w:ascii="Calibri" w:eastAsia="Times New Roman" w:hAnsi="Calibri" w:cs="Calibri"/>
                <w:color w:val="000000"/>
                <w:lang w:eastAsia="cs-CZ"/>
              </w:rPr>
              <w:t>dolní hranice cenového rozpětí</w:t>
            </w:r>
          </w:p>
        </w:tc>
        <w:tc>
          <w:tcPr>
            <w:tcW w:w="0" w:type="auto"/>
            <w:shd w:val="clear" w:color="auto" w:fill="E5DFEC" w:themeFill="accent4" w:themeFillTint="33"/>
            <w:noWrap/>
            <w:vAlign w:val="center"/>
            <w:hideMark/>
          </w:tcPr>
          <w:p w14:paraId="557A0373" w14:textId="77777777" w:rsidR="00A87C24" w:rsidRPr="00A87C24" w:rsidRDefault="00A87C24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7C24">
              <w:rPr>
                <w:rFonts w:ascii="Calibri" w:eastAsia="Times New Roman" w:hAnsi="Calibri" w:cs="Calibri"/>
                <w:color w:val="000000"/>
                <w:lang w:eastAsia="cs-CZ"/>
              </w:rPr>
              <w:t>horní hranice cenového rozpětí</w:t>
            </w:r>
          </w:p>
        </w:tc>
      </w:tr>
      <w:tr w:rsidR="00A87C24" w:rsidRPr="00A87C24" w14:paraId="36FA9994" w14:textId="77777777" w:rsidTr="003817B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ECF0B" w14:textId="77777777" w:rsidR="00A87C24" w:rsidRPr="00A87C24" w:rsidRDefault="00A87C24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7C24">
              <w:rPr>
                <w:rFonts w:ascii="Calibri" w:eastAsia="Times New Roman" w:hAnsi="Calibri" w:cs="Calibri"/>
                <w:color w:val="000000"/>
                <w:lang w:eastAsia="cs-CZ"/>
              </w:rPr>
              <w:t>Poměr cen KIMMTRAK/KEYTRUDA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9B2C3" w14:textId="77777777" w:rsidR="00A87C24" w:rsidRPr="00BD049A" w:rsidRDefault="00A87C24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</w:pPr>
            <w:r w:rsidRPr="00BD049A"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  <w:t>23,58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BAD8C" w14:textId="77777777" w:rsidR="00A87C24" w:rsidRPr="00A87C24" w:rsidRDefault="00A87C24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87C2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17,14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D8B01" w14:textId="77777777" w:rsidR="00A87C24" w:rsidRPr="00A87C24" w:rsidRDefault="00A87C24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A87C24"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  <w:t>20,35</w:t>
            </w:r>
          </w:p>
        </w:tc>
      </w:tr>
      <w:tr w:rsidR="00322429" w:rsidRPr="00A87C24" w14:paraId="65A509AD" w14:textId="77777777" w:rsidTr="003817B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76B346D8" w14:textId="77777777" w:rsidR="00322429" w:rsidRPr="00A87C24" w:rsidRDefault="00322429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B1C2A1" w14:textId="77777777" w:rsidR="00322429" w:rsidRPr="00BD049A" w:rsidRDefault="00322429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84858F" w14:textId="77777777" w:rsidR="00322429" w:rsidRPr="00A87C24" w:rsidRDefault="00322429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4AE72" w14:textId="77777777" w:rsidR="00322429" w:rsidRPr="00A87C24" w:rsidRDefault="00322429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  <w:tr w:rsidR="00E85E23" w:rsidRPr="00A87C24" w14:paraId="1A57B247" w14:textId="77777777" w:rsidTr="003817B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5F35A8C6" w14:textId="77777777" w:rsidR="00E85E23" w:rsidRPr="00A87C24" w:rsidRDefault="00E85E23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98AEF7" w14:textId="77777777" w:rsidR="00E85E23" w:rsidRPr="00BD049A" w:rsidRDefault="00E85E23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7CF6F3" w14:textId="77777777" w:rsidR="00E85E23" w:rsidRPr="00A87C24" w:rsidRDefault="00E85E23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1A8B1D" w14:textId="77777777" w:rsidR="00E85E23" w:rsidRPr="00A87C24" w:rsidRDefault="00E85E23" w:rsidP="00A8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</w:p>
        </w:tc>
      </w:tr>
    </w:tbl>
    <w:p w14:paraId="5B147951" w14:textId="0ED0F98A" w:rsidR="00AA557B" w:rsidRPr="00246F6D" w:rsidRDefault="00E533AC" w:rsidP="00322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</w:rPr>
      </w:pPr>
      <w:r w:rsidRPr="00246F6D">
        <w:rPr>
          <w:b/>
          <w:sz w:val="24"/>
        </w:rPr>
        <w:t xml:space="preserve">Použití LP KIMMTRAK bude v tuto chvíli přibližně dvacetinásobně nákladnější než použití LP KEYTRUDA. </w:t>
      </w:r>
      <w:r w:rsidR="000B2969" w:rsidRPr="00246F6D">
        <w:rPr>
          <w:b/>
          <w:sz w:val="24"/>
        </w:rPr>
        <w:t>V parametru celkové přežití je LP KIMMTRAK přibližně dvakrát tak lepší jak LP KEYTRUDA</w:t>
      </w:r>
      <w:r w:rsidR="008442C9">
        <w:rPr>
          <w:b/>
          <w:sz w:val="24"/>
        </w:rPr>
        <w:t>, vykazuje však v</w:t>
      </w:r>
      <w:r w:rsidR="00074291">
        <w:rPr>
          <w:b/>
          <w:sz w:val="24"/>
        </w:rPr>
        <w:t>ýznamně vyšší četnost nežádoucích účinků (přibl</w:t>
      </w:r>
      <w:r w:rsidR="002F63B1">
        <w:rPr>
          <w:b/>
          <w:sz w:val="24"/>
        </w:rPr>
        <w:t>ižně</w:t>
      </w:r>
      <w:r w:rsidR="00074291">
        <w:rPr>
          <w:b/>
          <w:sz w:val="24"/>
        </w:rPr>
        <w:t xml:space="preserve"> 2,5x) stupně 3 a vyšší.</w:t>
      </w:r>
    </w:p>
    <w:p w14:paraId="795B1C7E" w14:textId="46B1DA02" w:rsidR="00246F6D" w:rsidRDefault="00246F6D" w:rsidP="00322429">
      <w:pPr>
        <w:spacing w:after="1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2C5357" wp14:editId="68695106">
            <wp:simplePos x="0" y="0"/>
            <wp:positionH relativeFrom="column">
              <wp:posOffset>1870710</wp:posOffset>
            </wp:positionH>
            <wp:positionV relativeFrom="paragraph">
              <wp:posOffset>68580</wp:posOffset>
            </wp:positionV>
            <wp:extent cx="2505075" cy="1998345"/>
            <wp:effectExtent l="0" t="0" r="9525" b="1905"/>
            <wp:wrapTight wrapText="bothSides">
              <wp:wrapPolygon edited="0">
                <wp:start x="0" y="0"/>
                <wp:lineTo x="0" y="21415"/>
                <wp:lineTo x="21518" y="21415"/>
                <wp:lineTo x="215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áhy_kimmtra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8767C2" w14:textId="0BA460D6" w:rsidR="00E533AC" w:rsidRDefault="00E533AC" w:rsidP="003C5CE9"/>
    <w:p w14:paraId="3C239FAC" w14:textId="30054D07" w:rsidR="00E533AC" w:rsidRDefault="00E533AC" w:rsidP="003C5CE9"/>
    <w:p w14:paraId="5668D843" w14:textId="0F3D7090" w:rsidR="00246F6D" w:rsidRDefault="00246F6D" w:rsidP="003C5CE9"/>
    <w:p w14:paraId="4313FF35" w14:textId="71326540" w:rsidR="00246F6D" w:rsidRDefault="00246F6D" w:rsidP="003C5CE9"/>
    <w:p w14:paraId="35632FA7" w14:textId="3927E69F" w:rsidR="00246F6D" w:rsidRDefault="00246F6D" w:rsidP="003C5CE9"/>
    <w:p w14:paraId="02D41660" w14:textId="77777777" w:rsidR="00246F6D" w:rsidRPr="00521B23" w:rsidRDefault="00246F6D" w:rsidP="003C5CE9"/>
    <w:p w14:paraId="3B7F04FF" w14:textId="77777777" w:rsidR="00731FAD" w:rsidRPr="00E85E23" w:rsidRDefault="00426442" w:rsidP="006911D5">
      <w:pPr>
        <w:pBdr>
          <w:top w:val="single" w:sz="24" w:space="1" w:color="7030A0"/>
          <w:left w:val="single" w:sz="24" w:space="4" w:color="7030A0"/>
          <w:bottom w:val="single" w:sz="24" w:space="27" w:color="7030A0"/>
          <w:right w:val="single" w:sz="24" w:space="4" w:color="7030A0"/>
        </w:pBdr>
        <w:rPr>
          <w:b/>
          <w:bCs/>
          <w:sz w:val="28"/>
          <w:szCs w:val="28"/>
        </w:rPr>
      </w:pPr>
      <w:r w:rsidRPr="00E85E23">
        <w:rPr>
          <w:b/>
          <w:bCs/>
          <w:sz w:val="28"/>
          <w:szCs w:val="28"/>
        </w:rPr>
        <w:t>Závěr:</w:t>
      </w:r>
    </w:p>
    <w:p w14:paraId="12EF8C0C" w14:textId="69EF08AF" w:rsidR="00550CCB" w:rsidRPr="00E85E23" w:rsidRDefault="00550CCB" w:rsidP="00E85E23">
      <w:pPr>
        <w:pBdr>
          <w:top w:val="single" w:sz="24" w:space="1" w:color="7030A0"/>
          <w:left w:val="single" w:sz="24" w:space="4" w:color="7030A0"/>
          <w:bottom w:val="single" w:sz="24" w:space="27" w:color="7030A0"/>
          <w:right w:val="single" w:sz="24" w:space="4" w:color="7030A0"/>
        </w:pBdr>
        <w:spacing w:after="0"/>
        <w:jc w:val="both"/>
        <w:rPr>
          <w:bCs/>
          <w:sz w:val="24"/>
          <w:szCs w:val="24"/>
        </w:rPr>
      </w:pPr>
      <w:r w:rsidRPr="00E85E23">
        <w:rPr>
          <w:bCs/>
          <w:sz w:val="24"/>
          <w:szCs w:val="24"/>
        </w:rPr>
        <w:t xml:space="preserve">Tato farmakoekonomická analýza </w:t>
      </w:r>
      <w:r w:rsidR="006573F6" w:rsidRPr="00E85E23">
        <w:rPr>
          <w:bCs/>
          <w:sz w:val="24"/>
          <w:szCs w:val="24"/>
        </w:rPr>
        <w:t xml:space="preserve">hodnotí nákladovou efektivitu léčivého přípravku </w:t>
      </w:r>
      <w:r w:rsidR="004A5187" w:rsidRPr="00E85E23">
        <w:rPr>
          <w:bCs/>
          <w:sz w:val="24"/>
          <w:szCs w:val="24"/>
        </w:rPr>
        <w:t>KIMMTRAK</w:t>
      </w:r>
      <w:r w:rsidR="00750B36" w:rsidRPr="00E85E23">
        <w:rPr>
          <w:bCs/>
          <w:sz w:val="24"/>
          <w:szCs w:val="24"/>
        </w:rPr>
        <w:t xml:space="preserve"> (</w:t>
      </w:r>
      <w:proofErr w:type="spellStart"/>
      <w:r w:rsidR="00750B36" w:rsidRPr="00E85E23">
        <w:rPr>
          <w:bCs/>
          <w:sz w:val="24"/>
          <w:szCs w:val="24"/>
        </w:rPr>
        <w:t>tebentafusp</w:t>
      </w:r>
      <w:proofErr w:type="spellEnd"/>
      <w:r w:rsidR="00750B36" w:rsidRPr="00E85E23">
        <w:rPr>
          <w:bCs/>
          <w:sz w:val="24"/>
          <w:szCs w:val="24"/>
        </w:rPr>
        <w:t>)</w:t>
      </w:r>
      <w:r w:rsidR="000B7BAC" w:rsidRPr="00E85E23">
        <w:rPr>
          <w:bCs/>
          <w:sz w:val="24"/>
          <w:szCs w:val="24"/>
        </w:rPr>
        <w:t xml:space="preserve"> v terapi</w:t>
      </w:r>
      <w:r w:rsidR="006708B9" w:rsidRPr="00E85E23">
        <w:rPr>
          <w:bCs/>
          <w:sz w:val="24"/>
          <w:szCs w:val="24"/>
        </w:rPr>
        <w:t>i</w:t>
      </w:r>
      <w:r w:rsidR="000B7BAC" w:rsidRPr="00E85E23">
        <w:rPr>
          <w:bCs/>
          <w:sz w:val="24"/>
          <w:szCs w:val="24"/>
        </w:rPr>
        <w:t xml:space="preserve"> pacientů s metastatickým nebo </w:t>
      </w:r>
      <w:proofErr w:type="spellStart"/>
      <w:r w:rsidR="000B7BAC" w:rsidRPr="00E85E23">
        <w:rPr>
          <w:bCs/>
          <w:sz w:val="24"/>
          <w:szCs w:val="24"/>
        </w:rPr>
        <w:t>neresekovatelným</w:t>
      </w:r>
      <w:proofErr w:type="spellEnd"/>
      <w:r w:rsidR="000B7BAC" w:rsidRPr="00E85E23">
        <w:rPr>
          <w:bCs/>
          <w:sz w:val="24"/>
          <w:szCs w:val="24"/>
        </w:rPr>
        <w:t xml:space="preserve"> uveálním melanomem s m</w:t>
      </w:r>
      <w:r w:rsidR="000D5397" w:rsidRPr="00E85E23">
        <w:rPr>
          <w:bCs/>
          <w:sz w:val="24"/>
          <w:szCs w:val="24"/>
        </w:rPr>
        <w:t>u</w:t>
      </w:r>
      <w:r w:rsidR="000B7BAC" w:rsidRPr="00E85E23">
        <w:rPr>
          <w:bCs/>
          <w:sz w:val="24"/>
          <w:szCs w:val="24"/>
        </w:rPr>
        <w:t xml:space="preserve">tací </w:t>
      </w:r>
      <w:r w:rsidR="000B7BAC" w:rsidRPr="00E85E23">
        <w:rPr>
          <w:rFonts w:ascii="Calibri" w:hAnsi="Calibri" w:cs="Calibri"/>
          <w:sz w:val="24"/>
          <w:szCs w:val="24"/>
        </w:rPr>
        <w:t>HLA-A*02:01</w:t>
      </w:r>
      <w:r w:rsidR="000B7BAC" w:rsidRPr="00E85E23">
        <w:rPr>
          <w:bCs/>
          <w:sz w:val="24"/>
          <w:szCs w:val="24"/>
        </w:rPr>
        <w:t xml:space="preserve">. Tento LP je registrován jako </w:t>
      </w:r>
      <w:proofErr w:type="spellStart"/>
      <w:r w:rsidR="000B7BAC" w:rsidRPr="00E85E23">
        <w:rPr>
          <w:bCs/>
          <w:sz w:val="24"/>
          <w:szCs w:val="24"/>
        </w:rPr>
        <w:t>orphan</w:t>
      </w:r>
      <w:proofErr w:type="spellEnd"/>
      <w:r w:rsidR="000B7BAC" w:rsidRPr="00E85E23">
        <w:rPr>
          <w:bCs/>
          <w:sz w:val="24"/>
          <w:szCs w:val="24"/>
        </w:rPr>
        <w:t xml:space="preserve">, t.č. držitel registrace nepodal žádost o stanovení úhrady v dané </w:t>
      </w:r>
      <w:r w:rsidR="000B7BAC" w:rsidRPr="00656080">
        <w:rPr>
          <w:bCs/>
          <w:sz w:val="24"/>
          <w:szCs w:val="24"/>
        </w:rPr>
        <w:t>indikaci.</w:t>
      </w:r>
      <w:r w:rsidR="00E85E23" w:rsidRPr="00656080">
        <w:rPr>
          <w:bCs/>
          <w:sz w:val="24"/>
          <w:szCs w:val="24"/>
        </w:rPr>
        <w:t xml:space="preserve"> </w:t>
      </w:r>
      <w:r w:rsidR="0026561B" w:rsidRPr="00656080">
        <w:rPr>
          <w:b/>
          <w:sz w:val="24"/>
          <w:szCs w:val="24"/>
        </w:rPr>
        <w:t xml:space="preserve">Přípravek </w:t>
      </w:r>
      <w:r w:rsidR="0026561B" w:rsidRPr="00656080">
        <w:rPr>
          <w:b/>
          <w:sz w:val="24"/>
          <w:szCs w:val="24"/>
        </w:rPr>
        <w:t>KIMMTRAK</w:t>
      </w:r>
      <w:r w:rsidR="0026561B" w:rsidRPr="00656080">
        <w:rPr>
          <w:b/>
          <w:sz w:val="24"/>
          <w:szCs w:val="24"/>
        </w:rPr>
        <w:t xml:space="preserve"> získal v EU </w:t>
      </w:r>
      <w:r w:rsidR="0026561B" w:rsidRPr="00656080">
        <w:rPr>
          <w:b/>
          <w:sz w:val="24"/>
          <w:szCs w:val="24"/>
        </w:rPr>
        <w:t>standardní</w:t>
      </w:r>
      <w:r w:rsidR="0026561B" w:rsidRPr="00656080">
        <w:rPr>
          <w:b/>
          <w:sz w:val="24"/>
          <w:szCs w:val="24"/>
        </w:rPr>
        <w:t xml:space="preserve"> registraci</w:t>
      </w:r>
      <w:r w:rsidR="0026561B" w:rsidRPr="00656080">
        <w:rPr>
          <w:sz w:val="24"/>
          <w:szCs w:val="24"/>
        </w:rPr>
        <w:t xml:space="preserve"> </w:t>
      </w:r>
      <w:r w:rsidR="0026561B" w:rsidRPr="00656080">
        <w:rPr>
          <w:b/>
          <w:sz w:val="24"/>
          <w:szCs w:val="24"/>
        </w:rPr>
        <w:t>(souhlas členů CHMP byl jednomyslný</w:t>
      </w:r>
      <w:r w:rsidR="00656080" w:rsidRPr="00656080">
        <w:rPr>
          <w:b/>
          <w:sz w:val="24"/>
          <w:szCs w:val="24"/>
          <w:vertAlign w:val="superscript"/>
        </w:rPr>
        <w:t>6</w:t>
      </w:r>
      <w:r w:rsidR="00656080">
        <w:rPr>
          <w:b/>
          <w:sz w:val="28"/>
          <w:szCs w:val="28"/>
        </w:rPr>
        <w:t>.</w:t>
      </w:r>
      <w:r w:rsidR="000B7BAC" w:rsidRPr="00E85E23">
        <w:rPr>
          <w:bCs/>
          <w:sz w:val="24"/>
          <w:szCs w:val="24"/>
        </w:rPr>
        <w:t xml:space="preserve"> </w:t>
      </w:r>
      <w:r w:rsidR="00656080">
        <w:rPr>
          <w:bCs/>
          <w:sz w:val="24"/>
          <w:szCs w:val="24"/>
        </w:rPr>
        <w:t xml:space="preserve"> </w:t>
      </w:r>
      <w:r w:rsidR="000B7BAC" w:rsidRPr="00E85E23">
        <w:rPr>
          <w:bCs/>
          <w:sz w:val="24"/>
          <w:szCs w:val="24"/>
        </w:rPr>
        <w:t>Jako komparátor byl použit pro účely této analýzy pembrolizumab (LP KEYTRUDA)</w:t>
      </w:r>
      <w:r w:rsidR="00E93883" w:rsidRPr="00E85E23">
        <w:rPr>
          <w:bCs/>
          <w:sz w:val="24"/>
          <w:szCs w:val="24"/>
        </w:rPr>
        <w:t>.</w:t>
      </w:r>
      <w:r w:rsidR="00D97454" w:rsidRPr="00E85E23">
        <w:rPr>
          <w:bCs/>
          <w:sz w:val="24"/>
          <w:szCs w:val="24"/>
        </w:rPr>
        <w:t xml:space="preserve"> </w:t>
      </w:r>
      <w:r w:rsidR="00750B36" w:rsidRPr="006703FB">
        <w:rPr>
          <w:b/>
          <w:bCs/>
          <w:sz w:val="24"/>
          <w:szCs w:val="24"/>
        </w:rPr>
        <w:t xml:space="preserve">Dle studie </w:t>
      </w:r>
      <w:r w:rsidR="00750B36" w:rsidRPr="006703FB">
        <w:rPr>
          <w:b/>
          <w:bCs/>
          <w:i/>
          <w:sz w:val="24"/>
          <w:szCs w:val="24"/>
        </w:rPr>
        <w:t>Nathan</w:t>
      </w:r>
      <w:r w:rsidR="00750B36" w:rsidRPr="006703FB">
        <w:rPr>
          <w:b/>
          <w:bCs/>
          <w:sz w:val="24"/>
          <w:szCs w:val="24"/>
        </w:rPr>
        <w:t xml:space="preserve"> </w:t>
      </w:r>
      <w:r w:rsidR="00750B36" w:rsidRPr="006703FB">
        <w:rPr>
          <w:b/>
          <w:bCs/>
          <w:i/>
          <w:sz w:val="24"/>
          <w:szCs w:val="24"/>
        </w:rPr>
        <w:t>et al</w:t>
      </w:r>
      <w:r w:rsidR="00750B36" w:rsidRPr="006703FB">
        <w:rPr>
          <w:b/>
          <w:bCs/>
          <w:sz w:val="24"/>
          <w:szCs w:val="24"/>
        </w:rPr>
        <w:t xml:space="preserve">. (2021) </w:t>
      </w:r>
      <w:proofErr w:type="spellStart"/>
      <w:r w:rsidR="00750B36" w:rsidRPr="006703FB">
        <w:rPr>
          <w:b/>
          <w:bCs/>
          <w:sz w:val="24"/>
          <w:szCs w:val="24"/>
        </w:rPr>
        <w:t>tebentafusp</w:t>
      </w:r>
      <w:proofErr w:type="spellEnd"/>
      <w:r w:rsidR="006911D5" w:rsidRPr="006703FB">
        <w:rPr>
          <w:b/>
          <w:bCs/>
          <w:sz w:val="24"/>
          <w:szCs w:val="24"/>
        </w:rPr>
        <w:t xml:space="preserve"> v 1. linii</w:t>
      </w:r>
      <w:r w:rsidR="00750B36" w:rsidRPr="006703FB">
        <w:rPr>
          <w:b/>
          <w:bCs/>
          <w:sz w:val="24"/>
          <w:szCs w:val="24"/>
        </w:rPr>
        <w:t xml:space="preserve"> prodlužoval celkové přežití oproti kontrolnímu rameni </w:t>
      </w:r>
      <w:r w:rsidR="006703FB" w:rsidRPr="006703FB">
        <w:rPr>
          <w:b/>
          <w:bCs/>
          <w:sz w:val="24"/>
          <w:szCs w:val="24"/>
        </w:rPr>
        <w:t>(</w:t>
      </w:r>
      <w:proofErr w:type="spellStart"/>
      <w:r w:rsidR="006703FB" w:rsidRPr="006703FB">
        <w:rPr>
          <w:b/>
          <w:bCs/>
          <w:sz w:val="24"/>
          <w:szCs w:val="24"/>
        </w:rPr>
        <w:t>pembrolizumabu</w:t>
      </w:r>
      <w:proofErr w:type="spellEnd"/>
      <w:r w:rsidR="006703FB" w:rsidRPr="006703FB">
        <w:rPr>
          <w:b/>
          <w:bCs/>
          <w:sz w:val="24"/>
          <w:szCs w:val="24"/>
        </w:rPr>
        <w:t xml:space="preserve">) </w:t>
      </w:r>
      <w:r w:rsidR="006911D5" w:rsidRPr="006703FB">
        <w:rPr>
          <w:b/>
          <w:bCs/>
          <w:sz w:val="24"/>
          <w:szCs w:val="24"/>
        </w:rPr>
        <w:t xml:space="preserve">statisticky významně </w:t>
      </w:r>
      <w:r w:rsidR="00750B36" w:rsidRPr="006703FB">
        <w:rPr>
          <w:b/>
          <w:bCs/>
          <w:sz w:val="24"/>
          <w:szCs w:val="24"/>
        </w:rPr>
        <w:t>přibližně dvojnásobně</w:t>
      </w:r>
      <w:r w:rsidR="006708B9" w:rsidRPr="006703FB">
        <w:rPr>
          <w:b/>
          <w:bCs/>
          <w:sz w:val="24"/>
          <w:szCs w:val="24"/>
        </w:rPr>
        <w:t xml:space="preserve"> (absolutně </w:t>
      </w:r>
      <w:r w:rsidR="006911D5" w:rsidRPr="006703FB">
        <w:rPr>
          <w:b/>
          <w:bCs/>
          <w:sz w:val="24"/>
          <w:szCs w:val="24"/>
        </w:rPr>
        <w:t>o necelých 6 měsíců)</w:t>
      </w:r>
      <w:r w:rsidR="00750B36" w:rsidRPr="006703FB">
        <w:rPr>
          <w:b/>
          <w:bCs/>
          <w:sz w:val="24"/>
          <w:szCs w:val="24"/>
        </w:rPr>
        <w:t>, nicméně se významně zvýšila</w:t>
      </w:r>
      <w:r w:rsidR="00301B3F" w:rsidRPr="006703FB">
        <w:rPr>
          <w:b/>
          <w:bCs/>
          <w:sz w:val="24"/>
          <w:szCs w:val="24"/>
        </w:rPr>
        <w:t xml:space="preserve"> (více než 2x)</w:t>
      </w:r>
      <w:r w:rsidR="00750B36" w:rsidRPr="006703FB">
        <w:rPr>
          <w:b/>
          <w:bCs/>
          <w:sz w:val="24"/>
          <w:szCs w:val="24"/>
        </w:rPr>
        <w:t xml:space="preserve"> i četnost nežádoucích účinků grade 3 a vyšší.</w:t>
      </w:r>
      <w:r w:rsidR="000F6C0C" w:rsidRPr="00E85E23">
        <w:rPr>
          <w:bCs/>
          <w:sz w:val="24"/>
          <w:szCs w:val="24"/>
        </w:rPr>
        <w:t xml:space="preserve"> </w:t>
      </w:r>
      <w:r w:rsidR="006703FB" w:rsidRPr="006703FB">
        <w:rPr>
          <w:rFonts w:cstheme="minorHAnsi"/>
          <w:b/>
          <w:color w:val="000000"/>
          <w:sz w:val="24"/>
          <w:szCs w:val="24"/>
          <w:shd w:val="clear" w:color="auto" w:fill="F5F5F5"/>
        </w:rPr>
        <w:t xml:space="preserve">Celkový závěr z prezentovaných údajů je, že toxicita </w:t>
      </w:r>
      <w:proofErr w:type="spellStart"/>
      <w:r w:rsidR="006703FB" w:rsidRPr="006703FB">
        <w:rPr>
          <w:rFonts w:cstheme="minorHAnsi"/>
          <w:b/>
          <w:color w:val="000000"/>
          <w:sz w:val="24"/>
          <w:szCs w:val="24"/>
          <w:shd w:val="clear" w:color="auto" w:fill="F5F5F5"/>
        </w:rPr>
        <w:t>tebentafuspu</w:t>
      </w:r>
      <w:proofErr w:type="spellEnd"/>
      <w:r w:rsidR="006703FB" w:rsidRPr="006703FB">
        <w:rPr>
          <w:rFonts w:cstheme="minorHAnsi"/>
          <w:b/>
          <w:color w:val="000000"/>
          <w:sz w:val="24"/>
          <w:szCs w:val="24"/>
          <w:shd w:val="clear" w:color="auto" w:fill="F5F5F5"/>
        </w:rPr>
        <w:t>, i když je široká, je zvládnutelná</w:t>
      </w:r>
      <w:r w:rsidR="006703FB" w:rsidRPr="006703FB">
        <w:rPr>
          <w:rFonts w:cstheme="minorHAnsi"/>
          <w:b/>
          <w:color w:val="000000"/>
          <w:sz w:val="24"/>
          <w:szCs w:val="24"/>
          <w:shd w:val="clear" w:color="auto" w:fill="F5F5F5"/>
        </w:rPr>
        <w:t xml:space="preserve">. </w:t>
      </w:r>
      <w:r w:rsidR="006703FB" w:rsidRPr="006703FB">
        <w:rPr>
          <w:rFonts w:cstheme="minorHAnsi"/>
          <w:b/>
          <w:color w:val="000000"/>
          <w:sz w:val="24"/>
          <w:szCs w:val="24"/>
          <w:shd w:val="clear" w:color="auto" w:fill="F5F5F5"/>
        </w:rPr>
        <w:t>Nejčastějšími jsou CRS a (akutní) kožní toxicita</w:t>
      </w:r>
      <w:r w:rsidR="006703FB" w:rsidRPr="006703FB">
        <w:rPr>
          <w:rFonts w:cstheme="minorHAnsi"/>
          <w:b/>
          <w:color w:val="000000"/>
          <w:sz w:val="24"/>
          <w:szCs w:val="24"/>
          <w:shd w:val="clear" w:color="auto" w:fill="F5F5F5"/>
        </w:rPr>
        <w:t>.</w:t>
      </w:r>
      <w:r w:rsidR="006703FB" w:rsidRPr="006703FB">
        <w:rPr>
          <w:bCs/>
          <w:sz w:val="24"/>
          <w:szCs w:val="24"/>
        </w:rPr>
        <w:t xml:space="preserve"> </w:t>
      </w:r>
      <w:r w:rsidR="000F6C0C" w:rsidRPr="006703FB">
        <w:rPr>
          <w:bCs/>
          <w:sz w:val="24"/>
          <w:szCs w:val="24"/>
        </w:rPr>
        <w:t>Rozdíly v kvalitě života mezi oběma rameny nebyly významné</w:t>
      </w:r>
      <w:r w:rsidR="000F6C0C" w:rsidRPr="006703FB">
        <w:rPr>
          <w:bCs/>
          <w:sz w:val="24"/>
          <w:szCs w:val="24"/>
          <w:vertAlign w:val="superscript"/>
        </w:rPr>
        <w:t>4</w:t>
      </w:r>
      <w:r w:rsidR="000F6C0C" w:rsidRPr="006703FB">
        <w:rPr>
          <w:bCs/>
          <w:sz w:val="24"/>
          <w:szCs w:val="24"/>
        </w:rPr>
        <w:t>.</w:t>
      </w:r>
      <w:r w:rsidR="006911D5" w:rsidRPr="006703FB">
        <w:rPr>
          <w:bCs/>
          <w:sz w:val="24"/>
          <w:szCs w:val="24"/>
        </w:rPr>
        <w:t xml:space="preserve"> Dle nepřímých srovnání </w:t>
      </w:r>
      <w:r w:rsidR="00D228FB" w:rsidRPr="006703FB">
        <w:rPr>
          <w:bCs/>
          <w:sz w:val="24"/>
          <w:szCs w:val="24"/>
        </w:rPr>
        <w:t>v 2.</w:t>
      </w:r>
      <w:r w:rsidR="006703FB">
        <w:rPr>
          <w:bCs/>
          <w:sz w:val="24"/>
          <w:szCs w:val="24"/>
        </w:rPr>
        <w:t xml:space="preserve"> </w:t>
      </w:r>
      <w:r w:rsidR="00D228FB" w:rsidRPr="006703FB">
        <w:rPr>
          <w:bCs/>
          <w:sz w:val="24"/>
          <w:szCs w:val="24"/>
        </w:rPr>
        <w:t>linii</w:t>
      </w:r>
      <w:r w:rsidR="008C1FF6" w:rsidRPr="006703FB">
        <w:rPr>
          <w:bCs/>
          <w:sz w:val="24"/>
          <w:szCs w:val="24"/>
        </w:rPr>
        <w:t xml:space="preserve"> a výše</w:t>
      </w:r>
      <w:r w:rsidR="00D228FB" w:rsidRPr="006703FB">
        <w:rPr>
          <w:bCs/>
          <w:sz w:val="24"/>
          <w:szCs w:val="24"/>
        </w:rPr>
        <w:t xml:space="preserve"> použitý </w:t>
      </w:r>
      <w:proofErr w:type="spellStart"/>
      <w:r w:rsidR="00D228FB" w:rsidRPr="006703FB">
        <w:rPr>
          <w:bCs/>
          <w:sz w:val="24"/>
          <w:szCs w:val="24"/>
        </w:rPr>
        <w:t>tebentafusp</w:t>
      </w:r>
      <w:proofErr w:type="spellEnd"/>
      <w:r w:rsidR="00D228FB" w:rsidRPr="00E85E23">
        <w:rPr>
          <w:bCs/>
          <w:sz w:val="24"/>
          <w:szCs w:val="24"/>
        </w:rPr>
        <w:t xml:space="preserve"> může prodlužovat přežití</w:t>
      </w:r>
      <w:r w:rsidR="008C1FF6" w:rsidRPr="00E85E23">
        <w:rPr>
          <w:bCs/>
          <w:sz w:val="24"/>
          <w:szCs w:val="24"/>
        </w:rPr>
        <w:t xml:space="preserve"> oproti </w:t>
      </w:r>
      <w:proofErr w:type="spellStart"/>
      <w:r w:rsidR="008C1FF6" w:rsidRPr="00E85E23">
        <w:rPr>
          <w:bCs/>
          <w:sz w:val="24"/>
          <w:szCs w:val="24"/>
        </w:rPr>
        <w:t>checkpoint</w:t>
      </w:r>
      <w:proofErr w:type="spellEnd"/>
      <w:r w:rsidR="008C1FF6" w:rsidRPr="00E85E23">
        <w:rPr>
          <w:bCs/>
          <w:sz w:val="24"/>
          <w:szCs w:val="24"/>
        </w:rPr>
        <w:t xml:space="preserve"> inhibitorům o 10-12 měsíců</w:t>
      </w:r>
      <w:r w:rsidR="008C1FF6" w:rsidRPr="00E85E23">
        <w:rPr>
          <w:bCs/>
          <w:sz w:val="24"/>
          <w:szCs w:val="24"/>
          <w:vertAlign w:val="superscript"/>
        </w:rPr>
        <w:t>4</w:t>
      </w:r>
      <w:r w:rsidR="008C1FF6" w:rsidRPr="00E85E23">
        <w:rPr>
          <w:bCs/>
          <w:sz w:val="24"/>
          <w:szCs w:val="24"/>
        </w:rPr>
        <w:t>.</w:t>
      </w:r>
      <w:r w:rsidR="00D228FB" w:rsidRPr="00E85E23">
        <w:rPr>
          <w:bCs/>
          <w:sz w:val="24"/>
          <w:szCs w:val="24"/>
        </w:rPr>
        <w:t xml:space="preserve"> </w:t>
      </w:r>
      <w:r w:rsidR="00750B36" w:rsidRPr="00E85E23">
        <w:rPr>
          <w:bCs/>
          <w:sz w:val="24"/>
          <w:szCs w:val="24"/>
        </w:rPr>
        <w:t xml:space="preserve"> V tuto chvíli je cena za jedno balení LP KIMMTRAK přibližně 343 tisíc Kč. </w:t>
      </w:r>
      <w:r w:rsidR="00750B36" w:rsidRPr="006703FB">
        <w:rPr>
          <w:b/>
          <w:bCs/>
          <w:sz w:val="24"/>
          <w:szCs w:val="24"/>
        </w:rPr>
        <w:t>Průměrná cena za léčbu jednoho pacienta je přibližně 10,5 mil. Kč</w:t>
      </w:r>
      <w:r w:rsidR="00750B36" w:rsidRPr="00E85E23">
        <w:rPr>
          <w:bCs/>
          <w:sz w:val="24"/>
          <w:szCs w:val="24"/>
        </w:rPr>
        <w:t xml:space="preserve"> (1,3 mil </w:t>
      </w:r>
      <w:proofErr w:type="spellStart"/>
      <w:r w:rsidR="00750B36" w:rsidRPr="00E85E23">
        <w:rPr>
          <w:bCs/>
          <w:sz w:val="24"/>
          <w:szCs w:val="24"/>
        </w:rPr>
        <w:t>kč</w:t>
      </w:r>
      <w:proofErr w:type="spellEnd"/>
      <w:r w:rsidR="00750B36" w:rsidRPr="00E85E23">
        <w:rPr>
          <w:bCs/>
          <w:sz w:val="24"/>
          <w:szCs w:val="24"/>
        </w:rPr>
        <w:t xml:space="preserve"> až 20 mil Kč). </w:t>
      </w:r>
      <w:r w:rsidR="005473FC" w:rsidRPr="00E85E23">
        <w:rPr>
          <w:bCs/>
          <w:sz w:val="24"/>
          <w:szCs w:val="24"/>
        </w:rPr>
        <w:t xml:space="preserve"> </w:t>
      </w:r>
      <w:r w:rsidR="005473FC" w:rsidRPr="006703FB">
        <w:rPr>
          <w:b/>
          <w:bCs/>
          <w:sz w:val="24"/>
          <w:szCs w:val="24"/>
        </w:rPr>
        <w:t>Terapie přípravkem KIMMTRA</w:t>
      </w:r>
      <w:r w:rsidR="000D5397" w:rsidRPr="006703FB">
        <w:rPr>
          <w:b/>
          <w:bCs/>
          <w:sz w:val="24"/>
          <w:szCs w:val="24"/>
        </w:rPr>
        <w:t>K</w:t>
      </w:r>
      <w:r w:rsidR="005473FC" w:rsidRPr="006703FB">
        <w:rPr>
          <w:b/>
          <w:bCs/>
          <w:sz w:val="24"/>
          <w:szCs w:val="24"/>
        </w:rPr>
        <w:t xml:space="preserve"> je přibližně dvacetinásobně nákladnější oproti použití přípravku KEYTRUDA</w:t>
      </w:r>
      <w:r w:rsidR="000F6C0C" w:rsidRPr="006703FB">
        <w:rPr>
          <w:b/>
          <w:bCs/>
          <w:sz w:val="24"/>
          <w:szCs w:val="24"/>
        </w:rPr>
        <w:t>.</w:t>
      </w:r>
      <w:r w:rsidR="008F6545" w:rsidRPr="006703FB">
        <w:rPr>
          <w:b/>
          <w:bCs/>
          <w:sz w:val="24"/>
          <w:szCs w:val="24"/>
        </w:rPr>
        <w:t xml:space="preserve"> </w:t>
      </w:r>
      <w:r w:rsidR="008F6545" w:rsidRPr="006703FB">
        <w:rPr>
          <w:b/>
          <w:sz w:val="24"/>
          <w:szCs w:val="24"/>
        </w:rPr>
        <w:t xml:space="preserve">Předpokládaný počet pacientů léčených tímto přípravkem ve FN Olomouc má být </w:t>
      </w:r>
      <w:r w:rsidR="008F6545" w:rsidRPr="006703FB">
        <w:rPr>
          <w:b/>
          <w:sz w:val="24"/>
          <w:szCs w:val="24"/>
        </w:rPr>
        <w:t>2</w:t>
      </w:r>
      <w:r w:rsidR="008F6545" w:rsidRPr="006703FB">
        <w:rPr>
          <w:b/>
          <w:sz w:val="24"/>
          <w:szCs w:val="24"/>
        </w:rPr>
        <w:t xml:space="preserve"> za rok.</w:t>
      </w:r>
      <w:r w:rsidR="007570EE" w:rsidRPr="00E85E23">
        <w:rPr>
          <w:bCs/>
          <w:sz w:val="24"/>
          <w:szCs w:val="24"/>
        </w:rPr>
        <w:t xml:space="preserve"> Je třeba poznamenat, že ve </w:t>
      </w:r>
      <w:r w:rsidR="007570EE" w:rsidRPr="00E85E23">
        <w:rPr>
          <w:bCs/>
          <w:sz w:val="24"/>
          <w:szCs w:val="24"/>
        </w:rPr>
        <w:t>studi</w:t>
      </w:r>
      <w:r w:rsidR="007570EE" w:rsidRPr="00E85E23">
        <w:rPr>
          <w:bCs/>
          <w:sz w:val="24"/>
          <w:szCs w:val="24"/>
        </w:rPr>
        <w:t>i</w:t>
      </w:r>
      <w:r w:rsidR="007570EE" w:rsidRPr="00E85E23">
        <w:rPr>
          <w:bCs/>
          <w:sz w:val="24"/>
          <w:szCs w:val="24"/>
        </w:rPr>
        <w:t xml:space="preserve"> </w:t>
      </w:r>
      <w:r w:rsidR="007570EE" w:rsidRPr="00E85E23">
        <w:rPr>
          <w:bCs/>
          <w:i/>
          <w:sz w:val="24"/>
          <w:szCs w:val="24"/>
        </w:rPr>
        <w:t>Nathan</w:t>
      </w:r>
      <w:r w:rsidR="007570EE" w:rsidRPr="00E85E23">
        <w:rPr>
          <w:bCs/>
          <w:sz w:val="24"/>
          <w:szCs w:val="24"/>
        </w:rPr>
        <w:t xml:space="preserve"> </w:t>
      </w:r>
      <w:r w:rsidR="007570EE" w:rsidRPr="00E85E23">
        <w:rPr>
          <w:bCs/>
          <w:i/>
          <w:sz w:val="24"/>
          <w:szCs w:val="24"/>
        </w:rPr>
        <w:t>et al</w:t>
      </w:r>
      <w:r w:rsidR="007570EE" w:rsidRPr="00E85E23">
        <w:rPr>
          <w:bCs/>
          <w:sz w:val="24"/>
          <w:szCs w:val="24"/>
        </w:rPr>
        <w:t>. (2021)</w:t>
      </w:r>
      <w:r w:rsidR="007570EE" w:rsidRPr="00E85E23">
        <w:rPr>
          <w:bCs/>
          <w:sz w:val="24"/>
          <w:szCs w:val="24"/>
        </w:rPr>
        <w:t xml:space="preserve"> byla celá řada vylučovacích kritérií (např. klin. významné KV onemocnění, historie ILD, kolitidy či IBD, symptomatické CNS metastáze)</w:t>
      </w:r>
      <w:r w:rsidR="00EC5C18" w:rsidRPr="00E85E23">
        <w:rPr>
          <w:bCs/>
          <w:sz w:val="24"/>
          <w:szCs w:val="24"/>
        </w:rPr>
        <w:t>,</w:t>
      </w:r>
      <w:r w:rsidR="008C1FF6" w:rsidRPr="00E85E23">
        <w:rPr>
          <w:bCs/>
          <w:sz w:val="24"/>
          <w:szCs w:val="24"/>
        </w:rPr>
        <w:t xml:space="preserve"> skutečnost, že v </w:t>
      </w:r>
      <w:proofErr w:type="gramStart"/>
      <w:r w:rsidR="008C1FF6" w:rsidRPr="00E85E23">
        <w:rPr>
          <w:bCs/>
          <w:sz w:val="24"/>
          <w:szCs w:val="24"/>
        </w:rPr>
        <w:t>75%</w:t>
      </w:r>
      <w:proofErr w:type="gramEnd"/>
      <w:r w:rsidR="008C1FF6" w:rsidRPr="00E85E23">
        <w:rPr>
          <w:bCs/>
          <w:sz w:val="24"/>
          <w:szCs w:val="24"/>
        </w:rPr>
        <w:t xml:space="preserve"> případů byla původním místem UM </w:t>
      </w:r>
      <w:proofErr w:type="spellStart"/>
      <w:r w:rsidR="008C1FF6" w:rsidRPr="00E85E23">
        <w:rPr>
          <w:bCs/>
          <w:sz w:val="24"/>
          <w:szCs w:val="24"/>
        </w:rPr>
        <w:t>chorioidní</w:t>
      </w:r>
      <w:proofErr w:type="spellEnd"/>
      <w:r w:rsidR="008C1FF6" w:rsidRPr="00E85E23">
        <w:rPr>
          <w:bCs/>
          <w:sz w:val="24"/>
          <w:szCs w:val="24"/>
        </w:rPr>
        <w:t xml:space="preserve"> vrstva</w:t>
      </w:r>
      <w:r w:rsidR="00EC5C18" w:rsidRPr="00E85E23">
        <w:rPr>
          <w:bCs/>
          <w:sz w:val="24"/>
          <w:szCs w:val="24"/>
        </w:rPr>
        <w:t>,</w:t>
      </w:r>
      <w:r w:rsidR="004F4DD7" w:rsidRPr="00E85E23">
        <w:rPr>
          <w:bCs/>
          <w:sz w:val="24"/>
          <w:szCs w:val="24"/>
        </w:rPr>
        <w:t xml:space="preserve"> téměř všichni pacienti měli ECOG 0-1</w:t>
      </w:r>
      <w:r w:rsidR="00EC5C18" w:rsidRPr="00E85E23">
        <w:rPr>
          <w:bCs/>
          <w:sz w:val="24"/>
          <w:szCs w:val="24"/>
        </w:rPr>
        <w:t xml:space="preserve"> a také něk</w:t>
      </w:r>
      <w:r w:rsidR="00121D44" w:rsidRPr="00E85E23">
        <w:rPr>
          <w:bCs/>
          <w:sz w:val="24"/>
          <w:szCs w:val="24"/>
        </w:rPr>
        <w:t>teré nejasnosti uvedené v Příloze č. 1</w:t>
      </w:r>
      <w:r w:rsidR="007570EE" w:rsidRPr="00E85E23">
        <w:rPr>
          <w:bCs/>
          <w:sz w:val="24"/>
          <w:szCs w:val="24"/>
          <w:vertAlign w:val="superscript"/>
        </w:rPr>
        <w:t>4</w:t>
      </w:r>
      <w:r w:rsidR="007570EE" w:rsidRPr="00E85E23">
        <w:rPr>
          <w:bCs/>
          <w:sz w:val="24"/>
          <w:szCs w:val="24"/>
        </w:rPr>
        <w:t>.</w:t>
      </w:r>
    </w:p>
    <w:p w14:paraId="7FA76F3A" w14:textId="77777777" w:rsidR="006911D5" w:rsidRDefault="006911D5" w:rsidP="00336A0E">
      <w:pPr>
        <w:spacing w:after="0"/>
        <w:rPr>
          <w:rFonts w:cstheme="minorHAnsi"/>
        </w:rPr>
      </w:pPr>
    </w:p>
    <w:p w14:paraId="2825FB28" w14:textId="77777777" w:rsidR="003C35B8" w:rsidRDefault="003C35B8" w:rsidP="00336A0E">
      <w:pPr>
        <w:spacing w:after="0"/>
        <w:rPr>
          <w:rFonts w:cstheme="minorHAnsi"/>
        </w:rPr>
      </w:pPr>
    </w:p>
    <w:p w14:paraId="28642986" w14:textId="2B564872" w:rsidR="00336A0E" w:rsidRDefault="00336A0E" w:rsidP="00336A0E">
      <w:pPr>
        <w:spacing w:after="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Zpracoval: </w:t>
      </w:r>
      <w:r>
        <w:rPr>
          <w:rFonts w:cstheme="minorHAnsi"/>
        </w:rPr>
        <w:t xml:space="preserve">Mgr. Jan Klobouk a </w:t>
      </w:r>
      <w:r>
        <w:rPr>
          <w:rFonts w:cstheme="minorHAnsi"/>
        </w:rPr>
        <w:t>Mgr. Jaroslav Duda                                                    6.8.2022</w:t>
      </w:r>
    </w:p>
    <w:p w14:paraId="00302044" w14:textId="77777777" w:rsidR="00A36EDA" w:rsidRPr="00850625" w:rsidRDefault="00A36EDA" w:rsidP="00A36EDA">
      <w:pPr>
        <w:rPr>
          <w:rFonts w:cstheme="minorHAnsi"/>
          <w:b/>
        </w:rPr>
      </w:pPr>
      <w:r w:rsidRPr="00850625">
        <w:rPr>
          <w:rFonts w:cstheme="minorHAnsi"/>
          <w:b/>
        </w:rPr>
        <w:lastRenderedPageBreak/>
        <w:t>Zdroje:</w:t>
      </w:r>
    </w:p>
    <w:p w14:paraId="6DD28537" w14:textId="1776DD14" w:rsidR="008D3887" w:rsidRPr="000D5397" w:rsidRDefault="000D5397" w:rsidP="00A65E3D">
      <w:pPr>
        <w:pStyle w:val="Odstavecseseznamem"/>
        <w:numPr>
          <w:ilvl w:val="0"/>
          <w:numId w:val="7"/>
        </w:numPr>
        <w:spacing w:after="160" w:line="259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KIMMTRAK: EPAR – Public </w:t>
      </w:r>
      <w:proofErr w:type="spellStart"/>
      <w:r>
        <w:rPr>
          <w:rFonts w:cstheme="minorHAnsi"/>
          <w:color w:val="000000" w:themeColor="text1"/>
        </w:rPr>
        <w:t>assessment</w:t>
      </w:r>
      <w:proofErr w:type="spellEnd"/>
      <w:r>
        <w:rPr>
          <w:rFonts w:cstheme="minorHAnsi"/>
          <w:color w:val="000000" w:themeColor="text1"/>
        </w:rPr>
        <w:t xml:space="preserve"> report</w:t>
      </w:r>
      <w:r w:rsidRPr="000D5397">
        <w:rPr>
          <w:rFonts w:cstheme="minorHAnsi"/>
          <w:color w:val="000000" w:themeColor="text1"/>
        </w:rPr>
        <w:t>, dostupné online na: https://www.ema.europa.eu/documents/assessment-report/kimmtrak-epar-public-assessment-report_en.pdf</w:t>
      </w:r>
    </w:p>
    <w:p w14:paraId="66E4BC07" w14:textId="42450B62" w:rsidR="00DE5716" w:rsidRPr="000D5397" w:rsidRDefault="00141FCF" w:rsidP="00A65E3D">
      <w:pPr>
        <w:pStyle w:val="Odstavecseseznamem"/>
        <w:numPr>
          <w:ilvl w:val="0"/>
          <w:numId w:val="7"/>
        </w:numPr>
        <w:spacing w:after="160" w:line="259" w:lineRule="auto"/>
        <w:rPr>
          <w:rStyle w:val="Hypertextovodkaz"/>
          <w:rFonts w:cstheme="minorHAnsi"/>
          <w:color w:val="000000" w:themeColor="text1"/>
          <w:u w:val="none"/>
        </w:rPr>
      </w:pPr>
      <w:hyperlink r:id="rId10" w:history="1">
        <w:r w:rsidR="00DE5716" w:rsidRPr="000D5397">
          <w:rPr>
            <w:rStyle w:val="Hypertextovodkaz"/>
            <w:rFonts w:cstheme="minorHAnsi"/>
            <w:color w:val="000000" w:themeColor="text1"/>
            <w:u w:val="none"/>
          </w:rPr>
          <w:t>www.nccn.org</w:t>
        </w:r>
      </w:hyperlink>
    </w:p>
    <w:p w14:paraId="67107A61" w14:textId="3863ACB1" w:rsidR="008127B4" w:rsidRPr="00336A0E" w:rsidRDefault="008127B4" w:rsidP="00A65E3D">
      <w:pPr>
        <w:pStyle w:val="Odstavecseseznamem"/>
        <w:numPr>
          <w:ilvl w:val="0"/>
          <w:numId w:val="7"/>
        </w:numPr>
        <w:spacing w:after="160" w:line="259" w:lineRule="auto"/>
        <w:rPr>
          <w:rFonts w:cstheme="minorHAnsi"/>
          <w:color w:val="000000" w:themeColor="text1"/>
        </w:rPr>
      </w:pPr>
      <w:r w:rsidRPr="000D5397">
        <w:rPr>
          <w:rFonts w:cstheme="minorHAnsi"/>
          <w:color w:val="212121"/>
          <w:shd w:val="clear" w:color="auto" w:fill="FFFFFF"/>
        </w:rPr>
        <w:t xml:space="preserve">Nathan P,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Hassel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 xml:space="preserve"> JC,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Rutkowski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 xml:space="preserve"> P, et al.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Overall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Survival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 xml:space="preserve"> Benefit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with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Tebentafusp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Metastatic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Uveal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0D5397">
        <w:rPr>
          <w:rFonts w:cstheme="minorHAnsi"/>
          <w:color w:val="212121"/>
          <w:shd w:val="clear" w:color="auto" w:fill="FFFFFF"/>
        </w:rPr>
        <w:t>Melanoma</w:t>
      </w:r>
      <w:proofErr w:type="spellEnd"/>
      <w:r w:rsidRPr="000D5397">
        <w:rPr>
          <w:rFonts w:cstheme="minorHAnsi"/>
          <w:color w:val="212121"/>
          <w:shd w:val="clear" w:color="auto" w:fill="FFFFFF"/>
        </w:rPr>
        <w:t>. </w:t>
      </w:r>
      <w:r w:rsidRPr="000D5397">
        <w:rPr>
          <w:rFonts w:cstheme="minorHAnsi"/>
          <w:i/>
          <w:iCs/>
          <w:color w:val="212121"/>
          <w:shd w:val="clear" w:color="auto" w:fill="FFFFFF"/>
        </w:rPr>
        <w:t xml:space="preserve">N </w:t>
      </w:r>
      <w:proofErr w:type="spellStart"/>
      <w:r w:rsidRPr="000D5397">
        <w:rPr>
          <w:rFonts w:cstheme="minorHAnsi"/>
          <w:i/>
          <w:iCs/>
          <w:color w:val="212121"/>
          <w:shd w:val="clear" w:color="auto" w:fill="FFFFFF"/>
        </w:rPr>
        <w:t>Engl</w:t>
      </w:r>
      <w:proofErr w:type="spellEnd"/>
      <w:r w:rsidRPr="000D5397">
        <w:rPr>
          <w:rFonts w:cstheme="minorHAnsi"/>
          <w:i/>
          <w:iCs/>
          <w:color w:val="212121"/>
          <w:shd w:val="clear" w:color="auto" w:fill="FFFFFF"/>
        </w:rPr>
        <w:t xml:space="preserve"> J Med</w:t>
      </w:r>
      <w:r w:rsidRPr="000D5397">
        <w:rPr>
          <w:rFonts w:cstheme="minorHAnsi"/>
          <w:color w:val="212121"/>
          <w:shd w:val="clear" w:color="auto" w:fill="FFFFFF"/>
        </w:rPr>
        <w:t>. 2021;385(13):1196-1206. doi:10.1056/NEJMoa2103485</w:t>
      </w:r>
    </w:p>
    <w:p w14:paraId="62E4C775" w14:textId="1F1EA65B" w:rsidR="00336A0E" w:rsidRPr="001B5EB0" w:rsidRDefault="00336A0E" w:rsidP="00A65E3D">
      <w:pPr>
        <w:pStyle w:val="Odstavecseseznamem"/>
        <w:numPr>
          <w:ilvl w:val="0"/>
          <w:numId w:val="7"/>
        </w:numPr>
        <w:spacing w:after="160" w:line="259" w:lineRule="auto"/>
        <w:rPr>
          <w:rFonts w:cstheme="minorHAnsi"/>
          <w:color w:val="000000" w:themeColor="text1"/>
        </w:rPr>
      </w:pPr>
      <w:proofErr w:type="spellStart"/>
      <w:r w:rsidRPr="00336A0E">
        <w:rPr>
          <w:rFonts w:cstheme="minorHAnsi"/>
        </w:rPr>
        <w:t>European</w:t>
      </w:r>
      <w:proofErr w:type="spellEnd"/>
      <w:r w:rsidRPr="00336A0E">
        <w:rPr>
          <w:rFonts w:cstheme="minorHAnsi"/>
        </w:rPr>
        <w:t xml:space="preserve"> </w:t>
      </w:r>
      <w:proofErr w:type="spellStart"/>
      <w:r w:rsidRPr="00336A0E">
        <w:rPr>
          <w:rFonts w:cstheme="minorHAnsi"/>
        </w:rPr>
        <w:t>Medicines</w:t>
      </w:r>
      <w:proofErr w:type="spellEnd"/>
      <w:r w:rsidRPr="00336A0E">
        <w:rPr>
          <w:rFonts w:cstheme="minorHAnsi"/>
        </w:rPr>
        <w:t xml:space="preserve"> </w:t>
      </w:r>
      <w:proofErr w:type="spellStart"/>
      <w:r w:rsidRPr="00336A0E">
        <w:rPr>
          <w:rFonts w:cstheme="minorHAnsi"/>
        </w:rPr>
        <w:t>Agency</w:t>
      </w:r>
      <w:proofErr w:type="spellEnd"/>
      <w:r w:rsidRPr="00336A0E">
        <w:rPr>
          <w:rFonts w:cstheme="minorHAnsi"/>
        </w:rPr>
        <w:t xml:space="preserve">. </w:t>
      </w:r>
      <w:proofErr w:type="spellStart"/>
      <w:r w:rsidR="00B83E64">
        <w:rPr>
          <w:rFonts w:cstheme="minorHAnsi"/>
        </w:rPr>
        <w:t>Kimmtrak</w:t>
      </w:r>
      <w:proofErr w:type="spellEnd"/>
      <w:r w:rsidRPr="00336A0E">
        <w:rPr>
          <w:rFonts w:cstheme="minorHAnsi"/>
        </w:rPr>
        <w:t xml:space="preserve">. </w:t>
      </w:r>
      <w:proofErr w:type="spellStart"/>
      <w:r w:rsidRPr="00336A0E">
        <w:rPr>
          <w:rFonts w:cstheme="minorHAnsi"/>
        </w:rPr>
        <w:t>Assessment</w:t>
      </w:r>
      <w:proofErr w:type="spellEnd"/>
      <w:r w:rsidRPr="00336A0E">
        <w:rPr>
          <w:rFonts w:cstheme="minorHAnsi"/>
        </w:rPr>
        <w:t xml:space="preserve"> report (</w:t>
      </w:r>
      <w:proofErr w:type="spellStart"/>
      <w:r w:rsidRPr="00336A0E">
        <w:rPr>
          <w:rFonts w:cstheme="minorHAnsi"/>
        </w:rPr>
        <w:t>procedure</w:t>
      </w:r>
      <w:proofErr w:type="spellEnd"/>
      <w:r w:rsidRPr="00336A0E">
        <w:rPr>
          <w:rFonts w:cstheme="minorHAnsi"/>
        </w:rPr>
        <w:t xml:space="preserve"> No. EMEA/H/C/00</w:t>
      </w:r>
      <w:r w:rsidR="004074A3">
        <w:rPr>
          <w:rFonts w:cstheme="minorHAnsi"/>
        </w:rPr>
        <w:t>4929</w:t>
      </w:r>
      <w:r w:rsidRPr="00336A0E">
        <w:rPr>
          <w:rFonts w:cstheme="minorHAnsi"/>
        </w:rPr>
        <w:t>/0000). 2</w:t>
      </w:r>
      <w:r w:rsidR="004074A3">
        <w:rPr>
          <w:rFonts w:cstheme="minorHAnsi"/>
        </w:rPr>
        <w:t>4</w:t>
      </w:r>
      <w:r w:rsidRPr="00336A0E">
        <w:rPr>
          <w:rFonts w:cstheme="minorHAnsi"/>
        </w:rPr>
        <w:t xml:space="preserve"> </w:t>
      </w:r>
      <w:proofErr w:type="spellStart"/>
      <w:r w:rsidRPr="00336A0E">
        <w:rPr>
          <w:rFonts w:cstheme="minorHAnsi"/>
        </w:rPr>
        <w:t>February</w:t>
      </w:r>
      <w:proofErr w:type="spellEnd"/>
      <w:r w:rsidRPr="00336A0E">
        <w:rPr>
          <w:rFonts w:cstheme="minorHAnsi"/>
        </w:rPr>
        <w:t xml:space="preserve"> 202</w:t>
      </w:r>
      <w:r w:rsidR="004074A3">
        <w:rPr>
          <w:rFonts w:cstheme="minorHAnsi"/>
        </w:rPr>
        <w:t>2</w:t>
      </w:r>
    </w:p>
    <w:p w14:paraId="358772F1" w14:textId="0CA6A13D" w:rsidR="001B5EB0" w:rsidRDefault="001B5EB0" w:rsidP="001B5EB0">
      <w:pPr>
        <w:pStyle w:val="Odstavecseseznamem"/>
        <w:numPr>
          <w:ilvl w:val="0"/>
          <w:numId w:val="7"/>
        </w:numPr>
        <w:spacing w:after="0" w:line="259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ESMO-MCBS </w:t>
      </w:r>
      <w:proofErr w:type="spellStart"/>
      <w:r>
        <w:rPr>
          <w:rFonts w:cstheme="minorHAnsi"/>
          <w:sz w:val="20"/>
          <w:szCs w:val="20"/>
        </w:rPr>
        <w:t>Scorecards</w:t>
      </w:r>
      <w:proofErr w:type="spellEnd"/>
      <w:r>
        <w:rPr>
          <w:rFonts w:cstheme="minorHAnsi"/>
          <w:sz w:val="20"/>
          <w:szCs w:val="20"/>
        </w:rPr>
        <w:t xml:space="preserve"> na www.esmo.org (ze dne </w:t>
      </w:r>
      <w:r>
        <w:rPr>
          <w:rFonts w:cstheme="minorHAnsi"/>
          <w:sz w:val="20"/>
          <w:szCs w:val="20"/>
        </w:rPr>
        <w:t>28.4</w:t>
      </w:r>
      <w:r>
        <w:rPr>
          <w:rFonts w:cstheme="minorHAnsi"/>
          <w:sz w:val="20"/>
          <w:szCs w:val="20"/>
        </w:rPr>
        <w:t>.2022)</w:t>
      </w:r>
    </w:p>
    <w:p w14:paraId="6F845E99" w14:textId="4D9C59C8" w:rsidR="003C35B8" w:rsidRDefault="003C35B8" w:rsidP="001B5EB0">
      <w:pPr>
        <w:pStyle w:val="Odstavecseseznamem"/>
        <w:numPr>
          <w:ilvl w:val="0"/>
          <w:numId w:val="7"/>
        </w:numPr>
        <w:spacing w:after="0" w:line="259" w:lineRule="auto"/>
        <w:jc w:val="both"/>
        <w:rPr>
          <w:rFonts w:cstheme="minorHAnsi"/>
          <w:sz w:val="20"/>
          <w:szCs w:val="20"/>
        </w:rPr>
      </w:pPr>
      <w:hyperlink r:id="rId11" w:history="1">
        <w:proofErr w:type="spellStart"/>
        <w:r>
          <w:rPr>
            <w:rStyle w:val="Hypertextovodkaz"/>
          </w:rPr>
          <w:t>Kimmtrak</w:t>
        </w:r>
        <w:proofErr w:type="spellEnd"/>
        <w:r>
          <w:rPr>
            <w:rStyle w:val="Hypertextovodkaz"/>
          </w:rPr>
          <w:t xml:space="preserve"> | </w:t>
        </w:r>
        <w:proofErr w:type="spellStart"/>
        <w:r>
          <w:rPr>
            <w:rStyle w:val="Hypertextovodkaz"/>
          </w:rPr>
          <w:t>European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Medicines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Agency</w:t>
        </w:r>
        <w:proofErr w:type="spellEnd"/>
        <w:r>
          <w:rPr>
            <w:rStyle w:val="Hypertextovodkaz"/>
          </w:rPr>
          <w:t xml:space="preserve"> (europa.eu)</w:t>
        </w:r>
      </w:hyperlink>
      <w:r>
        <w:t xml:space="preserve"> (staženo 6.8.2022)</w:t>
      </w:r>
    </w:p>
    <w:p w14:paraId="5178EF6B" w14:textId="2785C3E0" w:rsidR="005A4624" w:rsidRDefault="005A4624" w:rsidP="00DE3B44">
      <w:pPr>
        <w:pStyle w:val="Odstavecseseznamem"/>
        <w:spacing w:after="160" w:line="259" w:lineRule="auto"/>
        <w:rPr>
          <w:rStyle w:val="Hypertextovodkaz"/>
          <w:rFonts w:cstheme="minorHAnsi"/>
          <w:color w:val="000000" w:themeColor="text1"/>
          <w:u w:val="none"/>
        </w:rPr>
      </w:pPr>
    </w:p>
    <w:p w14:paraId="51B82058" w14:textId="1FBDC41C" w:rsidR="005A4624" w:rsidRDefault="005A4624" w:rsidP="00DE3B44">
      <w:pPr>
        <w:pStyle w:val="Odstavecseseznamem"/>
        <w:spacing w:after="160" w:line="259" w:lineRule="auto"/>
        <w:rPr>
          <w:rFonts w:cstheme="minorHAnsi"/>
        </w:rPr>
      </w:pPr>
    </w:p>
    <w:p w14:paraId="4E192E7A" w14:textId="3718E306" w:rsidR="005A4624" w:rsidRDefault="005A4624" w:rsidP="00DE3B44">
      <w:pPr>
        <w:pStyle w:val="Odstavecseseznamem"/>
        <w:spacing w:after="160" w:line="259" w:lineRule="auto"/>
        <w:rPr>
          <w:rFonts w:cstheme="minorHAnsi"/>
        </w:rPr>
      </w:pPr>
    </w:p>
    <w:p w14:paraId="79658435" w14:textId="77777777" w:rsidR="005A4624" w:rsidRPr="00E42CAD" w:rsidRDefault="005A4624" w:rsidP="005A4624">
      <w:pPr>
        <w:spacing w:after="0"/>
        <w:rPr>
          <w:rFonts w:cstheme="minorHAnsi"/>
          <w:b/>
          <w:sz w:val="28"/>
          <w:szCs w:val="28"/>
          <w:u w:val="single"/>
        </w:rPr>
      </w:pPr>
      <w:r w:rsidRPr="00E42CAD">
        <w:rPr>
          <w:rFonts w:cstheme="minorHAnsi"/>
          <w:b/>
          <w:sz w:val="28"/>
          <w:szCs w:val="28"/>
          <w:u w:val="single"/>
        </w:rPr>
        <w:t>PŘÍLOHY:</w:t>
      </w:r>
    </w:p>
    <w:p w14:paraId="4D4F43C0" w14:textId="77777777" w:rsidR="005A4624" w:rsidRDefault="005A4624" w:rsidP="005A4624">
      <w:pPr>
        <w:spacing w:after="0"/>
        <w:rPr>
          <w:rFonts w:cstheme="minorHAnsi"/>
          <w:sz w:val="20"/>
          <w:szCs w:val="20"/>
        </w:rPr>
      </w:pPr>
    </w:p>
    <w:p w14:paraId="74E6F443" w14:textId="73E11C40" w:rsidR="005A4624" w:rsidRDefault="00F80AA3" w:rsidP="005A4624">
      <w:pPr>
        <w:spacing w:after="0"/>
        <w:rPr>
          <w:b/>
        </w:rPr>
      </w:pPr>
      <w:r>
        <w:rPr>
          <w:b/>
        </w:rPr>
        <w:t xml:space="preserve">             </w:t>
      </w:r>
      <w:r w:rsidR="00A61920">
        <w:rPr>
          <w:b/>
        </w:rPr>
        <w:t xml:space="preserve">  </w:t>
      </w:r>
      <w:r w:rsidR="005A4624">
        <w:rPr>
          <w:b/>
        </w:rPr>
        <w:t xml:space="preserve">Příloha č. </w:t>
      </w:r>
      <w:proofErr w:type="gramStart"/>
      <w:r w:rsidR="005A4624">
        <w:rPr>
          <w:b/>
        </w:rPr>
        <w:t>1</w:t>
      </w:r>
      <w:r w:rsidR="00A61920">
        <w:rPr>
          <w:b/>
        </w:rPr>
        <w:t xml:space="preserve"> – z</w:t>
      </w:r>
      <w:proofErr w:type="gramEnd"/>
      <w:r w:rsidR="00A61920">
        <w:rPr>
          <w:b/>
        </w:rPr>
        <w:t> diskuze ve zdroji pod pozn. 4</w:t>
      </w:r>
      <w:r w:rsidR="005A4624">
        <w:rPr>
          <w:b/>
        </w:rPr>
        <w:t>:</w:t>
      </w:r>
    </w:p>
    <w:p w14:paraId="09583082" w14:textId="77777777" w:rsidR="00663785" w:rsidRDefault="00F80AA3" w:rsidP="00F80AA3">
      <w:pPr>
        <w:pStyle w:val="Odstavecseseznamem"/>
        <w:spacing w:after="160" w:line="259" w:lineRule="auto"/>
        <w:jc w:val="both"/>
        <w:rPr>
          <w:rFonts w:cstheme="minorHAnsi"/>
          <w:color w:val="000000"/>
          <w:shd w:val="clear" w:color="auto" w:fill="F5F5F5"/>
        </w:rPr>
      </w:pPr>
      <w:r w:rsidRPr="00F80AA3">
        <w:rPr>
          <w:rFonts w:cstheme="minorHAnsi"/>
          <w:color w:val="000000"/>
          <w:shd w:val="clear" w:color="auto" w:fill="F5F5F5"/>
        </w:rPr>
        <w:t xml:space="preserve">Celkem 109 pacientů (43,3 %) v rameni </w:t>
      </w:r>
      <w:r w:rsidR="00663785">
        <w:rPr>
          <w:rFonts w:cstheme="minorHAnsi"/>
          <w:color w:val="000000"/>
          <w:shd w:val="clear" w:color="auto" w:fill="F5F5F5"/>
        </w:rPr>
        <w:t xml:space="preserve">s </w:t>
      </w:r>
      <w:proofErr w:type="spellStart"/>
      <w:r w:rsidRPr="00F80AA3">
        <w:rPr>
          <w:rFonts w:cstheme="minorHAnsi"/>
          <w:color w:val="000000"/>
          <w:shd w:val="clear" w:color="auto" w:fill="F5F5F5"/>
        </w:rPr>
        <w:t>tebentafusp</w:t>
      </w:r>
      <w:r w:rsidR="00663785">
        <w:rPr>
          <w:rFonts w:cstheme="minorHAnsi"/>
          <w:color w:val="000000"/>
          <w:shd w:val="clear" w:color="auto" w:fill="F5F5F5"/>
        </w:rPr>
        <w:t>em</w:t>
      </w:r>
      <w:proofErr w:type="spellEnd"/>
      <w:r w:rsidRPr="00F80AA3">
        <w:rPr>
          <w:rFonts w:cstheme="minorHAnsi"/>
          <w:color w:val="000000"/>
          <w:shd w:val="clear" w:color="auto" w:fill="F5F5F5"/>
        </w:rPr>
        <w:t xml:space="preserve"> a 18 pacientů (14,3 %) v rameni podle volby zkoušejícího bylo léčeno po progresi RECIST</w:t>
      </w:r>
      <w:r w:rsidR="00663785">
        <w:rPr>
          <w:rFonts w:cstheme="minorHAnsi"/>
          <w:color w:val="000000"/>
          <w:shd w:val="clear" w:color="auto" w:fill="F5F5F5"/>
        </w:rPr>
        <w:t xml:space="preserve"> kritérií</w:t>
      </w:r>
      <w:r w:rsidRPr="00F80AA3">
        <w:rPr>
          <w:rFonts w:cstheme="minorHAnsi"/>
          <w:color w:val="000000"/>
          <w:shd w:val="clear" w:color="auto" w:fill="F5F5F5"/>
        </w:rPr>
        <w:t xml:space="preserve">. Můžeme tedy pozorovat jasnou nerovnováhu s vyšším podílem pacientů z ramene </w:t>
      </w:r>
      <w:proofErr w:type="spellStart"/>
      <w:r w:rsidRPr="00F80AA3">
        <w:rPr>
          <w:rFonts w:cstheme="minorHAnsi"/>
          <w:color w:val="000000"/>
          <w:shd w:val="clear" w:color="auto" w:fill="F5F5F5"/>
        </w:rPr>
        <w:t>tebentafusp</w:t>
      </w:r>
      <w:proofErr w:type="spellEnd"/>
      <w:r w:rsidRPr="00F80AA3">
        <w:rPr>
          <w:rFonts w:cstheme="minorHAnsi"/>
          <w:color w:val="000000"/>
          <w:shd w:val="clear" w:color="auto" w:fill="F5F5F5"/>
        </w:rPr>
        <w:t xml:space="preserve"> léčených po progresi ve srovnání s</w:t>
      </w:r>
      <w:r w:rsidR="00663785">
        <w:rPr>
          <w:rFonts w:cstheme="minorHAnsi"/>
          <w:color w:val="000000"/>
          <w:shd w:val="clear" w:color="auto" w:fill="F5F5F5"/>
        </w:rPr>
        <w:t> </w:t>
      </w:r>
      <w:r w:rsidRPr="00F80AA3">
        <w:rPr>
          <w:rFonts w:cstheme="minorHAnsi"/>
          <w:color w:val="000000"/>
          <w:shd w:val="clear" w:color="auto" w:fill="F5F5F5"/>
        </w:rPr>
        <w:t>ramenem</w:t>
      </w:r>
      <w:r w:rsidR="00663785">
        <w:rPr>
          <w:rFonts w:cstheme="minorHAnsi"/>
          <w:color w:val="000000"/>
          <w:shd w:val="clear" w:color="auto" w:fill="F5F5F5"/>
        </w:rPr>
        <w:t xml:space="preserve"> volby léčby </w:t>
      </w:r>
      <w:r w:rsidRPr="00F80AA3">
        <w:rPr>
          <w:rFonts w:cstheme="minorHAnsi"/>
          <w:color w:val="000000"/>
          <w:shd w:val="clear" w:color="auto" w:fill="F5F5F5"/>
        </w:rPr>
        <w:t xml:space="preserve">zkoušejícím. Vzhledem k tomu, že studie probíhala v otevřeném prostředí, existují obavy, že rozhodnutí o léčbě po progresi může být zkreslené a </w:t>
      </w:r>
      <w:r w:rsidR="00663785">
        <w:rPr>
          <w:rFonts w:cstheme="minorHAnsi"/>
          <w:color w:val="000000"/>
          <w:shd w:val="clear" w:color="auto" w:fill="F5F5F5"/>
        </w:rPr>
        <w:t xml:space="preserve">také nevíme </w:t>
      </w:r>
      <w:r w:rsidRPr="00F80AA3">
        <w:rPr>
          <w:rFonts w:cstheme="minorHAnsi"/>
          <w:color w:val="000000"/>
          <w:shd w:val="clear" w:color="auto" w:fill="F5F5F5"/>
        </w:rPr>
        <w:t xml:space="preserve">do jaké míry </w:t>
      </w:r>
      <w:r w:rsidR="00663785">
        <w:rPr>
          <w:rFonts w:cstheme="minorHAnsi"/>
          <w:color w:val="000000"/>
          <w:shd w:val="clear" w:color="auto" w:fill="F5F5F5"/>
        </w:rPr>
        <w:t>mohly být</w:t>
      </w:r>
      <w:r w:rsidRPr="00F80AA3">
        <w:rPr>
          <w:rFonts w:cstheme="minorHAnsi"/>
          <w:color w:val="000000"/>
          <w:shd w:val="clear" w:color="auto" w:fill="F5F5F5"/>
        </w:rPr>
        <w:t xml:space="preserve"> ovlivněny výsledky OS. Je třeba poznamenat, že podíl pacientů, kteří pokračovali v léčbě po progresi </w:t>
      </w:r>
      <w:r w:rsidR="00663785">
        <w:rPr>
          <w:rFonts w:cstheme="minorHAnsi"/>
          <w:color w:val="000000"/>
          <w:shd w:val="clear" w:color="auto" w:fill="F5F5F5"/>
        </w:rPr>
        <w:t xml:space="preserve">(tzv. TBP) </w:t>
      </w:r>
      <w:r w:rsidRPr="00F80AA3">
        <w:rPr>
          <w:rFonts w:cstheme="minorHAnsi"/>
          <w:color w:val="000000"/>
          <w:shd w:val="clear" w:color="auto" w:fill="F5F5F5"/>
        </w:rPr>
        <w:t xml:space="preserve">v rámci této podskupiny vhodných pacientů, byl mnohem vyšší v rameni </w:t>
      </w:r>
      <w:proofErr w:type="spellStart"/>
      <w:r w:rsidRPr="00F80AA3">
        <w:rPr>
          <w:rFonts w:cstheme="minorHAnsi"/>
          <w:color w:val="000000"/>
          <w:shd w:val="clear" w:color="auto" w:fill="F5F5F5"/>
        </w:rPr>
        <w:t>tebentafusp</w:t>
      </w:r>
      <w:proofErr w:type="spellEnd"/>
      <w:r w:rsidRPr="00F80AA3">
        <w:rPr>
          <w:rFonts w:cstheme="minorHAnsi"/>
          <w:color w:val="000000"/>
          <w:shd w:val="clear" w:color="auto" w:fill="F5F5F5"/>
        </w:rPr>
        <w:t xml:space="preserve"> (59,6 %) ve srovnání s ramenem </w:t>
      </w:r>
      <w:r w:rsidR="00663785">
        <w:rPr>
          <w:rFonts w:cstheme="minorHAnsi"/>
          <w:color w:val="000000"/>
          <w:shd w:val="clear" w:color="auto" w:fill="F5F5F5"/>
        </w:rPr>
        <w:t xml:space="preserve">léčbu </w:t>
      </w:r>
      <w:r w:rsidRPr="00F80AA3">
        <w:rPr>
          <w:rFonts w:cstheme="minorHAnsi"/>
          <w:color w:val="000000"/>
          <w:shd w:val="clear" w:color="auto" w:fill="F5F5F5"/>
        </w:rPr>
        <w:t>vyb</w:t>
      </w:r>
      <w:r w:rsidR="00663785">
        <w:rPr>
          <w:rFonts w:cstheme="minorHAnsi"/>
          <w:color w:val="000000"/>
          <w:shd w:val="clear" w:color="auto" w:fill="F5F5F5"/>
        </w:rPr>
        <w:t>í</w:t>
      </w:r>
      <w:r w:rsidRPr="00F80AA3">
        <w:rPr>
          <w:rFonts w:cstheme="minorHAnsi"/>
          <w:color w:val="000000"/>
          <w:shd w:val="clear" w:color="auto" w:fill="F5F5F5"/>
        </w:rPr>
        <w:t>ran</w:t>
      </w:r>
      <w:r w:rsidR="00663785">
        <w:rPr>
          <w:rFonts w:cstheme="minorHAnsi"/>
          <w:color w:val="000000"/>
          <w:shd w:val="clear" w:color="auto" w:fill="F5F5F5"/>
        </w:rPr>
        <w:t>ou</w:t>
      </w:r>
      <w:r w:rsidRPr="00F80AA3">
        <w:rPr>
          <w:rFonts w:cstheme="minorHAnsi"/>
          <w:color w:val="000000"/>
          <w:shd w:val="clear" w:color="auto" w:fill="F5F5F5"/>
        </w:rPr>
        <w:t xml:space="preserve"> zkoušejícím (18,6 %), zatímco způsobilost pro TBP byla podobná </w:t>
      </w:r>
      <w:r w:rsidR="00663785">
        <w:rPr>
          <w:rFonts w:cstheme="minorHAnsi"/>
          <w:color w:val="000000"/>
          <w:shd w:val="clear" w:color="auto" w:fill="F5F5F5"/>
        </w:rPr>
        <w:t>pro obě</w:t>
      </w:r>
      <w:r w:rsidRPr="00F80AA3">
        <w:rPr>
          <w:rFonts w:cstheme="minorHAnsi"/>
          <w:color w:val="000000"/>
          <w:shd w:val="clear" w:color="auto" w:fill="F5F5F5"/>
        </w:rPr>
        <w:t xml:space="preserve"> dvě skupiny (78,6 % versus 77,0 %). Navíc se zdá, že incidence následných protinádorových terapií byla vyšší v rameni </w:t>
      </w:r>
      <w:r w:rsidR="00663785">
        <w:rPr>
          <w:rFonts w:cstheme="minorHAnsi"/>
          <w:color w:val="000000"/>
          <w:shd w:val="clear" w:color="auto" w:fill="F5F5F5"/>
        </w:rPr>
        <w:t xml:space="preserve">s </w:t>
      </w:r>
      <w:proofErr w:type="spellStart"/>
      <w:r w:rsidRPr="00F80AA3">
        <w:rPr>
          <w:rFonts w:cstheme="minorHAnsi"/>
          <w:color w:val="000000"/>
          <w:shd w:val="clear" w:color="auto" w:fill="F5F5F5"/>
        </w:rPr>
        <w:t>tebentafusp</w:t>
      </w:r>
      <w:r w:rsidR="00663785">
        <w:rPr>
          <w:rFonts w:cstheme="minorHAnsi"/>
          <w:color w:val="000000"/>
          <w:shd w:val="clear" w:color="auto" w:fill="F5F5F5"/>
        </w:rPr>
        <w:t>em</w:t>
      </w:r>
      <w:proofErr w:type="spellEnd"/>
      <w:r w:rsidRPr="00F80AA3">
        <w:rPr>
          <w:rFonts w:cstheme="minorHAnsi"/>
          <w:color w:val="000000"/>
          <w:shd w:val="clear" w:color="auto" w:fill="F5F5F5"/>
        </w:rPr>
        <w:t xml:space="preserve"> ve srovnání s kontrolním ramenem (39,3 % vs. 32,0 %). To naznačuje, že mezi léčebnými skupinami existuje rozdíl v léčbě TBP. Nelze vyloučit, že takový rozdíl by mohl potenciálně souviset s otevřeným designem</w:t>
      </w:r>
      <w:r w:rsidR="00663785">
        <w:rPr>
          <w:rFonts w:cstheme="minorHAnsi"/>
          <w:color w:val="000000"/>
          <w:shd w:val="clear" w:color="auto" w:fill="F5F5F5"/>
        </w:rPr>
        <w:t xml:space="preserve"> studie</w:t>
      </w:r>
      <w:r w:rsidRPr="00F80AA3">
        <w:rPr>
          <w:rFonts w:cstheme="minorHAnsi"/>
          <w:color w:val="000000"/>
          <w:shd w:val="clear" w:color="auto" w:fill="F5F5F5"/>
        </w:rPr>
        <w:t>. Nicméně, vezmeme-li v úvahu vliv velikosti pozorovaný v primární analýze s konzistentní analýzou citlivosti a skutečnost, že další analýza TBP by byla čistě výzkumná, je nepravděpodobné, že by další analýza mohla ovlivnit závěry o poměru přínosů a rizik.</w:t>
      </w:r>
    </w:p>
    <w:p w14:paraId="50CA3BD0" w14:textId="07612B64" w:rsidR="005A4624" w:rsidRPr="00663785" w:rsidRDefault="00663785" w:rsidP="00F80AA3">
      <w:pPr>
        <w:pStyle w:val="Odstavecseseznamem"/>
        <w:spacing w:after="160" w:line="259" w:lineRule="auto"/>
        <w:jc w:val="both"/>
        <w:rPr>
          <w:rFonts w:cstheme="minorHAnsi"/>
        </w:rPr>
      </w:pPr>
      <w:r w:rsidRPr="00663785">
        <w:rPr>
          <w:rFonts w:cstheme="minorHAnsi"/>
          <w:color w:val="000000"/>
          <w:shd w:val="clear" w:color="auto" w:fill="F5F5F5"/>
        </w:rPr>
        <w:t>D</w:t>
      </w:r>
      <w:r w:rsidRPr="00663785">
        <w:rPr>
          <w:rStyle w:val="q4iawc"/>
          <w:rFonts w:cstheme="minorHAnsi"/>
          <w:color w:val="000000"/>
          <w:shd w:val="clear" w:color="auto" w:fill="F5F5F5"/>
        </w:rPr>
        <w:t>ata naznačují, že u několika pacientů radiologická progrese nenaznačovala špatnou prognózu;</w:t>
      </w:r>
      <w:r w:rsidRPr="00663785">
        <w:rPr>
          <w:rFonts w:cstheme="minorHAnsi"/>
          <w:color w:val="000000"/>
          <w:shd w:val="clear" w:color="auto" w:fill="F5F5F5"/>
        </w:rPr>
        <w:t xml:space="preserve"> </w:t>
      </w:r>
      <w:r w:rsidRPr="00663785">
        <w:rPr>
          <w:rStyle w:val="q4iawc"/>
          <w:rFonts w:cstheme="minorHAnsi"/>
          <w:color w:val="000000"/>
          <w:shd w:val="clear" w:color="auto" w:fill="F5F5F5"/>
        </w:rPr>
        <w:t xml:space="preserve">ale je obtížné učinit nějaké pevné závěry, protože tito pacienti byli pečlivě vybráni </w:t>
      </w:r>
      <w:proofErr w:type="gramStart"/>
      <w:r>
        <w:rPr>
          <w:rStyle w:val="q4iawc"/>
          <w:rFonts w:cstheme="minorHAnsi"/>
          <w:color w:val="000000"/>
          <w:shd w:val="clear" w:color="auto" w:fill="F5F5F5"/>
        </w:rPr>
        <w:t xml:space="preserve">dle </w:t>
      </w:r>
      <w:r w:rsidRPr="00663785">
        <w:rPr>
          <w:rStyle w:val="q4iawc"/>
          <w:rFonts w:cstheme="minorHAnsi"/>
          <w:color w:val="000000"/>
          <w:shd w:val="clear" w:color="auto" w:fill="F5F5F5"/>
        </w:rPr>
        <w:t xml:space="preserve"> klinických</w:t>
      </w:r>
      <w:proofErr w:type="gramEnd"/>
      <w:r w:rsidRPr="00663785">
        <w:rPr>
          <w:rStyle w:val="q4iawc"/>
          <w:rFonts w:cstheme="minorHAnsi"/>
          <w:color w:val="000000"/>
          <w:shd w:val="clear" w:color="auto" w:fill="F5F5F5"/>
        </w:rPr>
        <w:t xml:space="preserve"> a </w:t>
      </w:r>
      <w:proofErr w:type="spellStart"/>
      <w:r w:rsidRPr="00663785">
        <w:rPr>
          <w:rStyle w:val="q4iawc"/>
          <w:rFonts w:cstheme="minorHAnsi"/>
          <w:color w:val="000000"/>
          <w:shd w:val="clear" w:color="auto" w:fill="F5F5F5"/>
        </w:rPr>
        <w:t>paraklinických</w:t>
      </w:r>
      <w:proofErr w:type="spellEnd"/>
      <w:r w:rsidRPr="00663785">
        <w:rPr>
          <w:rStyle w:val="q4iawc"/>
          <w:rFonts w:cstheme="minorHAnsi"/>
          <w:color w:val="000000"/>
          <w:shd w:val="clear" w:color="auto" w:fill="F5F5F5"/>
        </w:rPr>
        <w:t xml:space="preserve"> parametrů.</w:t>
      </w:r>
      <w:r w:rsidRPr="00663785">
        <w:rPr>
          <w:rFonts w:cstheme="minorHAnsi"/>
          <w:color w:val="000000"/>
          <w:shd w:val="clear" w:color="auto" w:fill="F5F5F5"/>
        </w:rPr>
        <w:t xml:space="preserve"> </w:t>
      </w:r>
      <w:r w:rsidRPr="00663785">
        <w:rPr>
          <w:rStyle w:val="q4iawc"/>
          <w:rFonts w:cstheme="minorHAnsi"/>
          <w:color w:val="000000"/>
          <w:shd w:val="clear" w:color="auto" w:fill="F5F5F5"/>
        </w:rPr>
        <w:t>Zkreslení selekce je tedy považováno za součást výsledků pozorovaných u pacientů, kteří byli vybráni pro pokračování v léčbě navzdory progresivnímu onemocnění.</w:t>
      </w:r>
      <w:r w:rsidRPr="00663785">
        <w:rPr>
          <w:rFonts w:cstheme="minorHAnsi"/>
          <w:color w:val="000000"/>
          <w:shd w:val="clear" w:color="auto" w:fill="F5F5F5"/>
        </w:rPr>
        <w:t xml:space="preserve"> </w:t>
      </w:r>
      <w:r w:rsidRPr="00663785">
        <w:rPr>
          <w:rStyle w:val="q4iawc"/>
          <w:rFonts w:cstheme="minorHAnsi"/>
          <w:color w:val="000000"/>
          <w:shd w:val="clear" w:color="auto" w:fill="F5F5F5"/>
        </w:rPr>
        <w:t xml:space="preserve">Byl učiněn závěr, že léčba po progresi byla součástí celkové léčebné strategie v </w:t>
      </w:r>
      <w:proofErr w:type="spellStart"/>
      <w:r w:rsidRPr="00663785">
        <w:rPr>
          <w:rStyle w:val="q4iawc"/>
          <w:rFonts w:cstheme="minorHAnsi"/>
          <w:color w:val="000000"/>
          <w:shd w:val="clear" w:color="auto" w:fill="F5F5F5"/>
        </w:rPr>
        <w:t>pivotní</w:t>
      </w:r>
      <w:proofErr w:type="spellEnd"/>
      <w:r w:rsidRPr="00663785">
        <w:rPr>
          <w:rStyle w:val="q4iawc"/>
          <w:rFonts w:cstheme="minorHAnsi"/>
          <w:color w:val="000000"/>
          <w:shd w:val="clear" w:color="auto" w:fill="F5F5F5"/>
        </w:rPr>
        <w:t xml:space="preserve"> studii 202.</w:t>
      </w:r>
      <w:r w:rsidRPr="00663785">
        <w:rPr>
          <w:rFonts w:cstheme="minorHAnsi"/>
          <w:color w:val="000000"/>
          <w:shd w:val="clear" w:color="auto" w:fill="F5F5F5"/>
        </w:rPr>
        <w:t xml:space="preserve"> </w:t>
      </w:r>
      <w:r w:rsidRPr="00663785">
        <w:rPr>
          <w:rStyle w:val="q4iawc"/>
          <w:rFonts w:cstheme="minorHAnsi"/>
          <w:color w:val="000000"/>
          <w:shd w:val="clear" w:color="auto" w:fill="F5F5F5"/>
        </w:rPr>
        <w:t>Navíc, protože OS bylo primárním cílovým parametrem této studie, nelze vyloučit, že tato strategie byla podstatnou součástí pozorovaného přínosu OS.</w:t>
      </w:r>
      <w:r w:rsidRPr="00663785">
        <w:rPr>
          <w:rFonts w:cstheme="minorHAnsi"/>
          <w:color w:val="000000"/>
          <w:shd w:val="clear" w:color="auto" w:fill="F5F5F5"/>
        </w:rPr>
        <w:t xml:space="preserve"> </w:t>
      </w:r>
      <w:r w:rsidRPr="00663785">
        <w:rPr>
          <w:rStyle w:val="q4iawc"/>
          <w:rFonts w:cstheme="minorHAnsi"/>
          <w:color w:val="000000"/>
          <w:shd w:val="clear" w:color="auto" w:fill="F5F5F5"/>
        </w:rPr>
        <w:t>Nepovažovalo se za smysluplné žádat o další analýzy k objasnění tohoto problému, protože design studie a prvek zkreslení výběru znemožňují jakékoli absolutní závěry v této otázce.</w:t>
      </w:r>
      <w:r w:rsidRPr="00663785">
        <w:rPr>
          <w:rFonts w:cstheme="minorHAnsi"/>
          <w:color w:val="000000"/>
          <w:shd w:val="clear" w:color="auto" w:fill="F5F5F5"/>
        </w:rPr>
        <w:t xml:space="preserve"> </w:t>
      </w:r>
      <w:r w:rsidRPr="00663785">
        <w:rPr>
          <w:rStyle w:val="q4iawc"/>
          <w:rFonts w:cstheme="minorHAnsi"/>
          <w:color w:val="000000"/>
          <w:shd w:val="clear" w:color="auto" w:fill="F5F5F5"/>
        </w:rPr>
        <w:t xml:space="preserve">Proto byl učiněn závěr, že léčba </w:t>
      </w:r>
      <w:proofErr w:type="spellStart"/>
      <w:r w:rsidRPr="00663785">
        <w:rPr>
          <w:rStyle w:val="q4iawc"/>
          <w:rFonts w:cstheme="minorHAnsi"/>
          <w:color w:val="000000"/>
          <w:shd w:val="clear" w:color="auto" w:fill="F5F5F5"/>
        </w:rPr>
        <w:t>tebentafusp</w:t>
      </w:r>
      <w:r w:rsidR="00A61920">
        <w:rPr>
          <w:rStyle w:val="q4iawc"/>
          <w:rFonts w:cstheme="minorHAnsi"/>
          <w:color w:val="000000"/>
          <w:shd w:val="clear" w:color="auto" w:fill="F5F5F5"/>
        </w:rPr>
        <w:t>em</w:t>
      </w:r>
      <w:proofErr w:type="spellEnd"/>
      <w:r w:rsidRPr="00663785">
        <w:rPr>
          <w:rStyle w:val="q4iawc"/>
          <w:rFonts w:cstheme="minorHAnsi"/>
          <w:color w:val="000000"/>
          <w:shd w:val="clear" w:color="auto" w:fill="F5F5F5"/>
        </w:rPr>
        <w:t xml:space="preserve"> po progresi je přijatelná</w:t>
      </w:r>
      <w:r w:rsidR="00A61920">
        <w:rPr>
          <w:rStyle w:val="q4iawc"/>
          <w:rFonts w:cstheme="minorHAnsi"/>
          <w:color w:val="000000"/>
          <w:shd w:val="clear" w:color="auto" w:fill="F5F5F5"/>
        </w:rPr>
        <w:t>.</w:t>
      </w:r>
    </w:p>
    <w:sectPr w:rsidR="005A4624" w:rsidRPr="00663785" w:rsidSect="00C32565">
      <w:footerReference w:type="default" r:id="rId12"/>
      <w:pgSz w:w="11906" w:h="16838" w:code="9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14C5" w14:textId="77777777" w:rsidR="00141FCF" w:rsidRDefault="00141FCF" w:rsidP="003C35B8">
      <w:pPr>
        <w:spacing w:after="0" w:line="240" w:lineRule="auto"/>
      </w:pPr>
      <w:r>
        <w:separator/>
      </w:r>
    </w:p>
  </w:endnote>
  <w:endnote w:type="continuationSeparator" w:id="0">
    <w:p w14:paraId="0480FDCF" w14:textId="77777777" w:rsidR="00141FCF" w:rsidRDefault="00141FCF" w:rsidP="003C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568221"/>
      <w:docPartObj>
        <w:docPartGallery w:val="Page Numbers (Bottom of Page)"/>
        <w:docPartUnique/>
      </w:docPartObj>
    </w:sdtPr>
    <w:sdtContent>
      <w:p w14:paraId="013BEDD7" w14:textId="5340B226" w:rsidR="003C35B8" w:rsidRDefault="003C35B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721F77" wp14:editId="447E41E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E0ACC" w14:textId="77777777" w:rsidR="003C35B8" w:rsidRDefault="003C35B8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E721F7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am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Af7sam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14:paraId="2B2E0ACC" w14:textId="77777777" w:rsidR="003C35B8" w:rsidRDefault="003C35B8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D692" w14:textId="77777777" w:rsidR="00141FCF" w:rsidRDefault="00141FCF" w:rsidP="003C35B8">
      <w:pPr>
        <w:spacing w:after="0" w:line="240" w:lineRule="auto"/>
      </w:pPr>
      <w:r>
        <w:separator/>
      </w:r>
    </w:p>
  </w:footnote>
  <w:footnote w:type="continuationSeparator" w:id="0">
    <w:p w14:paraId="4918C123" w14:textId="77777777" w:rsidR="00141FCF" w:rsidRDefault="00141FCF" w:rsidP="003C3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B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8339E7"/>
    <w:multiLevelType w:val="hybridMultilevel"/>
    <w:tmpl w:val="0C16037E"/>
    <w:lvl w:ilvl="0" w:tplc="4334A9B4">
      <w:start w:val="25"/>
      <w:numFmt w:val="bullet"/>
      <w:lvlText w:val="-"/>
      <w:lvlJc w:val="left"/>
      <w:pPr>
        <w:ind w:left="111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 w15:restartNumberingAfterBreak="0">
    <w:nsid w:val="1E317710"/>
    <w:multiLevelType w:val="hybridMultilevel"/>
    <w:tmpl w:val="C3AE7A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79A4"/>
    <w:multiLevelType w:val="hybridMultilevel"/>
    <w:tmpl w:val="149C2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118BF"/>
    <w:multiLevelType w:val="hybridMultilevel"/>
    <w:tmpl w:val="05CCC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9AF1"/>
    <w:multiLevelType w:val="hybridMultilevel"/>
    <w:tmpl w:val="3C444DA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94377FB"/>
    <w:multiLevelType w:val="hybridMultilevel"/>
    <w:tmpl w:val="46BC1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007E1"/>
    <w:multiLevelType w:val="hybridMultilevel"/>
    <w:tmpl w:val="CEC8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30B84"/>
    <w:multiLevelType w:val="hybridMultilevel"/>
    <w:tmpl w:val="CC521C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06885"/>
    <w:multiLevelType w:val="hybridMultilevel"/>
    <w:tmpl w:val="A446C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53F53"/>
    <w:multiLevelType w:val="hybridMultilevel"/>
    <w:tmpl w:val="0E4CF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B2DF7"/>
    <w:multiLevelType w:val="hybridMultilevel"/>
    <w:tmpl w:val="034A7B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26EC8"/>
    <w:multiLevelType w:val="hybridMultilevel"/>
    <w:tmpl w:val="740A3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B0BEF"/>
    <w:multiLevelType w:val="hybridMultilevel"/>
    <w:tmpl w:val="016837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7472C"/>
    <w:multiLevelType w:val="hybridMultilevel"/>
    <w:tmpl w:val="2A58C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35109"/>
    <w:multiLevelType w:val="hybridMultilevel"/>
    <w:tmpl w:val="1F06A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5"/>
  </w:num>
  <w:num w:numId="5">
    <w:abstractNumId w:val="2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13"/>
  </w:num>
  <w:num w:numId="11">
    <w:abstractNumId w:val="12"/>
  </w:num>
  <w:num w:numId="12">
    <w:abstractNumId w:val="14"/>
  </w:num>
  <w:num w:numId="13">
    <w:abstractNumId w:val="10"/>
  </w:num>
  <w:num w:numId="14">
    <w:abstractNumId w:val="6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2B6"/>
    <w:rsid w:val="00002236"/>
    <w:rsid w:val="000025C0"/>
    <w:rsid w:val="000036D7"/>
    <w:rsid w:val="00012573"/>
    <w:rsid w:val="00017125"/>
    <w:rsid w:val="00021BC2"/>
    <w:rsid w:val="0002337A"/>
    <w:rsid w:val="00024D3B"/>
    <w:rsid w:val="00027FEF"/>
    <w:rsid w:val="00033BA2"/>
    <w:rsid w:val="000349CE"/>
    <w:rsid w:val="00035D6B"/>
    <w:rsid w:val="0004343E"/>
    <w:rsid w:val="00045035"/>
    <w:rsid w:val="00046132"/>
    <w:rsid w:val="00054EB4"/>
    <w:rsid w:val="00066911"/>
    <w:rsid w:val="00074291"/>
    <w:rsid w:val="000761A0"/>
    <w:rsid w:val="00081191"/>
    <w:rsid w:val="00081ADF"/>
    <w:rsid w:val="00087B6D"/>
    <w:rsid w:val="00091D73"/>
    <w:rsid w:val="00094BB5"/>
    <w:rsid w:val="000A2563"/>
    <w:rsid w:val="000B2969"/>
    <w:rsid w:val="000B7394"/>
    <w:rsid w:val="000B7BAC"/>
    <w:rsid w:val="000C4FD9"/>
    <w:rsid w:val="000D13F2"/>
    <w:rsid w:val="000D19CD"/>
    <w:rsid w:val="000D2826"/>
    <w:rsid w:val="000D5397"/>
    <w:rsid w:val="000D69BB"/>
    <w:rsid w:val="000E4506"/>
    <w:rsid w:val="000E6874"/>
    <w:rsid w:val="000E6DA6"/>
    <w:rsid w:val="000F2664"/>
    <w:rsid w:val="000F67FD"/>
    <w:rsid w:val="000F6C0C"/>
    <w:rsid w:val="00105180"/>
    <w:rsid w:val="0011693B"/>
    <w:rsid w:val="00117DA3"/>
    <w:rsid w:val="00121D44"/>
    <w:rsid w:val="00130C95"/>
    <w:rsid w:val="001400BD"/>
    <w:rsid w:val="0014028E"/>
    <w:rsid w:val="001416D1"/>
    <w:rsid w:val="00141FCF"/>
    <w:rsid w:val="0015321B"/>
    <w:rsid w:val="0015690C"/>
    <w:rsid w:val="00165B1C"/>
    <w:rsid w:val="0017411E"/>
    <w:rsid w:val="00174674"/>
    <w:rsid w:val="00175C91"/>
    <w:rsid w:val="00182211"/>
    <w:rsid w:val="00184011"/>
    <w:rsid w:val="001878AC"/>
    <w:rsid w:val="001915C2"/>
    <w:rsid w:val="00197F84"/>
    <w:rsid w:val="001A09DA"/>
    <w:rsid w:val="001A15DA"/>
    <w:rsid w:val="001A5A88"/>
    <w:rsid w:val="001B3973"/>
    <w:rsid w:val="001B3FCE"/>
    <w:rsid w:val="001B5EB0"/>
    <w:rsid w:val="001C3BBE"/>
    <w:rsid w:val="001C3C9E"/>
    <w:rsid w:val="001C3EBF"/>
    <w:rsid w:val="001C5DDC"/>
    <w:rsid w:val="001D1415"/>
    <w:rsid w:val="001E35F0"/>
    <w:rsid w:val="001F7951"/>
    <w:rsid w:val="002034FB"/>
    <w:rsid w:val="00210676"/>
    <w:rsid w:val="00211D96"/>
    <w:rsid w:val="002131AF"/>
    <w:rsid w:val="002242BD"/>
    <w:rsid w:val="002257A9"/>
    <w:rsid w:val="00230BBB"/>
    <w:rsid w:val="0023595F"/>
    <w:rsid w:val="00240BF9"/>
    <w:rsid w:val="00245157"/>
    <w:rsid w:val="00246F6D"/>
    <w:rsid w:val="00252840"/>
    <w:rsid w:val="00263F27"/>
    <w:rsid w:val="0026561B"/>
    <w:rsid w:val="00270626"/>
    <w:rsid w:val="0027612D"/>
    <w:rsid w:val="00277072"/>
    <w:rsid w:val="00280807"/>
    <w:rsid w:val="00283379"/>
    <w:rsid w:val="00283567"/>
    <w:rsid w:val="0028698B"/>
    <w:rsid w:val="00292674"/>
    <w:rsid w:val="002A04E9"/>
    <w:rsid w:val="002B4073"/>
    <w:rsid w:val="002C2B44"/>
    <w:rsid w:val="002C4E94"/>
    <w:rsid w:val="002C6226"/>
    <w:rsid w:val="002C6DF4"/>
    <w:rsid w:val="002D07DB"/>
    <w:rsid w:val="002E4A05"/>
    <w:rsid w:val="002E6AF0"/>
    <w:rsid w:val="002F63B1"/>
    <w:rsid w:val="00301B3F"/>
    <w:rsid w:val="0030322C"/>
    <w:rsid w:val="00305B9E"/>
    <w:rsid w:val="003117F3"/>
    <w:rsid w:val="00315B37"/>
    <w:rsid w:val="00317CB4"/>
    <w:rsid w:val="00322429"/>
    <w:rsid w:val="0032320E"/>
    <w:rsid w:val="00330786"/>
    <w:rsid w:val="00331E8D"/>
    <w:rsid w:val="00332140"/>
    <w:rsid w:val="003340D1"/>
    <w:rsid w:val="00335E6A"/>
    <w:rsid w:val="00336A0E"/>
    <w:rsid w:val="0034145D"/>
    <w:rsid w:val="003459A2"/>
    <w:rsid w:val="003470B5"/>
    <w:rsid w:val="00354806"/>
    <w:rsid w:val="00355C36"/>
    <w:rsid w:val="00355DA5"/>
    <w:rsid w:val="0035706C"/>
    <w:rsid w:val="003649B3"/>
    <w:rsid w:val="0037485F"/>
    <w:rsid w:val="003817B0"/>
    <w:rsid w:val="003904FC"/>
    <w:rsid w:val="003976AC"/>
    <w:rsid w:val="00397E85"/>
    <w:rsid w:val="003A33F8"/>
    <w:rsid w:val="003A3775"/>
    <w:rsid w:val="003B2758"/>
    <w:rsid w:val="003B3CD6"/>
    <w:rsid w:val="003C1BA7"/>
    <w:rsid w:val="003C35B8"/>
    <w:rsid w:val="003C5CE9"/>
    <w:rsid w:val="003D0471"/>
    <w:rsid w:val="003D130B"/>
    <w:rsid w:val="003D2235"/>
    <w:rsid w:val="003E14CC"/>
    <w:rsid w:val="003E2569"/>
    <w:rsid w:val="003E6A42"/>
    <w:rsid w:val="003F1975"/>
    <w:rsid w:val="003F52AF"/>
    <w:rsid w:val="003F5DD7"/>
    <w:rsid w:val="0040114A"/>
    <w:rsid w:val="004066B6"/>
    <w:rsid w:val="00406A63"/>
    <w:rsid w:val="004074A3"/>
    <w:rsid w:val="0041419C"/>
    <w:rsid w:val="00415062"/>
    <w:rsid w:val="00416631"/>
    <w:rsid w:val="00417824"/>
    <w:rsid w:val="00420FF5"/>
    <w:rsid w:val="00421C9A"/>
    <w:rsid w:val="0042503B"/>
    <w:rsid w:val="00426442"/>
    <w:rsid w:val="0044004B"/>
    <w:rsid w:val="00446C9A"/>
    <w:rsid w:val="00453F9C"/>
    <w:rsid w:val="0045513E"/>
    <w:rsid w:val="00455828"/>
    <w:rsid w:val="00457F3A"/>
    <w:rsid w:val="004609A1"/>
    <w:rsid w:val="004731A7"/>
    <w:rsid w:val="00480818"/>
    <w:rsid w:val="00481217"/>
    <w:rsid w:val="00490C98"/>
    <w:rsid w:val="00490D3E"/>
    <w:rsid w:val="004913AC"/>
    <w:rsid w:val="004919BA"/>
    <w:rsid w:val="0049393C"/>
    <w:rsid w:val="00497B49"/>
    <w:rsid w:val="004A03C9"/>
    <w:rsid w:val="004A2835"/>
    <w:rsid w:val="004A4D96"/>
    <w:rsid w:val="004A5187"/>
    <w:rsid w:val="004A6103"/>
    <w:rsid w:val="004A7A7B"/>
    <w:rsid w:val="004B6B7A"/>
    <w:rsid w:val="004B6BED"/>
    <w:rsid w:val="004D2CC9"/>
    <w:rsid w:val="004D5717"/>
    <w:rsid w:val="004E35BE"/>
    <w:rsid w:val="004E5264"/>
    <w:rsid w:val="004E6C1B"/>
    <w:rsid w:val="004F1989"/>
    <w:rsid w:val="004F4DD7"/>
    <w:rsid w:val="00501A48"/>
    <w:rsid w:val="005068DD"/>
    <w:rsid w:val="005137D8"/>
    <w:rsid w:val="00513B3C"/>
    <w:rsid w:val="00521B23"/>
    <w:rsid w:val="00527329"/>
    <w:rsid w:val="00530FA9"/>
    <w:rsid w:val="00535720"/>
    <w:rsid w:val="0054148E"/>
    <w:rsid w:val="005444AE"/>
    <w:rsid w:val="00546691"/>
    <w:rsid w:val="005473FC"/>
    <w:rsid w:val="00550CCB"/>
    <w:rsid w:val="00553C2E"/>
    <w:rsid w:val="00556B48"/>
    <w:rsid w:val="00556D9B"/>
    <w:rsid w:val="00560989"/>
    <w:rsid w:val="005667A7"/>
    <w:rsid w:val="00572EBB"/>
    <w:rsid w:val="00580195"/>
    <w:rsid w:val="0058386C"/>
    <w:rsid w:val="00590E4B"/>
    <w:rsid w:val="00592296"/>
    <w:rsid w:val="005A4624"/>
    <w:rsid w:val="005B080B"/>
    <w:rsid w:val="005B40B1"/>
    <w:rsid w:val="005B6097"/>
    <w:rsid w:val="005B6388"/>
    <w:rsid w:val="005B690E"/>
    <w:rsid w:val="005C08CE"/>
    <w:rsid w:val="005C3669"/>
    <w:rsid w:val="005C523E"/>
    <w:rsid w:val="005D3191"/>
    <w:rsid w:val="005E1F04"/>
    <w:rsid w:val="005E2B05"/>
    <w:rsid w:val="005E4560"/>
    <w:rsid w:val="005E622F"/>
    <w:rsid w:val="005F6DD1"/>
    <w:rsid w:val="00600F23"/>
    <w:rsid w:val="00603B31"/>
    <w:rsid w:val="00613FD6"/>
    <w:rsid w:val="006222F7"/>
    <w:rsid w:val="006267C2"/>
    <w:rsid w:val="00633734"/>
    <w:rsid w:val="00635AB1"/>
    <w:rsid w:val="00636930"/>
    <w:rsid w:val="0064408C"/>
    <w:rsid w:val="0065368B"/>
    <w:rsid w:val="00656080"/>
    <w:rsid w:val="006573F6"/>
    <w:rsid w:val="00661CA2"/>
    <w:rsid w:val="00663785"/>
    <w:rsid w:val="006700CF"/>
    <w:rsid w:val="006703FB"/>
    <w:rsid w:val="006708B9"/>
    <w:rsid w:val="00672AF3"/>
    <w:rsid w:val="006752D6"/>
    <w:rsid w:val="00676152"/>
    <w:rsid w:val="00681BFD"/>
    <w:rsid w:val="0068727C"/>
    <w:rsid w:val="006911D5"/>
    <w:rsid w:val="006932B6"/>
    <w:rsid w:val="006940FA"/>
    <w:rsid w:val="006971B9"/>
    <w:rsid w:val="006A0186"/>
    <w:rsid w:val="006A1DBD"/>
    <w:rsid w:val="006A6B91"/>
    <w:rsid w:val="006A7BC1"/>
    <w:rsid w:val="006B10DC"/>
    <w:rsid w:val="006B31E2"/>
    <w:rsid w:val="006B6A1C"/>
    <w:rsid w:val="006B7A3A"/>
    <w:rsid w:val="006C029F"/>
    <w:rsid w:val="006D45E2"/>
    <w:rsid w:val="006E4E9D"/>
    <w:rsid w:val="006F0D9B"/>
    <w:rsid w:val="006F12D5"/>
    <w:rsid w:val="006F2629"/>
    <w:rsid w:val="006F2F81"/>
    <w:rsid w:val="006F56A8"/>
    <w:rsid w:val="007004C5"/>
    <w:rsid w:val="00701F92"/>
    <w:rsid w:val="0071560F"/>
    <w:rsid w:val="007209AC"/>
    <w:rsid w:val="00720FE8"/>
    <w:rsid w:val="007213E6"/>
    <w:rsid w:val="00724C39"/>
    <w:rsid w:val="00731FAD"/>
    <w:rsid w:val="00734B34"/>
    <w:rsid w:val="00737192"/>
    <w:rsid w:val="00741DDD"/>
    <w:rsid w:val="00745A03"/>
    <w:rsid w:val="00750B36"/>
    <w:rsid w:val="00754898"/>
    <w:rsid w:val="007570EE"/>
    <w:rsid w:val="00757BE7"/>
    <w:rsid w:val="007631F8"/>
    <w:rsid w:val="00764B37"/>
    <w:rsid w:val="00770E1C"/>
    <w:rsid w:val="00772977"/>
    <w:rsid w:val="00772A26"/>
    <w:rsid w:val="00772FA9"/>
    <w:rsid w:val="007965FB"/>
    <w:rsid w:val="00796A86"/>
    <w:rsid w:val="007A5C07"/>
    <w:rsid w:val="007B3A06"/>
    <w:rsid w:val="007C04A3"/>
    <w:rsid w:val="007C1D60"/>
    <w:rsid w:val="007C2259"/>
    <w:rsid w:val="007C2584"/>
    <w:rsid w:val="007C2AF9"/>
    <w:rsid w:val="007C57AC"/>
    <w:rsid w:val="007C6C8C"/>
    <w:rsid w:val="007E7F12"/>
    <w:rsid w:val="007F72C3"/>
    <w:rsid w:val="00801DE1"/>
    <w:rsid w:val="008029C7"/>
    <w:rsid w:val="00804B95"/>
    <w:rsid w:val="00805411"/>
    <w:rsid w:val="008127B4"/>
    <w:rsid w:val="008156C5"/>
    <w:rsid w:val="00823F31"/>
    <w:rsid w:val="008242AD"/>
    <w:rsid w:val="00833C57"/>
    <w:rsid w:val="008349FE"/>
    <w:rsid w:val="008442C9"/>
    <w:rsid w:val="00850625"/>
    <w:rsid w:val="00852E4C"/>
    <w:rsid w:val="008540D0"/>
    <w:rsid w:val="00865FEF"/>
    <w:rsid w:val="008660E1"/>
    <w:rsid w:val="00872CFA"/>
    <w:rsid w:val="00881002"/>
    <w:rsid w:val="0088101B"/>
    <w:rsid w:val="00881C96"/>
    <w:rsid w:val="0088508A"/>
    <w:rsid w:val="00887A67"/>
    <w:rsid w:val="00890C3A"/>
    <w:rsid w:val="008949D4"/>
    <w:rsid w:val="008A4313"/>
    <w:rsid w:val="008A64E4"/>
    <w:rsid w:val="008A708A"/>
    <w:rsid w:val="008B2FBB"/>
    <w:rsid w:val="008B36AA"/>
    <w:rsid w:val="008B4E9C"/>
    <w:rsid w:val="008B615F"/>
    <w:rsid w:val="008C1FF6"/>
    <w:rsid w:val="008C5A70"/>
    <w:rsid w:val="008D386F"/>
    <w:rsid w:val="008D3887"/>
    <w:rsid w:val="008D3E4A"/>
    <w:rsid w:val="008E6151"/>
    <w:rsid w:val="008E61E9"/>
    <w:rsid w:val="008F21F5"/>
    <w:rsid w:val="008F6545"/>
    <w:rsid w:val="008F72D8"/>
    <w:rsid w:val="008F7331"/>
    <w:rsid w:val="00903D28"/>
    <w:rsid w:val="009151C9"/>
    <w:rsid w:val="0091561B"/>
    <w:rsid w:val="0093350C"/>
    <w:rsid w:val="00937E2F"/>
    <w:rsid w:val="00941307"/>
    <w:rsid w:val="00942B32"/>
    <w:rsid w:val="009455AB"/>
    <w:rsid w:val="009604F2"/>
    <w:rsid w:val="00961573"/>
    <w:rsid w:val="00963920"/>
    <w:rsid w:val="009646F9"/>
    <w:rsid w:val="00966DCB"/>
    <w:rsid w:val="00982636"/>
    <w:rsid w:val="00985E9F"/>
    <w:rsid w:val="00990C40"/>
    <w:rsid w:val="009A2401"/>
    <w:rsid w:val="009B1E20"/>
    <w:rsid w:val="009B2FD4"/>
    <w:rsid w:val="009B5375"/>
    <w:rsid w:val="009B5D2F"/>
    <w:rsid w:val="009C56A4"/>
    <w:rsid w:val="009D15D6"/>
    <w:rsid w:val="009D18A5"/>
    <w:rsid w:val="009E6371"/>
    <w:rsid w:val="009E7575"/>
    <w:rsid w:val="009F4334"/>
    <w:rsid w:val="00A05466"/>
    <w:rsid w:val="00A13433"/>
    <w:rsid w:val="00A1738D"/>
    <w:rsid w:val="00A2087B"/>
    <w:rsid w:val="00A23514"/>
    <w:rsid w:val="00A26415"/>
    <w:rsid w:val="00A36EDA"/>
    <w:rsid w:val="00A46843"/>
    <w:rsid w:val="00A61920"/>
    <w:rsid w:val="00A6227E"/>
    <w:rsid w:val="00A6353E"/>
    <w:rsid w:val="00A64CB8"/>
    <w:rsid w:val="00A652E9"/>
    <w:rsid w:val="00A65E3D"/>
    <w:rsid w:val="00A70E58"/>
    <w:rsid w:val="00A70F3B"/>
    <w:rsid w:val="00A75B82"/>
    <w:rsid w:val="00A80367"/>
    <w:rsid w:val="00A816A9"/>
    <w:rsid w:val="00A820C5"/>
    <w:rsid w:val="00A83CE6"/>
    <w:rsid w:val="00A871F8"/>
    <w:rsid w:val="00A87C24"/>
    <w:rsid w:val="00A93BBB"/>
    <w:rsid w:val="00AA557B"/>
    <w:rsid w:val="00AB1EED"/>
    <w:rsid w:val="00AB335A"/>
    <w:rsid w:val="00AB7A17"/>
    <w:rsid w:val="00AC052A"/>
    <w:rsid w:val="00AC15E0"/>
    <w:rsid w:val="00AD2273"/>
    <w:rsid w:val="00AD7FF4"/>
    <w:rsid w:val="00AE6DDA"/>
    <w:rsid w:val="00AF16B8"/>
    <w:rsid w:val="00AF79C5"/>
    <w:rsid w:val="00AF7C28"/>
    <w:rsid w:val="00B028A9"/>
    <w:rsid w:val="00B07A12"/>
    <w:rsid w:val="00B12965"/>
    <w:rsid w:val="00B317F7"/>
    <w:rsid w:val="00B463E5"/>
    <w:rsid w:val="00B51092"/>
    <w:rsid w:val="00B527D8"/>
    <w:rsid w:val="00B52D98"/>
    <w:rsid w:val="00B57DD5"/>
    <w:rsid w:val="00B64BCD"/>
    <w:rsid w:val="00B6761D"/>
    <w:rsid w:val="00B7298D"/>
    <w:rsid w:val="00B72E0B"/>
    <w:rsid w:val="00B738A1"/>
    <w:rsid w:val="00B73AEC"/>
    <w:rsid w:val="00B76167"/>
    <w:rsid w:val="00B76BE4"/>
    <w:rsid w:val="00B83E64"/>
    <w:rsid w:val="00B8647D"/>
    <w:rsid w:val="00B91648"/>
    <w:rsid w:val="00B971BB"/>
    <w:rsid w:val="00BA1507"/>
    <w:rsid w:val="00BA2ACD"/>
    <w:rsid w:val="00BA32E1"/>
    <w:rsid w:val="00BA48E6"/>
    <w:rsid w:val="00BB583B"/>
    <w:rsid w:val="00BC77EB"/>
    <w:rsid w:val="00BD049A"/>
    <w:rsid w:val="00BD35FE"/>
    <w:rsid w:val="00BD45BF"/>
    <w:rsid w:val="00BE1E38"/>
    <w:rsid w:val="00BE2334"/>
    <w:rsid w:val="00C126C3"/>
    <w:rsid w:val="00C134F2"/>
    <w:rsid w:val="00C21681"/>
    <w:rsid w:val="00C26C37"/>
    <w:rsid w:val="00C314F6"/>
    <w:rsid w:val="00C32565"/>
    <w:rsid w:val="00C3669A"/>
    <w:rsid w:val="00C41ADC"/>
    <w:rsid w:val="00C559CD"/>
    <w:rsid w:val="00C6169A"/>
    <w:rsid w:val="00C642F4"/>
    <w:rsid w:val="00C66559"/>
    <w:rsid w:val="00C717F8"/>
    <w:rsid w:val="00C80610"/>
    <w:rsid w:val="00C81F02"/>
    <w:rsid w:val="00C84908"/>
    <w:rsid w:val="00C86702"/>
    <w:rsid w:val="00C96CA4"/>
    <w:rsid w:val="00C97563"/>
    <w:rsid w:val="00CA2167"/>
    <w:rsid w:val="00CA21C0"/>
    <w:rsid w:val="00CB001F"/>
    <w:rsid w:val="00CC39EA"/>
    <w:rsid w:val="00CD2BB5"/>
    <w:rsid w:val="00CD4A01"/>
    <w:rsid w:val="00CD5CE4"/>
    <w:rsid w:val="00CD7619"/>
    <w:rsid w:val="00CE0908"/>
    <w:rsid w:val="00CE2203"/>
    <w:rsid w:val="00CE30A5"/>
    <w:rsid w:val="00CF0780"/>
    <w:rsid w:val="00D01B6F"/>
    <w:rsid w:val="00D06297"/>
    <w:rsid w:val="00D06AE0"/>
    <w:rsid w:val="00D154E0"/>
    <w:rsid w:val="00D228FB"/>
    <w:rsid w:val="00D264B3"/>
    <w:rsid w:val="00D30CC6"/>
    <w:rsid w:val="00D325FF"/>
    <w:rsid w:val="00D362F3"/>
    <w:rsid w:val="00D37D1B"/>
    <w:rsid w:val="00D42298"/>
    <w:rsid w:val="00D43A9B"/>
    <w:rsid w:val="00D442CD"/>
    <w:rsid w:val="00D448E9"/>
    <w:rsid w:val="00D46FC4"/>
    <w:rsid w:val="00D66B5F"/>
    <w:rsid w:val="00D76657"/>
    <w:rsid w:val="00D80A4F"/>
    <w:rsid w:val="00D81261"/>
    <w:rsid w:val="00D83624"/>
    <w:rsid w:val="00D83ADA"/>
    <w:rsid w:val="00D90843"/>
    <w:rsid w:val="00D97454"/>
    <w:rsid w:val="00DA21AD"/>
    <w:rsid w:val="00DC1EF3"/>
    <w:rsid w:val="00DC5C99"/>
    <w:rsid w:val="00DD26CE"/>
    <w:rsid w:val="00DD2B95"/>
    <w:rsid w:val="00DE0984"/>
    <w:rsid w:val="00DE3B44"/>
    <w:rsid w:val="00DE5716"/>
    <w:rsid w:val="00DE6626"/>
    <w:rsid w:val="00DF3D24"/>
    <w:rsid w:val="00E0231E"/>
    <w:rsid w:val="00E03F16"/>
    <w:rsid w:val="00E203FA"/>
    <w:rsid w:val="00E244FF"/>
    <w:rsid w:val="00E25553"/>
    <w:rsid w:val="00E33CF3"/>
    <w:rsid w:val="00E35E32"/>
    <w:rsid w:val="00E404D4"/>
    <w:rsid w:val="00E4236A"/>
    <w:rsid w:val="00E423B0"/>
    <w:rsid w:val="00E42F94"/>
    <w:rsid w:val="00E533AC"/>
    <w:rsid w:val="00E53500"/>
    <w:rsid w:val="00E53D47"/>
    <w:rsid w:val="00E53FCB"/>
    <w:rsid w:val="00E60D5A"/>
    <w:rsid w:val="00E643C8"/>
    <w:rsid w:val="00E67044"/>
    <w:rsid w:val="00E7059F"/>
    <w:rsid w:val="00E75E32"/>
    <w:rsid w:val="00E83738"/>
    <w:rsid w:val="00E83CE1"/>
    <w:rsid w:val="00E84216"/>
    <w:rsid w:val="00E85E23"/>
    <w:rsid w:val="00E87C58"/>
    <w:rsid w:val="00E92B8A"/>
    <w:rsid w:val="00E93883"/>
    <w:rsid w:val="00E93C06"/>
    <w:rsid w:val="00E94170"/>
    <w:rsid w:val="00EA206F"/>
    <w:rsid w:val="00EA2C47"/>
    <w:rsid w:val="00EA4AEC"/>
    <w:rsid w:val="00EA5F8D"/>
    <w:rsid w:val="00EB300A"/>
    <w:rsid w:val="00EC08F2"/>
    <w:rsid w:val="00EC5C18"/>
    <w:rsid w:val="00ED1CA5"/>
    <w:rsid w:val="00ED430A"/>
    <w:rsid w:val="00EE3655"/>
    <w:rsid w:val="00EE600C"/>
    <w:rsid w:val="00EF085C"/>
    <w:rsid w:val="00F00FCE"/>
    <w:rsid w:val="00F0171F"/>
    <w:rsid w:val="00F10751"/>
    <w:rsid w:val="00F17B57"/>
    <w:rsid w:val="00F17C97"/>
    <w:rsid w:val="00F3270C"/>
    <w:rsid w:val="00F328C7"/>
    <w:rsid w:val="00F32A41"/>
    <w:rsid w:val="00F47A4E"/>
    <w:rsid w:val="00F51454"/>
    <w:rsid w:val="00F51787"/>
    <w:rsid w:val="00F57D5C"/>
    <w:rsid w:val="00F641D0"/>
    <w:rsid w:val="00F74160"/>
    <w:rsid w:val="00F76CBD"/>
    <w:rsid w:val="00F8001F"/>
    <w:rsid w:val="00F80AA3"/>
    <w:rsid w:val="00F8262F"/>
    <w:rsid w:val="00F83485"/>
    <w:rsid w:val="00F876D9"/>
    <w:rsid w:val="00F91A34"/>
    <w:rsid w:val="00FA17EE"/>
    <w:rsid w:val="00FA25A1"/>
    <w:rsid w:val="00FA3002"/>
    <w:rsid w:val="00FA443D"/>
    <w:rsid w:val="00FA5350"/>
    <w:rsid w:val="00FA6872"/>
    <w:rsid w:val="00FB21E3"/>
    <w:rsid w:val="00FB67D9"/>
    <w:rsid w:val="00FB79AE"/>
    <w:rsid w:val="00FB7C17"/>
    <w:rsid w:val="00FC3A77"/>
    <w:rsid w:val="00FC6728"/>
    <w:rsid w:val="00FD6728"/>
    <w:rsid w:val="00FE17E5"/>
    <w:rsid w:val="00FE1A61"/>
    <w:rsid w:val="00FE38FF"/>
    <w:rsid w:val="00FF1902"/>
    <w:rsid w:val="00FF51BA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445E4"/>
  <w15:docId w15:val="{1EF9C8E3-7D67-4525-8C50-A6F21F16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2B6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9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932B6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4C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EDA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8506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E17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29C7"/>
    <w:rPr>
      <w:color w:val="605E5C"/>
      <w:shd w:val="clear" w:color="auto" w:fill="E1DFDD"/>
    </w:rPr>
  </w:style>
  <w:style w:type="table" w:customStyle="1" w:styleId="Barevntabulkasmkou6zvraznn31">
    <w:name w:val="Barevná tabulka s mřížkou 6 – zvýraznění 31"/>
    <w:basedOn w:val="Normlntabulka"/>
    <w:uiPriority w:val="51"/>
    <w:rsid w:val="005C08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Barevntabulkasmkou6zvraznn11">
    <w:name w:val="Barevná tabulka s mřížkou 6 – zvýraznění 11"/>
    <w:basedOn w:val="Normlntabulka"/>
    <w:uiPriority w:val="51"/>
    <w:rsid w:val="005C08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3zvraznn41">
    <w:name w:val="Tabulka seznamu 3 – zvýraznění 41"/>
    <w:basedOn w:val="Normlntabulka"/>
    <w:uiPriority w:val="48"/>
    <w:rsid w:val="00D83ADA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Tabulkaseznamu4zvraznn51">
    <w:name w:val="Tabulka seznamu 4 – zvýraznění 51"/>
    <w:basedOn w:val="Normlntabulka"/>
    <w:uiPriority w:val="49"/>
    <w:rsid w:val="00942B3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942B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E5716"/>
    <w:rPr>
      <w:color w:val="605E5C"/>
      <w:shd w:val="clear" w:color="auto" w:fill="E1DFDD"/>
    </w:rPr>
  </w:style>
  <w:style w:type="table" w:styleId="Barevnstnovnzvraznn3">
    <w:name w:val="Colorful Shading Accent 3"/>
    <w:basedOn w:val="Normlntabulka"/>
    <w:uiPriority w:val="71"/>
    <w:rsid w:val="0088101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vtlseznamzvraznn6">
    <w:name w:val="Light List Accent 6"/>
    <w:basedOn w:val="Normlntabulka"/>
    <w:uiPriority w:val="61"/>
    <w:rsid w:val="0088101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44004B"/>
    <w:rPr>
      <w:color w:val="605E5C"/>
      <w:shd w:val="clear" w:color="auto" w:fill="E1DFDD"/>
    </w:rPr>
  </w:style>
  <w:style w:type="character" w:customStyle="1" w:styleId="q4iawc">
    <w:name w:val="q4iawc"/>
    <w:basedOn w:val="Standardnpsmoodstavce"/>
    <w:rsid w:val="00B57DD5"/>
  </w:style>
  <w:style w:type="paragraph" w:styleId="Zhlav">
    <w:name w:val="header"/>
    <w:basedOn w:val="Normln"/>
    <w:link w:val="ZhlavChar"/>
    <w:uiPriority w:val="99"/>
    <w:unhideWhenUsed/>
    <w:rsid w:val="003C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5B8"/>
  </w:style>
  <w:style w:type="paragraph" w:styleId="Zpat">
    <w:name w:val="footer"/>
    <w:basedOn w:val="Normln"/>
    <w:link w:val="ZpatChar"/>
    <w:uiPriority w:val="99"/>
    <w:unhideWhenUsed/>
    <w:rsid w:val="003C3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a.europa.eu/en/medicines/human/EPAR/kimmtra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cc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9C09-0767-461D-9E69-2B5E9251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2041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lastModifiedBy>Duda Jaroslav, Mgr.</cp:lastModifiedBy>
  <cp:revision>87</cp:revision>
  <cp:lastPrinted>2021-12-07T08:27:00Z</cp:lastPrinted>
  <dcterms:created xsi:type="dcterms:W3CDTF">2022-08-06T19:26:00Z</dcterms:created>
  <dcterms:modified xsi:type="dcterms:W3CDTF">2022-08-06T23:15:00Z</dcterms:modified>
</cp:coreProperties>
</file>