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8D" w:rsidRDefault="005776B1" w:rsidP="005776B1">
      <w:pPr>
        <w:spacing w:after="0"/>
      </w:pPr>
      <w:r>
        <w:t xml:space="preserve">                                                  </w:t>
      </w:r>
      <w:r w:rsidR="005B0E93">
        <w:t xml:space="preserve">                                                                                                                 </w:t>
      </w:r>
    </w:p>
    <w:p w:rsidR="001A2E10" w:rsidRDefault="001A2E10" w:rsidP="005776B1">
      <w:pPr>
        <w:spacing w:after="0"/>
      </w:pPr>
      <w:r>
        <w:t xml:space="preserve"> </w:t>
      </w:r>
    </w:p>
    <w:p w:rsidR="005B0E93" w:rsidRDefault="001214D8" w:rsidP="001A2E10">
      <w:pPr>
        <w:spacing w:after="0"/>
        <w:jc w:val="center"/>
      </w:pPr>
      <w:r>
        <w:t>A</w:t>
      </w:r>
      <w:r w:rsidR="005B0E93">
        <w:t>nalýza</w:t>
      </w:r>
      <w:r>
        <w:t xml:space="preserve"> dopadu do rozpočtu</w:t>
      </w:r>
      <w:r w:rsidR="005B0E93">
        <w:t xml:space="preserve"> pro léčivý přípravek</w:t>
      </w:r>
    </w:p>
    <w:p w:rsidR="005B0E93" w:rsidRDefault="005B0E93" w:rsidP="005776B1">
      <w:pPr>
        <w:spacing w:after="0"/>
      </w:pPr>
    </w:p>
    <w:p w:rsidR="005B0E93" w:rsidRPr="001A2E10" w:rsidRDefault="007D49BB" w:rsidP="001A2E10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LUMYKRAS</w:t>
      </w:r>
    </w:p>
    <w:p w:rsidR="005B0E93" w:rsidRPr="005B0E93" w:rsidRDefault="005B0E93" w:rsidP="005776B1">
      <w:pPr>
        <w:spacing w:after="0"/>
        <w:rPr>
          <w:sz w:val="10"/>
          <w:szCs w:val="10"/>
        </w:rPr>
      </w:pPr>
    </w:p>
    <w:p w:rsidR="005B0E93" w:rsidRPr="00DF5251" w:rsidRDefault="001A2E10" w:rsidP="001A2E10">
      <w:pPr>
        <w:spacing w:after="0"/>
        <w:jc w:val="center"/>
        <w:rPr>
          <w:rFonts w:cstheme="minorHAnsi"/>
          <w:b/>
          <w:sz w:val="28"/>
          <w:szCs w:val="28"/>
        </w:rPr>
      </w:pPr>
      <w:r w:rsidRPr="00D55D18">
        <w:rPr>
          <w:rFonts w:cstheme="minorHAnsi"/>
          <w:b/>
          <w:sz w:val="28"/>
          <w:szCs w:val="28"/>
        </w:rPr>
        <w:t>k</w:t>
      </w:r>
      <w:r w:rsidR="008E1C77" w:rsidRPr="00D55D18">
        <w:rPr>
          <w:rFonts w:cstheme="minorHAnsi"/>
          <w:b/>
          <w:sz w:val="28"/>
          <w:szCs w:val="28"/>
        </w:rPr>
        <w:t> </w:t>
      </w:r>
      <w:r w:rsidR="005B0E93" w:rsidRPr="00D55D18">
        <w:rPr>
          <w:rFonts w:cstheme="minorHAnsi"/>
          <w:b/>
          <w:sz w:val="28"/>
          <w:szCs w:val="28"/>
        </w:rPr>
        <w:t>léčbě</w:t>
      </w:r>
      <w:r w:rsidR="008E1C77" w:rsidRPr="00D55D18">
        <w:rPr>
          <w:rFonts w:cstheme="minorHAnsi"/>
          <w:b/>
          <w:sz w:val="28"/>
          <w:szCs w:val="28"/>
        </w:rPr>
        <w:t xml:space="preserve"> (</w:t>
      </w:r>
      <w:proofErr w:type="spellStart"/>
      <w:r w:rsidR="008E1C77" w:rsidRPr="00D55D18">
        <w:rPr>
          <w:rFonts w:cstheme="minorHAnsi"/>
          <w:b/>
          <w:sz w:val="28"/>
          <w:szCs w:val="28"/>
        </w:rPr>
        <w:t>monoterapii</w:t>
      </w:r>
      <w:proofErr w:type="spellEnd"/>
      <w:r w:rsidR="008E1C77" w:rsidRPr="00D55D18">
        <w:rPr>
          <w:rFonts w:cstheme="minorHAnsi"/>
          <w:b/>
          <w:sz w:val="28"/>
          <w:szCs w:val="28"/>
        </w:rPr>
        <w:t>)</w:t>
      </w:r>
      <w:r w:rsidR="005B0E93" w:rsidRPr="00D55D18">
        <w:rPr>
          <w:rFonts w:cstheme="minorHAnsi"/>
          <w:b/>
          <w:sz w:val="28"/>
          <w:szCs w:val="28"/>
        </w:rPr>
        <w:t xml:space="preserve"> dospělých </w:t>
      </w:r>
      <w:r w:rsidR="009110A0" w:rsidRPr="009110A0">
        <w:rPr>
          <w:rFonts w:cstheme="minorHAnsi"/>
          <w:b/>
          <w:sz w:val="28"/>
          <w:szCs w:val="28"/>
        </w:rPr>
        <w:t xml:space="preserve">pacientů </w:t>
      </w:r>
      <w:r w:rsidR="002E31CD" w:rsidRPr="002E31CD">
        <w:rPr>
          <w:rFonts w:cstheme="minorHAnsi"/>
          <w:b/>
          <w:sz w:val="28"/>
          <w:szCs w:val="28"/>
        </w:rPr>
        <w:t xml:space="preserve">s pokročilým nemalobuněčným karcinomem plic (NSCLC) s </w:t>
      </w:r>
      <w:r w:rsidR="00DF5251" w:rsidRPr="00DF5251">
        <w:rPr>
          <w:rFonts w:cstheme="minorHAnsi"/>
          <w:b/>
          <w:sz w:val="28"/>
          <w:szCs w:val="28"/>
        </w:rPr>
        <w:t>mutací KRAS G12C, u kterých došlo k progresi po alespoň jedné předchozí linii systémové léčby</w:t>
      </w:r>
    </w:p>
    <w:p w:rsidR="00BE00A0" w:rsidRPr="00116FDA" w:rsidRDefault="00BE00A0" w:rsidP="005776B1">
      <w:pPr>
        <w:spacing w:after="0"/>
        <w:rPr>
          <w:rFonts w:cstheme="minorHAnsi"/>
          <w:b/>
          <w:sz w:val="10"/>
          <w:szCs w:val="10"/>
        </w:rPr>
      </w:pPr>
    </w:p>
    <w:p w:rsidR="00492317" w:rsidRDefault="00492317" w:rsidP="005776B1">
      <w:pPr>
        <w:spacing w:after="0"/>
        <w:rPr>
          <w:rFonts w:cstheme="minorHAnsi"/>
          <w:b/>
        </w:rPr>
      </w:pPr>
    </w:p>
    <w:p w:rsidR="00032017" w:rsidRDefault="00032017" w:rsidP="005776B1">
      <w:pPr>
        <w:spacing w:after="0"/>
        <w:rPr>
          <w:rFonts w:cstheme="minorHAnsi"/>
          <w:b/>
        </w:rPr>
      </w:pPr>
    </w:p>
    <w:p w:rsidR="001A2E10" w:rsidRPr="00387347" w:rsidRDefault="001A2E10" w:rsidP="005776B1">
      <w:pPr>
        <w:spacing w:after="0"/>
        <w:rPr>
          <w:rFonts w:cstheme="minorHAnsi"/>
        </w:rPr>
      </w:pPr>
      <w:r w:rsidRPr="002B2964">
        <w:rPr>
          <w:rFonts w:cstheme="minorHAnsi"/>
          <w:b/>
          <w:u w:val="single"/>
        </w:rPr>
        <w:t>Celý název přípravku</w:t>
      </w:r>
      <w:r w:rsidRPr="00387347">
        <w:rPr>
          <w:rFonts w:cstheme="minorHAnsi"/>
        </w:rPr>
        <w:t xml:space="preserve">: </w:t>
      </w:r>
      <w:r w:rsidR="009E385A" w:rsidRPr="00387347">
        <w:rPr>
          <w:rFonts w:cstheme="minorHAnsi"/>
        </w:rPr>
        <w:t xml:space="preserve">  </w:t>
      </w:r>
      <w:r w:rsidR="00BA3E39" w:rsidRPr="00387347">
        <w:rPr>
          <w:rFonts w:cstheme="minorHAnsi"/>
        </w:rPr>
        <w:t>LUMYKRAS</w:t>
      </w:r>
      <w:r w:rsidR="002E31CD" w:rsidRPr="00387347">
        <w:rPr>
          <w:rFonts w:cstheme="minorHAnsi"/>
        </w:rPr>
        <w:t xml:space="preserve"> 1</w:t>
      </w:r>
      <w:r w:rsidR="00BA3E39" w:rsidRPr="00387347">
        <w:rPr>
          <w:rFonts w:cstheme="minorHAnsi"/>
        </w:rPr>
        <w:t>2</w:t>
      </w:r>
      <w:r w:rsidR="002E31CD" w:rsidRPr="00387347">
        <w:rPr>
          <w:rFonts w:cstheme="minorHAnsi"/>
        </w:rPr>
        <w:t>0</w:t>
      </w:r>
      <w:r w:rsidR="006B05BF" w:rsidRPr="00387347">
        <w:rPr>
          <w:rFonts w:cstheme="minorHAnsi"/>
        </w:rPr>
        <w:t>mg</w:t>
      </w:r>
      <w:r w:rsidR="00B002C1" w:rsidRPr="00387347">
        <w:rPr>
          <w:rFonts w:cstheme="minorHAnsi"/>
        </w:rPr>
        <w:t xml:space="preserve"> </w:t>
      </w:r>
      <w:r w:rsidR="00BA3E39" w:rsidRPr="00387347">
        <w:rPr>
          <w:rFonts w:cstheme="minorHAnsi"/>
        </w:rPr>
        <w:t>potahované tablety</w:t>
      </w:r>
    </w:p>
    <w:p w:rsidR="00AD3C1C" w:rsidRDefault="002B5329" w:rsidP="00AD3C1C">
      <w:pPr>
        <w:pStyle w:val="Normlnweb"/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87347">
        <w:rPr>
          <w:rFonts w:asciiTheme="minorHAnsi" w:hAnsiTheme="minorHAnsi" w:cstheme="minorHAnsi"/>
          <w:b/>
          <w:sz w:val="22"/>
          <w:szCs w:val="22"/>
          <w:u w:val="single"/>
        </w:rPr>
        <w:t>Účinná látka</w:t>
      </w:r>
      <w:r w:rsidR="004619A2" w:rsidRPr="00387347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1,2</w:t>
      </w:r>
      <w:r w:rsidR="00DA3617" w:rsidRPr="00387347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,9,10</w:t>
      </w:r>
      <w:r w:rsidRPr="00387347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BB6055">
        <w:rPr>
          <w:rFonts w:asciiTheme="minorHAnsi" w:hAnsiTheme="minorHAnsi" w:cstheme="minorHAnsi"/>
          <w:sz w:val="22"/>
          <w:szCs w:val="22"/>
        </w:rPr>
        <w:t xml:space="preserve"> </w:t>
      </w:r>
      <w:r w:rsidR="00FA504C" w:rsidRPr="00BB605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6055" w:rsidRPr="00BB6055" w:rsidRDefault="00BB6055" w:rsidP="00AD3C1C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87347">
        <w:rPr>
          <w:rFonts w:asciiTheme="minorHAnsi" w:hAnsiTheme="minorHAnsi" w:cstheme="minorHAnsi"/>
          <w:b/>
          <w:sz w:val="22"/>
          <w:szCs w:val="22"/>
        </w:rPr>
        <w:t>Sotorasib</w:t>
      </w:r>
      <w:proofErr w:type="spellEnd"/>
      <w:r w:rsidRPr="003873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7347">
        <w:rPr>
          <w:rFonts w:asciiTheme="minorHAnsi" w:hAnsiTheme="minorHAnsi" w:cstheme="minorHAnsi"/>
          <w:sz w:val="22"/>
          <w:szCs w:val="22"/>
        </w:rPr>
        <w:t xml:space="preserve">je </w:t>
      </w:r>
      <w:r w:rsidRPr="00387347">
        <w:rPr>
          <w:rFonts w:asciiTheme="minorHAnsi" w:hAnsiTheme="minorHAnsi" w:cstheme="minorHAnsi"/>
          <w:b/>
          <w:sz w:val="22"/>
          <w:szCs w:val="22"/>
        </w:rPr>
        <w:t>selektivní inhibitor KRAS G12C</w:t>
      </w:r>
      <w:r w:rsidRPr="00387347">
        <w:rPr>
          <w:rFonts w:asciiTheme="minorHAnsi" w:hAnsiTheme="minorHAnsi" w:cstheme="minorHAnsi"/>
          <w:sz w:val="22"/>
          <w:szCs w:val="22"/>
        </w:rPr>
        <w:t xml:space="preserve"> (homologu virového onkogenu </w:t>
      </w:r>
      <w:proofErr w:type="spellStart"/>
      <w:r w:rsidRPr="00387347">
        <w:rPr>
          <w:rFonts w:asciiTheme="minorHAnsi" w:hAnsiTheme="minorHAnsi" w:cstheme="minorHAnsi"/>
          <w:sz w:val="22"/>
          <w:szCs w:val="22"/>
        </w:rPr>
        <w:t>Kirstenova</w:t>
      </w:r>
      <w:proofErr w:type="spellEnd"/>
      <w:r w:rsidRPr="00387347">
        <w:rPr>
          <w:rFonts w:asciiTheme="minorHAnsi" w:hAnsiTheme="minorHAnsi" w:cstheme="minorHAnsi"/>
          <w:sz w:val="22"/>
          <w:szCs w:val="22"/>
        </w:rPr>
        <w:t xml:space="preserve"> myšího sarkomu, </w:t>
      </w:r>
      <w:proofErr w:type="spellStart"/>
      <w:r w:rsidRPr="00387347">
        <w:rPr>
          <w:rFonts w:asciiTheme="minorHAnsi" w:hAnsiTheme="minorHAnsi" w:cstheme="minorHAnsi"/>
          <w:sz w:val="22"/>
          <w:szCs w:val="22"/>
        </w:rPr>
        <w:t>Kirsten</w:t>
      </w:r>
      <w:proofErr w:type="spellEnd"/>
      <w:r w:rsidRPr="003873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347">
        <w:rPr>
          <w:rFonts w:asciiTheme="minorHAnsi" w:hAnsiTheme="minorHAnsi" w:cstheme="minorHAnsi"/>
          <w:sz w:val="22"/>
          <w:szCs w:val="22"/>
        </w:rPr>
        <w:t>rat</w:t>
      </w:r>
      <w:proofErr w:type="spellEnd"/>
      <w:r w:rsidRPr="003873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7347">
        <w:rPr>
          <w:rFonts w:asciiTheme="minorHAnsi" w:hAnsiTheme="minorHAnsi" w:cstheme="minorHAnsi"/>
          <w:sz w:val="22"/>
          <w:szCs w:val="22"/>
        </w:rPr>
        <w:t>sarcoma</w:t>
      </w:r>
      <w:proofErr w:type="spellEnd"/>
      <w:r w:rsidRPr="00387347">
        <w:rPr>
          <w:rFonts w:asciiTheme="minorHAnsi" w:hAnsiTheme="minorHAnsi" w:cstheme="minorHAnsi"/>
          <w:sz w:val="22"/>
          <w:szCs w:val="22"/>
        </w:rPr>
        <w:t>), který se kovalentně a ireverzibilně váže na</w:t>
      </w:r>
      <w:r w:rsidR="00D22A94" w:rsidRPr="00387347">
        <w:rPr>
          <w:rFonts w:asciiTheme="minorHAnsi" w:hAnsiTheme="minorHAnsi" w:cstheme="minorHAnsi"/>
          <w:sz w:val="22"/>
          <w:szCs w:val="22"/>
        </w:rPr>
        <w:t xml:space="preserve"> </w:t>
      </w:r>
      <w:r w:rsidR="00B8197B" w:rsidRPr="00387347">
        <w:rPr>
          <w:rFonts w:asciiTheme="minorHAnsi" w:hAnsiTheme="minorHAnsi" w:cstheme="minorHAnsi"/>
          <w:sz w:val="22"/>
          <w:szCs w:val="22"/>
        </w:rPr>
        <w:t>cystein</w:t>
      </w:r>
      <w:r w:rsidR="00D22A94" w:rsidRPr="00387347">
        <w:rPr>
          <w:rFonts w:asciiTheme="minorHAnsi" w:hAnsiTheme="minorHAnsi" w:cstheme="minorHAnsi"/>
          <w:sz w:val="22"/>
          <w:szCs w:val="22"/>
        </w:rPr>
        <w:t>ový zbytek</w:t>
      </w:r>
      <w:r w:rsidR="00B8197B" w:rsidRPr="00387347">
        <w:rPr>
          <w:rFonts w:asciiTheme="minorHAnsi" w:hAnsiTheme="minorHAnsi" w:cstheme="minorHAnsi"/>
          <w:sz w:val="22"/>
          <w:szCs w:val="22"/>
        </w:rPr>
        <w:t xml:space="preserve"> (pozice 12) </w:t>
      </w:r>
      <w:r w:rsidR="00D22A94" w:rsidRPr="00387347">
        <w:rPr>
          <w:rFonts w:asciiTheme="minorHAnsi" w:hAnsiTheme="minorHAnsi" w:cstheme="minorHAnsi"/>
          <w:sz w:val="22"/>
          <w:szCs w:val="22"/>
        </w:rPr>
        <w:t xml:space="preserve">mutovaného </w:t>
      </w:r>
      <w:r w:rsidR="00B8197B" w:rsidRPr="00387347">
        <w:rPr>
          <w:rFonts w:asciiTheme="minorHAnsi" w:hAnsiTheme="minorHAnsi" w:cstheme="minorHAnsi"/>
          <w:sz w:val="22"/>
          <w:szCs w:val="22"/>
        </w:rPr>
        <w:t>protein</w:t>
      </w:r>
      <w:r w:rsidR="00D22A94" w:rsidRPr="00387347">
        <w:rPr>
          <w:rFonts w:asciiTheme="minorHAnsi" w:hAnsiTheme="minorHAnsi" w:cstheme="minorHAnsi"/>
          <w:sz w:val="22"/>
          <w:szCs w:val="22"/>
        </w:rPr>
        <w:t xml:space="preserve">u </w:t>
      </w:r>
      <w:r w:rsidRPr="00387347">
        <w:rPr>
          <w:rFonts w:asciiTheme="minorHAnsi" w:hAnsiTheme="minorHAnsi" w:cstheme="minorHAnsi"/>
          <w:sz w:val="22"/>
          <w:szCs w:val="22"/>
        </w:rPr>
        <w:t>KRAS G12C.</w:t>
      </w:r>
      <w:r w:rsidR="00D9476B" w:rsidRPr="00387347">
        <w:rPr>
          <w:rFonts w:asciiTheme="minorHAnsi" w:hAnsiTheme="minorHAnsi" w:cstheme="minorHAnsi"/>
          <w:sz w:val="22"/>
          <w:szCs w:val="22"/>
        </w:rPr>
        <w:t xml:space="preserve"> </w:t>
      </w:r>
      <w:r w:rsidR="00D9476B" w:rsidRPr="00387347">
        <w:rPr>
          <w:rFonts w:asciiTheme="minorHAnsi" w:hAnsiTheme="minorHAnsi" w:cstheme="minorHAnsi"/>
          <w:color w:val="000000"/>
          <w:sz w:val="22"/>
          <w:szCs w:val="22"/>
          <w:shd w:val="clear" w:color="auto" w:fill="D2E3FC"/>
        </w:rPr>
        <w:t xml:space="preserve">Rodina </w:t>
      </w:r>
      <w:proofErr w:type="spellStart"/>
      <w:r w:rsidR="00D9476B" w:rsidRPr="00387347">
        <w:rPr>
          <w:rFonts w:asciiTheme="minorHAnsi" w:hAnsiTheme="minorHAnsi" w:cstheme="minorHAnsi"/>
          <w:color w:val="000000"/>
          <w:sz w:val="22"/>
          <w:szCs w:val="22"/>
          <w:shd w:val="clear" w:color="auto" w:fill="D2E3FC"/>
        </w:rPr>
        <w:t>protoonkogenů</w:t>
      </w:r>
      <w:proofErr w:type="spellEnd"/>
      <w:r w:rsidR="00D9476B" w:rsidRPr="00387347">
        <w:rPr>
          <w:rFonts w:asciiTheme="minorHAnsi" w:hAnsiTheme="minorHAnsi" w:cstheme="minorHAnsi"/>
          <w:color w:val="000000"/>
          <w:sz w:val="22"/>
          <w:szCs w:val="22"/>
          <w:shd w:val="clear" w:color="auto" w:fill="D2E3FC"/>
        </w:rPr>
        <w:t xml:space="preserve"> RAS se skládá ze 3 blízce příbuzných genů, které kódují </w:t>
      </w:r>
      <w:r w:rsidR="00D429C9" w:rsidRPr="00387347">
        <w:rPr>
          <w:rFonts w:asciiTheme="minorHAnsi" w:hAnsiTheme="minorHAnsi" w:cstheme="minorHAnsi"/>
          <w:color w:val="000000"/>
          <w:sz w:val="22"/>
          <w:szCs w:val="22"/>
          <w:shd w:val="clear" w:color="auto" w:fill="D2E3FC"/>
        </w:rPr>
        <w:t xml:space="preserve">enzymy </w:t>
      </w:r>
      <w:proofErr w:type="spellStart"/>
      <w:r w:rsidR="00D9476B" w:rsidRPr="00387347">
        <w:rPr>
          <w:rFonts w:asciiTheme="minorHAnsi" w:hAnsiTheme="minorHAnsi" w:cstheme="minorHAnsi"/>
          <w:color w:val="000000"/>
          <w:sz w:val="22"/>
          <w:szCs w:val="22"/>
          <w:shd w:val="clear" w:color="auto" w:fill="D2E3FC"/>
        </w:rPr>
        <w:t>guanosintrifosfatázy</w:t>
      </w:r>
      <w:proofErr w:type="spellEnd"/>
      <w:r w:rsidR="00D9476B" w:rsidRPr="00387347">
        <w:rPr>
          <w:rFonts w:asciiTheme="minorHAnsi" w:hAnsiTheme="minorHAnsi" w:cstheme="minorHAnsi"/>
          <w:color w:val="000000"/>
          <w:sz w:val="22"/>
          <w:szCs w:val="22"/>
          <w:shd w:val="clear" w:color="auto" w:fill="D2E3FC"/>
        </w:rPr>
        <w:t xml:space="preserve"> (</w:t>
      </w:r>
      <w:proofErr w:type="spellStart"/>
      <w:r w:rsidR="00D9476B" w:rsidRPr="00387347">
        <w:rPr>
          <w:rFonts w:asciiTheme="minorHAnsi" w:hAnsiTheme="minorHAnsi" w:cstheme="minorHAnsi"/>
          <w:color w:val="000000"/>
          <w:sz w:val="22"/>
          <w:szCs w:val="22"/>
          <w:shd w:val="clear" w:color="auto" w:fill="D2E3FC"/>
        </w:rPr>
        <w:t>GTPázy</w:t>
      </w:r>
      <w:proofErr w:type="spellEnd"/>
      <w:r w:rsidR="00D9476B" w:rsidRPr="00387347">
        <w:rPr>
          <w:rFonts w:asciiTheme="minorHAnsi" w:hAnsiTheme="minorHAnsi" w:cstheme="minorHAnsi"/>
          <w:color w:val="000000"/>
          <w:sz w:val="22"/>
          <w:szCs w:val="22"/>
          <w:shd w:val="clear" w:color="auto" w:fill="D2E3FC"/>
        </w:rPr>
        <w:t>) odpovědné za regulaci buněčné proliferace a přežití.</w:t>
      </w:r>
      <w:r w:rsidR="00D429C9" w:rsidRPr="00387347">
        <w:rPr>
          <w:rFonts w:asciiTheme="minorHAnsi" w:hAnsiTheme="minorHAnsi" w:cstheme="minorHAnsi"/>
          <w:color w:val="000000"/>
          <w:sz w:val="22"/>
          <w:szCs w:val="22"/>
          <w:shd w:val="clear" w:color="auto" w:fill="D2E3FC"/>
        </w:rPr>
        <w:t xml:space="preserve"> </w:t>
      </w:r>
      <w:r w:rsidR="00D429C9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Z mutací KRAS se odhadem 80 % vyskytuje v kodonu 12</w:t>
      </w:r>
      <w:r w:rsidR="00B8197B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, </w:t>
      </w:r>
      <w:r w:rsidR="00D22A94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v němž je nejčastější (cca </w:t>
      </w:r>
      <w:r w:rsidR="00FF5CD0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s </w:t>
      </w:r>
      <w:r w:rsidR="00D22A94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40% frekvenc</w:t>
      </w:r>
      <w:r w:rsidR="00FF5CD0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í</w:t>
      </w:r>
      <w:r w:rsidR="00D22A94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) bodová mutace c.34G˃T, která se v produkujícím proteinu projeví záměnou aminokyseliny glycin za cystein</w:t>
      </w:r>
      <w:r w:rsidR="00D429C9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. Strukturní změna KRAS G12C vede k defektu v asociaci proteinů aktivujících </w:t>
      </w:r>
      <w:proofErr w:type="spellStart"/>
      <w:r w:rsidR="00D429C9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guanosintrifosfatázu</w:t>
      </w:r>
      <w:proofErr w:type="spellEnd"/>
      <w:r w:rsidR="00D429C9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(</w:t>
      </w:r>
      <w:proofErr w:type="spellStart"/>
      <w:r w:rsidR="00D429C9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GAPs</w:t>
      </w:r>
      <w:proofErr w:type="spellEnd"/>
      <w:r w:rsidR="00D429C9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), čímž se snižuje hydrolýza </w:t>
      </w:r>
      <w:proofErr w:type="spellStart"/>
      <w:r w:rsidR="00D429C9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guanosintrifosfátu</w:t>
      </w:r>
      <w:proofErr w:type="spellEnd"/>
      <w:r w:rsidR="00D429C9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(GTP) proteinem KRAS.</w:t>
      </w:r>
      <w:r w:rsidR="00D429C9" w:rsidRPr="00387347">
        <w:rPr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</w:t>
      </w:r>
      <w:r w:rsidR="00D429C9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Výsledná akumulace aktivního komplexu KRAS-GTP vede k rychlejšímu buněčnému růstu a přežití nádorových buněk.</w:t>
      </w:r>
      <w:r w:rsidRPr="003873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9747C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Sotorasib</w:t>
      </w:r>
      <w:proofErr w:type="spellEnd"/>
      <w:r w:rsidR="0059747C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</w:t>
      </w:r>
      <w:r w:rsidR="00D9476B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se váže</w:t>
      </w:r>
      <w:r w:rsidR="0059747C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jak na kapsu P2</w:t>
      </w:r>
      <w:r w:rsidR="00D22A94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(prostřednictvím kovalentní vazby </w:t>
      </w:r>
      <w:proofErr w:type="spellStart"/>
      <w:r w:rsidR="00D22A94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sotorasibu</w:t>
      </w:r>
      <w:proofErr w:type="spellEnd"/>
      <w:r w:rsidR="00D22A94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s cysteinovým zbytkem)</w:t>
      </w:r>
      <w:r w:rsidR="0059747C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, tak na povrchovou drážku His95</w:t>
      </w:r>
      <w:r w:rsidR="00D429C9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proteinu KRAS G12C</w:t>
      </w:r>
      <w:r w:rsidR="0059747C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, čímž </w:t>
      </w:r>
      <w:r w:rsidR="00D429C9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uchovává tento</w:t>
      </w:r>
      <w:r w:rsidR="0059747C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protein v neaktivním stavu</w:t>
      </w:r>
      <w:r w:rsidR="00D429C9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a</w:t>
      </w:r>
      <w:r w:rsidR="0059747C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zabraňuje následné signalizaci.</w:t>
      </w:r>
      <w:r w:rsidR="0059747C" w:rsidRPr="00387347">
        <w:rPr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</w:t>
      </w:r>
      <w:proofErr w:type="spellStart"/>
      <w:r w:rsidR="0059747C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Sotorasib</w:t>
      </w:r>
      <w:proofErr w:type="spellEnd"/>
      <w:r w:rsidR="0059747C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také zvyšuje prezentaci antigenu</w:t>
      </w:r>
      <w:r w:rsidR="00FF5CD0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,</w:t>
      </w:r>
      <w:r w:rsidR="0059747C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produkci zánětlivých </w:t>
      </w:r>
      <w:proofErr w:type="spellStart"/>
      <w:r w:rsidR="0059747C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>cytokinů</w:t>
      </w:r>
      <w:proofErr w:type="spellEnd"/>
      <w:r w:rsidR="0059747C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 a indukuje protinádorové zánětlivé reakce</w:t>
      </w:r>
      <w:r w:rsidR="00D9476B" w:rsidRPr="00387347">
        <w:rPr>
          <w:rStyle w:val="q4iawc"/>
          <w:rFonts w:asciiTheme="minorHAnsi" w:hAnsiTheme="minorHAnsi" w:cstheme="minorHAnsi"/>
          <w:color w:val="000000"/>
          <w:sz w:val="22"/>
          <w:szCs w:val="22"/>
          <w:shd w:val="clear" w:color="auto" w:fill="F5F5F5"/>
        </w:rPr>
        <w:t xml:space="preserve">. </w:t>
      </w:r>
      <w:r w:rsidRPr="00387347">
        <w:rPr>
          <w:rFonts w:asciiTheme="minorHAnsi" w:hAnsiTheme="minorHAnsi" w:cstheme="minorHAnsi"/>
          <w:b/>
          <w:sz w:val="22"/>
          <w:szCs w:val="22"/>
        </w:rPr>
        <w:t xml:space="preserve">Inaktivací KRAS G12C </w:t>
      </w:r>
      <w:proofErr w:type="spellStart"/>
      <w:r w:rsidRPr="00387347">
        <w:rPr>
          <w:rFonts w:asciiTheme="minorHAnsi" w:hAnsiTheme="minorHAnsi" w:cstheme="minorHAnsi"/>
          <w:b/>
          <w:sz w:val="22"/>
          <w:szCs w:val="22"/>
        </w:rPr>
        <w:t>sotorasibem</w:t>
      </w:r>
      <w:proofErr w:type="spellEnd"/>
      <w:r w:rsidRPr="00387347">
        <w:rPr>
          <w:rFonts w:asciiTheme="minorHAnsi" w:hAnsiTheme="minorHAnsi" w:cstheme="minorHAnsi"/>
          <w:b/>
          <w:sz w:val="22"/>
          <w:szCs w:val="22"/>
        </w:rPr>
        <w:t xml:space="preserve"> se </w:t>
      </w:r>
      <w:r w:rsidR="0005498C" w:rsidRPr="00387347">
        <w:rPr>
          <w:rFonts w:asciiTheme="minorHAnsi" w:hAnsiTheme="minorHAnsi" w:cstheme="minorHAnsi"/>
          <w:b/>
          <w:sz w:val="22"/>
          <w:szCs w:val="22"/>
        </w:rPr>
        <w:t xml:space="preserve">tak </w:t>
      </w:r>
      <w:r w:rsidRPr="00387347">
        <w:rPr>
          <w:rFonts w:asciiTheme="minorHAnsi" w:hAnsiTheme="minorHAnsi" w:cstheme="minorHAnsi"/>
          <w:b/>
          <w:sz w:val="22"/>
          <w:szCs w:val="22"/>
        </w:rPr>
        <w:t xml:space="preserve">blokuje signalizace a přežití nádorové buňky, inhibuje se buněčný růst a selektivně se podporuje </w:t>
      </w:r>
      <w:proofErr w:type="spellStart"/>
      <w:r w:rsidRPr="00387347">
        <w:rPr>
          <w:rFonts w:asciiTheme="minorHAnsi" w:hAnsiTheme="minorHAnsi" w:cstheme="minorHAnsi"/>
          <w:b/>
          <w:sz w:val="22"/>
          <w:szCs w:val="22"/>
        </w:rPr>
        <w:t>apoptóza</w:t>
      </w:r>
      <w:proofErr w:type="spellEnd"/>
      <w:r w:rsidRPr="00387347">
        <w:rPr>
          <w:rFonts w:asciiTheme="minorHAnsi" w:hAnsiTheme="minorHAnsi" w:cstheme="minorHAnsi"/>
          <w:b/>
          <w:sz w:val="22"/>
          <w:szCs w:val="22"/>
        </w:rPr>
        <w:t xml:space="preserve"> v nádorech s KRAS G12C</w:t>
      </w:r>
      <w:r w:rsidR="0005498C" w:rsidRPr="00387347">
        <w:rPr>
          <w:rFonts w:asciiTheme="minorHAnsi" w:hAnsiTheme="minorHAnsi" w:cstheme="minorHAnsi"/>
          <w:sz w:val="22"/>
          <w:szCs w:val="22"/>
        </w:rPr>
        <w:t>.</w:t>
      </w:r>
    </w:p>
    <w:p w:rsidR="00492317" w:rsidRPr="00E36A47" w:rsidRDefault="00492317" w:rsidP="002B5329">
      <w:pPr>
        <w:spacing w:after="0"/>
        <w:jc w:val="both"/>
        <w:rPr>
          <w:rFonts w:cstheme="minorHAnsi"/>
          <w:sz w:val="10"/>
          <w:szCs w:val="10"/>
        </w:rPr>
      </w:pPr>
    </w:p>
    <w:p w:rsidR="00106B9A" w:rsidRPr="007C6148" w:rsidRDefault="008154DA" w:rsidP="00061346">
      <w:pPr>
        <w:spacing w:after="0"/>
        <w:jc w:val="both"/>
        <w:rPr>
          <w:rFonts w:cstheme="minorHAnsi"/>
        </w:rPr>
      </w:pPr>
      <w:r w:rsidRPr="002B2964">
        <w:rPr>
          <w:rFonts w:cstheme="minorHAnsi"/>
          <w:b/>
          <w:u w:val="single"/>
        </w:rPr>
        <w:t xml:space="preserve">Držitel </w:t>
      </w:r>
      <w:r w:rsidRPr="00387347">
        <w:rPr>
          <w:rFonts w:cstheme="minorHAnsi"/>
          <w:b/>
          <w:u w:val="single"/>
        </w:rPr>
        <w:t>registrace</w:t>
      </w:r>
      <w:r w:rsidR="00BF2E30" w:rsidRPr="00387347">
        <w:rPr>
          <w:rFonts w:cstheme="minorHAnsi"/>
          <w:b/>
          <w:u w:val="single"/>
          <w:vertAlign w:val="superscript"/>
        </w:rPr>
        <w:t>2</w:t>
      </w:r>
      <w:r w:rsidR="009E670F" w:rsidRPr="00387347">
        <w:rPr>
          <w:rFonts w:cstheme="minorHAnsi"/>
          <w:b/>
        </w:rPr>
        <w:t>:</w:t>
      </w:r>
      <w:r w:rsidR="009E670F" w:rsidRPr="00387347">
        <w:rPr>
          <w:rFonts w:cstheme="minorHAnsi"/>
        </w:rPr>
        <w:t xml:space="preserve">  </w:t>
      </w:r>
      <w:proofErr w:type="spellStart"/>
      <w:r w:rsidR="00C4266C" w:rsidRPr="00387347">
        <w:rPr>
          <w:rFonts w:cstheme="minorHAnsi"/>
        </w:rPr>
        <w:t>Amgen</w:t>
      </w:r>
      <w:proofErr w:type="spellEnd"/>
      <w:r w:rsidR="00C4266C" w:rsidRPr="00387347">
        <w:rPr>
          <w:rFonts w:cstheme="minorHAnsi"/>
        </w:rPr>
        <w:t xml:space="preserve"> </w:t>
      </w:r>
      <w:proofErr w:type="spellStart"/>
      <w:proofErr w:type="gramStart"/>
      <w:r w:rsidR="00C4266C" w:rsidRPr="00387347">
        <w:rPr>
          <w:rFonts w:cstheme="minorHAnsi"/>
        </w:rPr>
        <w:t>Europe</w:t>
      </w:r>
      <w:proofErr w:type="spellEnd"/>
      <w:r w:rsidR="00C4266C" w:rsidRPr="00387347">
        <w:rPr>
          <w:rFonts w:cstheme="minorHAnsi"/>
        </w:rPr>
        <w:t xml:space="preserve"> B.V.</w:t>
      </w:r>
      <w:proofErr w:type="gramEnd"/>
    </w:p>
    <w:p w:rsidR="00EE3F73" w:rsidRPr="00116FDA" w:rsidRDefault="00EE3F73" w:rsidP="00061346">
      <w:pPr>
        <w:spacing w:after="0"/>
        <w:jc w:val="both"/>
        <w:rPr>
          <w:rFonts w:cstheme="minorHAnsi"/>
          <w:sz w:val="4"/>
          <w:szCs w:val="4"/>
        </w:rPr>
      </w:pPr>
    </w:p>
    <w:p w:rsidR="00492317" w:rsidRDefault="00492317" w:rsidP="00061346">
      <w:pPr>
        <w:spacing w:after="0"/>
        <w:jc w:val="both"/>
        <w:rPr>
          <w:rFonts w:cstheme="minorHAnsi"/>
        </w:rPr>
      </w:pPr>
    </w:p>
    <w:p w:rsidR="00DF5251" w:rsidRPr="00387347" w:rsidRDefault="00DF5251" w:rsidP="00061346">
      <w:pPr>
        <w:spacing w:after="0"/>
        <w:jc w:val="both"/>
        <w:rPr>
          <w:rFonts w:cstheme="minorHAnsi"/>
        </w:rPr>
      </w:pPr>
      <w:r w:rsidRPr="002B2964">
        <w:rPr>
          <w:rFonts w:cstheme="minorHAnsi"/>
          <w:b/>
          <w:u w:val="single"/>
        </w:rPr>
        <w:t>Indikace dle SPC</w:t>
      </w:r>
      <w:r w:rsidRPr="002B2964">
        <w:rPr>
          <w:rFonts w:cstheme="minorHAnsi"/>
          <w:b/>
          <w:u w:val="single"/>
          <w:vertAlign w:val="superscript"/>
        </w:rPr>
        <w:t>2</w:t>
      </w:r>
      <w:r w:rsidRPr="0007421A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 w:rsidRPr="00387347">
        <w:rPr>
          <w:rFonts w:cstheme="minorHAnsi"/>
        </w:rPr>
        <w:t>„</w:t>
      </w:r>
      <w:r w:rsidRPr="00387347">
        <w:rPr>
          <w:rFonts w:cstheme="minorHAnsi"/>
          <w:i/>
        </w:rPr>
        <w:t xml:space="preserve">jako </w:t>
      </w:r>
      <w:proofErr w:type="spellStart"/>
      <w:r w:rsidRPr="00387347">
        <w:rPr>
          <w:rFonts w:cstheme="minorHAnsi"/>
          <w:i/>
        </w:rPr>
        <w:t>monoterapie</w:t>
      </w:r>
      <w:proofErr w:type="spellEnd"/>
      <w:r w:rsidRPr="00387347">
        <w:rPr>
          <w:rFonts w:cstheme="minorHAnsi"/>
          <w:i/>
        </w:rPr>
        <w:t xml:space="preserve"> k léčbě dospělých s pokročilým nemalobuněčným karcinomem plic (non-</w:t>
      </w:r>
      <w:proofErr w:type="spellStart"/>
      <w:r w:rsidRPr="00387347">
        <w:rPr>
          <w:rFonts w:cstheme="minorHAnsi"/>
          <w:i/>
        </w:rPr>
        <w:t>small</w:t>
      </w:r>
      <w:proofErr w:type="spellEnd"/>
      <w:r w:rsidRPr="00387347">
        <w:rPr>
          <w:rFonts w:cstheme="minorHAnsi"/>
          <w:i/>
        </w:rPr>
        <w:t xml:space="preserve"> cell </w:t>
      </w:r>
      <w:proofErr w:type="spellStart"/>
      <w:r w:rsidRPr="00387347">
        <w:rPr>
          <w:rFonts w:cstheme="minorHAnsi"/>
          <w:i/>
        </w:rPr>
        <w:t>lung</w:t>
      </w:r>
      <w:proofErr w:type="spellEnd"/>
      <w:r w:rsidRPr="00387347">
        <w:rPr>
          <w:rFonts w:cstheme="minorHAnsi"/>
          <w:i/>
        </w:rPr>
        <w:t xml:space="preserve"> </w:t>
      </w:r>
      <w:proofErr w:type="spellStart"/>
      <w:r w:rsidRPr="00387347">
        <w:rPr>
          <w:rFonts w:cstheme="minorHAnsi"/>
          <w:i/>
        </w:rPr>
        <w:t>cancer</w:t>
      </w:r>
      <w:proofErr w:type="spellEnd"/>
      <w:r w:rsidRPr="00387347">
        <w:rPr>
          <w:rFonts w:cstheme="minorHAnsi"/>
          <w:i/>
        </w:rPr>
        <w:t>, NSCLC) s mutací KRAS G12C, u kterých došlo k progresi po alespoň jedné předchozí linii systémové léčby</w:t>
      </w:r>
      <w:r w:rsidRPr="00387347">
        <w:rPr>
          <w:rFonts w:cstheme="minorHAnsi"/>
        </w:rPr>
        <w:t>“</w:t>
      </w:r>
    </w:p>
    <w:p w:rsidR="00DF5251" w:rsidRPr="00387347" w:rsidRDefault="00DF5251" w:rsidP="00061346">
      <w:pPr>
        <w:spacing w:after="0"/>
        <w:jc w:val="both"/>
        <w:rPr>
          <w:rFonts w:cstheme="minorHAnsi"/>
        </w:rPr>
      </w:pPr>
    </w:p>
    <w:p w:rsidR="00DF5251" w:rsidRPr="00387347" w:rsidRDefault="00DF5251" w:rsidP="00DF5251">
      <w:pPr>
        <w:spacing w:after="0"/>
        <w:jc w:val="both"/>
        <w:rPr>
          <w:rFonts w:cstheme="minorHAnsi"/>
          <w:u w:val="single"/>
        </w:rPr>
      </w:pPr>
      <w:r w:rsidRPr="00387347">
        <w:rPr>
          <w:rFonts w:cstheme="minorHAnsi"/>
          <w:b/>
          <w:u w:val="single"/>
        </w:rPr>
        <w:t xml:space="preserve">Dávkování a opatření při léčbě </w:t>
      </w:r>
      <w:r w:rsidR="00F8507E" w:rsidRPr="00387347">
        <w:rPr>
          <w:rFonts w:cstheme="minorHAnsi"/>
          <w:b/>
          <w:u w:val="single"/>
        </w:rPr>
        <w:t>LUMYKRAS</w:t>
      </w:r>
      <w:r w:rsidRPr="00387347">
        <w:rPr>
          <w:rFonts w:cstheme="minorHAnsi"/>
          <w:b/>
          <w:u w:val="single"/>
        </w:rPr>
        <w:t xml:space="preserve"> dle SPC</w:t>
      </w:r>
      <w:r w:rsidRPr="00387347">
        <w:rPr>
          <w:rFonts w:cstheme="minorHAnsi"/>
          <w:b/>
          <w:u w:val="single"/>
          <w:vertAlign w:val="superscript"/>
        </w:rPr>
        <w:t>2</w:t>
      </w:r>
      <w:r w:rsidRPr="00387347">
        <w:rPr>
          <w:rFonts w:cstheme="minorHAnsi"/>
          <w:b/>
          <w:u w:val="single"/>
        </w:rPr>
        <w:t>:</w:t>
      </w:r>
      <w:r w:rsidRPr="00387347">
        <w:rPr>
          <w:rFonts w:cstheme="minorHAnsi"/>
          <w:u w:val="single"/>
        </w:rPr>
        <w:t xml:space="preserve">  </w:t>
      </w:r>
    </w:p>
    <w:p w:rsidR="005B23CB" w:rsidRPr="005B23CB" w:rsidRDefault="005B23CB" w:rsidP="005B23CB">
      <w:pPr>
        <w:pStyle w:val="Normlnweb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387347">
        <w:rPr>
          <w:rFonts w:asciiTheme="minorHAnsi" w:hAnsiTheme="minorHAnsi" w:cstheme="minorHAnsi"/>
          <w:sz w:val="22"/>
          <w:szCs w:val="22"/>
        </w:rPr>
        <w:t xml:space="preserve">Doporučená dávka je </w:t>
      </w:r>
      <w:r w:rsidRPr="00387347">
        <w:rPr>
          <w:rFonts w:asciiTheme="minorHAnsi" w:hAnsiTheme="minorHAnsi" w:cstheme="minorHAnsi"/>
          <w:b/>
          <w:sz w:val="22"/>
          <w:szCs w:val="22"/>
        </w:rPr>
        <w:t xml:space="preserve">960 mg </w:t>
      </w:r>
      <w:proofErr w:type="spellStart"/>
      <w:r w:rsidRPr="00387347">
        <w:rPr>
          <w:rFonts w:asciiTheme="minorHAnsi" w:hAnsiTheme="minorHAnsi" w:cstheme="minorHAnsi"/>
          <w:b/>
          <w:sz w:val="22"/>
          <w:szCs w:val="22"/>
        </w:rPr>
        <w:t>sotorasibu</w:t>
      </w:r>
      <w:proofErr w:type="spellEnd"/>
      <w:r w:rsidRPr="00387347">
        <w:rPr>
          <w:rFonts w:asciiTheme="minorHAnsi" w:hAnsiTheme="minorHAnsi" w:cstheme="minorHAnsi"/>
          <w:b/>
          <w:sz w:val="22"/>
          <w:szCs w:val="22"/>
        </w:rPr>
        <w:t xml:space="preserve"> (osm tablet po 120 mg) jednou denně, každý den</w:t>
      </w:r>
      <w:r w:rsidRPr="00387347">
        <w:rPr>
          <w:rFonts w:asciiTheme="minorHAnsi" w:hAnsiTheme="minorHAnsi" w:cstheme="minorHAnsi"/>
          <w:sz w:val="22"/>
          <w:szCs w:val="22"/>
        </w:rPr>
        <w:t xml:space="preserve"> ve stejnou dobu. Léčba se doporučuje až do progrese onemocnění nebo do vzniku nepřijatelné toxicity.</w:t>
      </w:r>
      <w:r w:rsidR="0001102C" w:rsidRPr="00387347">
        <w:rPr>
          <w:rFonts w:asciiTheme="minorHAnsi" w:hAnsiTheme="minorHAnsi" w:cstheme="minorHAnsi"/>
          <w:sz w:val="22"/>
          <w:szCs w:val="22"/>
        </w:rPr>
        <w:t xml:space="preserve"> Dávka se snižuje (event. se léčba trvale ukončí) při výskytu závažnějších NÚ (</w:t>
      </w:r>
      <w:proofErr w:type="spellStart"/>
      <w:r w:rsidR="0001102C" w:rsidRPr="00387347">
        <w:rPr>
          <w:rFonts w:asciiTheme="minorHAnsi" w:hAnsiTheme="minorHAnsi" w:cstheme="minorHAnsi"/>
          <w:sz w:val="22"/>
          <w:szCs w:val="22"/>
        </w:rPr>
        <w:t>hepatotoxicita</w:t>
      </w:r>
      <w:proofErr w:type="spellEnd"/>
      <w:r w:rsidR="0001102C" w:rsidRPr="00387347">
        <w:rPr>
          <w:rFonts w:asciiTheme="minorHAnsi" w:hAnsiTheme="minorHAnsi" w:cstheme="minorHAnsi"/>
          <w:sz w:val="22"/>
          <w:szCs w:val="22"/>
        </w:rPr>
        <w:t>, interst</w:t>
      </w:r>
      <w:r w:rsidR="00FF5CD0">
        <w:rPr>
          <w:rFonts w:asciiTheme="minorHAnsi" w:hAnsiTheme="minorHAnsi" w:cstheme="minorHAnsi"/>
          <w:sz w:val="22"/>
          <w:szCs w:val="22"/>
        </w:rPr>
        <w:t xml:space="preserve">iciální </w:t>
      </w:r>
      <w:r w:rsidR="0001102C" w:rsidRPr="00387347">
        <w:rPr>
          <w:rFonts w:asciiTheme="minorHAnsi" w:hAnsiTheme="minorHAnsi" w:cstheme="minorHAnsi"/>
          <w:sz w:val="22"/>
          <w:szCs w:val="22"/>
        </w:rPr>
        <w:t>plicní onem</w:t>
      </w:r>
      <w:r w:rsidR="00FF5CD0">
        <w:rPr>
          <w:rFonts w:asciiTheme="minorHAnsi" w:hAnsiTheme="minorHAnsi" w:cstheme="minorHAnsi"/>
          <w:sz w:val="22"/>
          <w:szCs w:val="22"/>
        </w:rPr>
        <w:t>ocnění</w:t>
      </w:r>
      <w:r w:rsidR="0001102C" w:rsidRPr="00387347">
        <w:rPr>
          <w:rFonts w:asciiTheme="minorHAnsi" w:hAnsiTheme="minorHAnsi" w:cstheme="minorHAnsi"/>
          <w:sz w:val="22"/>
          <w:szCs w:val="22"/>
        </w:rPr>
        <w:t>, nauzea, zvracení nebo průjem)</w:t>
      </w:r>
      <w:r w:rsidR="008143FE" w:rsidRPr="00387347">
        <w:rPr>
          <w:rFonts w:asciiTheme="minorHAnsi" w:hAnsiTheme="minorHAnsi" w:cstheme="minorHAnsi"/>
          <w:sz w:val="22"/>
          <w:szCs w:val="22"/>
        </w:rPr>
        <w:t xml:space="preserve">. Nedoporučuje </w:t>
      </w:r>
      <w:r w:rsidR="00FF5CD0">
        <w:rPr>
          <w:rFonts w:asciiTheme="minorHAnsi" w:hAnsiTheme="minorHAnsi" w:cstheme="minorHAnsi"/>
          <w:sz w:val="22"/>
          <w:szCs w:val="22"/>
        </w:rPr>
        <w:t xml:space="preserve">se </w:t>
      </w:r>
      <w:r w:rsidR="008143FE" w:rsidRPr="00387347">
        <w:rPr>
          <w:rFonts w:asciiTheme="minorHAnsi" w:hAnsiTheme="minorHAnsi" w:cstheme="minorHAnsi"/>
          <w:sz w:val="22"/>
          <w:szCs w:val="22"/>
        </w:rPr>
        <w:t>s přípravkem souběžné podávání PPI nebo H2 antagonist</w:t>
      </w:r>
      <w:r w:rsidR="00590028" w:rsidRPr="00387347">
        <w:rPr>
          <w:rFonts w:asciiTheme="minorHAnsi" w:hAnsiTheme="minorHAnsi" w:cstheme="minorHAnsi"/>
          <w:sz w:val="22"/>
          <w:szCs w:val="22"/>
        </w:rPr>
        <w:t>ů</w:t>
      </w:r>
      <w:r w:rsidR="008143FE" w:rsidRPr="00387347">
        <w:rPr>
          <w:rFonts w:asciiTheme="minorHAnsi" w:hAnsiTheme="minorHAnsi" w:cstheme="minorHAnsi"/>
          <w:sz w:val="22"/>
          <w:szCs w:val="22"/>
        </w:rPr>
        <w:t>.</w:t>
      </w:r>
    </w:p>
    <w:p w:rsidR="002528F8" w:rsidRDefault="00FC15E9" w:rsidP="00061346">
      <w:pPr>
        <w:spacing w:after="0"/>
        <w:jc w:val="both"/>
        <w:rPr>
          <w:rFonts w:cstheme="minorHAnsi"/>
        </w:rPr>
      </w:pPr>
      <w:r w:rsidRPr="00D30316">
        <w:rPr>
          <w:rFonts w:cstheme="minorHAnsi"/>
          <w:b/>
          <w:u w:val="single"/>
        </w:rPr>
        <w:t>Stav LP v ČR</w:t>
      </w:r>
      <w:r w:rsidR="002541F9">
        <w:rPr>
          <w:rFonts w:cstheme="minorHAnsi"/>
          <w:b/>
          <w:u w:val="single"/>
          <w:vertAlign w:val="superscript"/>
        </w:rPr>
        <w:t>1</w:t>
      </w:r>
      <w:r w:rsidRPr="00D30316">
        <w:rPr>
          <w:rFonts w:cstheme="minorHAnsi"/>
          <w:b/>
          <w:u w:val="single"/>
          <w:vertAlign w:val="superscript"/>
        </w:rPr>
        <w:t>,3</w:t>
      </w:r>
      <w:r w:rsidR="00500800">
        <w:rPr>
          <w:rFonts w:cstheme="minorHAnsi"/>
          <w:b/>
          <w:u w:val="single"/>
          <w:vertAlign w:val="superscript"/>
        </w:rPr>
        <w:t>,4</w:t>
      </w:r>
      <w:r w:rsidRPr="00D30316">
        <w:rPr>
          <w:rFonts w:cstheme="minorHAnsi"/>
          <w:b/>
          <w:u w:val="single"/>
          <w:vertAlign w:val="superscript"/>
        </w:rPr>
        <w:t xml:space="preserve"> </w:t>
      </w:r>
      <w:r w:rsidRPr="00D30316">
        <w:rPr>
          <w:rFonts w:cstheme="minorHAnsi"/>
          <w:b/>
          <w:u w:val="single"/>
        </w:rPr>
        <w:t xml:space="preserve">k datu </w:t>
      </w:r>
      <w:r w:rsidR="006A702B">
        <w:rPr>
          <w:rFonts w:cstheme="minorHAnsi"/>
          <w:b/>
          <w:u w:val="single"/>
        </w:rPr>
        <w:t>2</w:t>
      </w:r>
      <w:r w:rsidR="00FE4EFE">
        <w:rPr>
          <w:rFonts w:cstheme="minorHAnsi"/>
          <w:b/>
          <w:u w:val="single"/>
        </w:rPr>
        <w:t>7</w:t>
      </w:r>
      <w:r w:rsidR="006A702B">
        <w:rPr>
          <w:rFonts w:cstheme="minorHAnsi"/>
          <w:b/>
          <w:u w:val="single"/>
        </w:rPr>
        <w:t>.9</w:t>
      </w:r>
      <w:r w:rsidRPr="00D30316">
        <w:rPr>
          <w:rFonts w:cstheme="minorHAnsi"/>
          <w:b/>
          <w:u w:val="single"/>
        </w:rPr>
        <w:t>.2022</w:t>
      </w:r>
      <w:r w:rsidRPr="00334272">
        <w:rPr>
          <w:rFonts w:cstheme="minorHAnsi"/>
          <w:b/>
        </w:rPr>
        <w:t>:</w:t>
      </w:r>
      <w:r>
        <w:rPr>
          <w:rFonts w:cstheme="minorHAnsi"/>
        </w:rPr>
        <w:t xml:space="preserve">  </w:t>
      </w:r>
    </w:p>
    <w:p w:rsidR="00F80052" w:rsidRDefault="007D49BB" w:rsidP="00061346">
      <w:pPr>
        <w:spacing w:after="0"/>
        <w:jc w:val="both"/>
        <w:rPr>
          <w:b/>
        </w:rPr>
      </w:pPr>
      <w:r w:rsidRPr="00387347">
        <w:t>Přípravek LUMYKRAS</w:t>
      </w:r>
      <w:r w:rsidRPr="00387347">
        <w:rPr>
          <w:b/>
        </w:rPr>
        <w:t xml:space="preserve"> získal v EU podmíněnou registraci</w:t>
      </w:r>
      <w:r w:rsidR="00FE4EFE" w:rsidRPr="00387347">
        <w:rPr>
          <w:b/>
        </w:rPr>
        <w:t xml:space="preserve"> </w:t>
      </w:r>
      <w:r w:rsidR="00FE4EFE" w:rsidRPr="00387347">
        <w:rPr>
          <w:rFonts w:cstheme="minorHAnsi"/>
        </w:rPr>
        <w:t xml:space="preserve">(tj. na 1 rok, s možností každoroční obnovy), </w:t>
      </w:r>
      <w:r w:rsidRPr="00387347">
        <w:rPr>
          <w:b/>
        </w:rPr>
        <w:t>souhlas členů CHMP ovšem nebyl jednomyslný (bývá to cca v 90% případů</w:t>
      </w:r>
      <w:r w:rsidRPr="00387347">
        <w:rPr>
          <w:b/>
          <w:vertAlign w:val="superscript"/>
        </w:rPr>
        <w:t>8</w:t>
      </w:r>
      <w:r w:rsidRPr="00387347">
        <w:rPr>
          <w:b/>
        </w:rPr>
        <w:t xml:space="preserve">), </w:t>
      </w:r>
      <w:r w:rsidR="00FE4EFE" w:rsidRPr="00387347">
        <w:rPr>
          <w:b/>
        </w:rPr>
        <w:t>1</w:t>
      </w:r>
      <w:r w:rsidRPr="00387347">
        <w:rPr>
          <w:b/>
        </w:rPr>
        <w:t xml:space="preserve"> člen totiž nesouhlasil</w:t>
      </w:r>
      <w:r w:rsidRPr="00387347">
        <w:rPr>
          <w:b/>
          <w:vertAlign w:val="superscript"/>
        </w:rPr>
        <w:t>4</w:t>
      </w:r>
      <w:r w:rsidR="0070130A" w:rsidRPr="00387347">
        <w:rPr>
          <w:rStyle w:val="q4iawc"/>
          <w:rFonts w:cstheme="minorHAnsi"/>
          <w:b/>
          <w:color w:val="000000"/>
          <w:shd w:val="clear" w:color="auto" w:fill="F5F5F5"/>
        </w:rPr>
        <w:t xml:space="preserve">. </w:t>
      </w:r>
      <w:r w:rsidR="00780E7C" w:rsidRPr="00387347">
        <w:rPr>
          <w:rStyle w:val="q4iawc"/>
          <w:rFonts w:cstheme="minorHAnsi"/>
          <w:b/>
          <w:color w:val="000000"/>
          <w:u w:val="single"/>
          <w:shd w:val="clear" w:color="auto" w:fill="F5F5F5"/>
        </w:rPr>
        <w:t xml:space="preserve">Hlavní údaje o účinnosti na podporu nárokované indikace jsou založeny na </w:t>
      </w:r>
      <w:proofErr w:type="spellStart"/>
      <w:r w:rsidR="00780E7C" w:rsidRPr="00387347">
        <w:rPr>
          <w:rStyle w:val="q4iawc"/>
          <w:rFonts w:cstheme="minorHAnsi"/>
          <w:b/>
          <w:color w:val="000000"/>
          <w:u w:val="single"/>
          <w:shd w:val="clear" w:color="auto" w:fill="F5F5F5"/>
        </w:rPr>
        <w:t>j</w:t>
      </w:r>
      <w:r w:rsidR="009C22CE" w:rsidRPr="00387347">
        <w:rPr>
          <w:rStyle w:val="q4iawc"/>
          <w:rFonts w:cstheme="minorHAnsi"/>
          <w:b/>
          <w:color w:val="000000"/>
          <w:u w:val="single"/>
          <w:shd w:val="clear" w:color="auto" w:fill="F5F5F5"/>
        </w:rPr>
        <w:t>ednokohortové</w:t>
      </w:r>
      <w:proofErr w:type="spellEnd"/>
      <w:r w:rsidR="00780E7C" w:rsidRPr="00387347">
        <w:rPr>
          <w:rStyle w:val="q4iawc"/>
          <w:rFonts w:cstheme="minorHAnsi"/>
          <w:b/>
          <w:color w:val="000000"/>
          <w:u w:val="single"/>
          <w:shd w:val="clear" w:color="auto" w:fill="F5F5F5"/>
        </w:rPr>
        <w:t xml:space="preserve"> studii fáze I/II </w:t>
      </w:r>
      <w:r w:rsidR="00780E7C" w:rsidRPr="00387347">
        <w:rPr>
          <w:rStyle w:val="q4iawc"/>
          <w:rFonts w:cstheme="minorHAnsi"/>
          <w:color w:val="000000"/>
          <w:shd w:val="clear" w:color="auto" w:fill="F5F5F5"/>
        </w:rPr>
        <w:t xml:space="preserve">(studie </w:t>
      </w:r>
      <w:r w:rsidR="009C22CE" w:rsidRPr="00387347">
        <w:rPr>
          <w:rStyle w:val="q4iawc"/>
          <w:rFonts w:cstheme="minorHAnsi"/>
          <w:color w:val="000000"/>
          <w:shd w:val="clear" w:color="auto" w:fill="F5F5F5"/>
        </w:rPr>
        <w:t>CodeBreaK100</w:t>
      </w:r>
      <w:r w:rsidR="00780E7C" w:rsidRPr="00387347">
        <w:rPr>
          <w:rStyle w:val="q4iawc"/>
          <w:rFonts w:cstheme="minorHAnsi"/>
          <w:color w:val="000000"/>
          <w:shd w:val="clear" w:color="auto" w:fill="F5F5F5"/>
        </w:rPr>
        <w:t>, otevřená</w:t>
      </w:r>
      <w:r w:rsidR="009C22CE" w:rsidRPr="00387347">
        <w:rPr>
          <w:rStyle w:val="q4iawc"/>
          <w:rFonts w:cstheme="minorHAnsi"/>
          <w:color w:val="000000"/>
          <w:shd w:val="clear" w:color="auto" w:fill="F5F5F5"/>
        </w:rPr>
        <w:t>, s</w:t>
      </w:r>
      <w:r w:rsidR="00E847C4">
        <w:rPr>
          <w:rStyle w:val="q4iawc"/>
          <w:rFonts w:cstheme="minorHAnsi"/>
          <w:color w:val="000000"/>
          <w:shd w:val="clear" w:color="auto" w:fill="F5F5F5"/>
        </w:rPr>
        <w:t>e</w:t>
      </w:r>
      <w:r w:rsidR="009C22CE" w:rsidRPr="00387347">
        <w:rPr>
          <w:rStyle w:val="q4iawc"/>
          <w:rFonts w:cstheme="minorHAnsi"/>
          <w:color w:val="000000"/>
          <w:shd w:val="clear" w:color="auto" w:fill="F5F5F5"/>
        </w:rPr>
        <w:t> 126 pacienty</w:t>
      </w:r>
      <w:r w:rsidR="00FC18B6" w:rsidRPr="00387347">
        <w:rPr>
          <w:rStyle w:val="q4iawc"/>
          <w:rFonts w:cstheme="minorHAnsi"/>
          <w:color w:val="000000"/>
          <w:shd w:val="clear" w:color="auto" w:fill="F5F5F5"/>
        </w:rPr>
        <w:t xml:space="preserve"> ve fázi II</w:t>
      </w:r>
      <w:r w:rsidR="00C268AF" w:rsidRPr="00387347">
        <w:rPr>
          <w:rStyle w:val="q4iawc"/>
          <w:rFonts w:cstheme="minorHAnsi"/>
          <w:color w:val="000000"/>
          <w:shd w:val="clear" w:color="auto" w:fill="F5F5F5"/>
        </w:rPr>
        <w:t xml:space="preserve"> – viz níže Příloha č. 1</w:t>
      </w:r>
      <w:r w:rsidR="00694CB8" w:rsidRPr="00387347">
        <w:rPr>
          <w:rStyle w:val="q4iawc"/>
          <w:rFonts w:cstheme="minorHAnsi"/>
          <w:color w:val="000000"/>
          <w:shd w:val="clear" w:color="auto" w:fill="F5F5F5"/>
        </w:rPr>
        <w:t xml:space="preserve"> a č. 2</w:t>
      </w:r>
      <w:r w:rsidR="00BE44D2" w:rsidRPr="00387347">
        <w:rPr>
          <w:rStyle w:val="q4iawc"/>
          <w:rFonts w:cstheme="minorHAnsi"/>
          <w:color w:val="000000"/>
          <w:shd w:val="clear" w:color="auto" w:fill="F5F5F5"/>
        </w:rPr>
        <w:t>) u</w:t>
      </w:r>
      <w:r w:rsidR="00780E7C" w:rsidRPr="00387347">
        <w:rPr>
          <w:rStyle w:val="q4iawc"/>
          <w:rFonts w:cstheme="minorHAnsi"/>
          <w:color w:val="000000"/>
          <w:shd w:val="clear" w:color="auto" w:fill="F5F5F5"/>
        </w:rPr>
        <w:t xml:space="preserve"> pacientů s</w:t>
      </w:r>
      <w:r w:rsidR="003B7222" w:rsidRPr="00387347">
        <w:rPr>
          <w:rStyle w:val="q4iawc"/>
          <w:rFonts w:cstheme="minorHAnsi"/>
          <w:color w:val="000000"/>
          <w:shd w:val="clear" w:color="auto" w:fill="F5F5F5"/>
        </w:rPr>
        <w:t> </w:t>
      </w:r>
      <w:r w:rsidR="00780E7C" w:rsidRPr="00387347">
        <w:rPr>
          <w:rStyle w:val="q4iawc"/>
          <w:rFonts w:cstheme="minorHAnsi"/>
          <w:color w:val="000000"/>
          <w:shd w:val="clear" w:color="auto" w:fill="F5F5F5"/>
        </w:rPr>
        <w:t>pokročilým</w:t>
      </w:r>
      <w:r w:rsidR="003B7222" w:rsidRPr="00387347">
        <w:rPr>
          <w:rStyle w:val="q4iawc"/>
          <w:rFonts w:cstheme="minorHAnsi"/>
          <w:color w:val="000000"/>
          <w:shd w:val="clear" w:color="auto" w:fill="F5F5F5"/>
        </w:rPr>
        <w:t xml:space="preserve"> nebo metastazujícím NSCLC s KRAS G12C mutací po progresi na předcházející syst</w:t>
      </w:r>
      <w:r w:rsidR="00E847C4">
        <w:rPr>
          <w:rStyle w:val="q4iawc"/>
          <w:rFonts w:cstheme="minorHAnsi"/>
          <w:color w:val="000000"/>
          <w:shd w:val="clear" w:color="auto" w:fill="F5F5F5"/>
        </w:rPr>
        <w:t>émové léčbě</w:t>
      </w:r>
      <w:r w:rsidR="00780E7C" w:rsidRPr="00387347">
        <w:rPr>
          <w:rStyle w:val="q4iawc"/>
          <w:rFonts w:cstheme="minorHAnsi"/>
          <w:b/>
          <w:color w:val="000000"/>
          <w:shd w:val="clear" w:color="auto" w:fill="F5F5F5"/>
        </w:rPr>
        <w:t>.</w:t>
      </w:r>
      <w:r w:rsidR="00B22A20" w:rsidRPr="00387347">
        <w:rPr>
          <w:rStyle w:val="q4iawc"/>
          <w:rFonts w:cstheme="minorHAnsi"/>
          <w:b/>
          <w:color w:val="000000"/>
          <w:shd w:val="clear" w:color="auto" w:fill="F5F5F5"/>
        </w:rPr>
        <w:t xml:space="preserve"> </w:t>
      </w:r>
      <w:r w:rsidR="00B22A20" w:rsidRPr="00387347">
        <w:rPr>
          <w:rStyle w:val="q4iawc"/>
          <w:rFonts w:cstheme="minorHAnsi"/>
          <w:b/>
          <w:color w:val="000000"/>
          <w:shd w:val="clear" w:color="auto" w:fill="D2E3FC"/>
        </w:rPr>
        <w:t xml:space="preserve">Aby byla potvrzena účinnost a bezpečnost </w:t>
      </w:r>
      <w:proofErr w:type="spellStart"/>
      <w:r w:rsidR="00B22A20" w:rsidRPr="00387347">
        <w:rPr>
          <w:rStyle w:val="q4iawc"/>
          <w:rFonts w:cstheme="minorHAnsi"/>
          <w:b/>
          <w:color w:val="000000"/>
          <w:shd w:val="clear" w:color="auto" w:fill="D2E3FC"/>
        </w:rPr>
        <w:t>sotorasibu</w:t>
      </w:r>
      <w:proofErr w:type="spellEnd"/>
      <w:r w:rsidR="00B22A20" w:rsidRPr="00387347">
        <w:rPr>
          <w:rStyle w:val="q4iawc"/>
          <w:rFonts w:cstheme="minorHAnsi"/>
          <w:b/>
          <w:color w:val="000000"/>
          <w:shd w:val="clear" w:color="auto" w:fill="D2E3FC"/>
        </w:rPr>
        <w:t xml:space="preserve"> při léčbě pacientů s KRAS G12C-mutovaným NSCLC, musí držitel rozhodnutí o registraci předložit </w:t>
      </w:r>
      <w:r w:rsidR="00A97AB4" w:rsidRPr="00387347">
        <w:rPr>
          <w:rStyle w:val="q4iawc"/>
          <w:rFonts w:cstheme="minorHAnsi"/>
          <w:b/>
          <w:color w:val="000000"/>
          <w:shd w:val="clear" w:color="auto" w:fill="D2E3FC"/>
        </w:rPr>
        <w:t xml:space="preserve">do 31.3.2023 </w:t>
      </w:r>
      <w:r w:rsidR="00B22A20" w:rsidRPr="00387347">
        <w:rPr>
          <w:rStyle w:val="q4iawc"/>
          <w:rFonts w:cstheme="minorHAnsi"/>
          <w:b/>
          <w:color w:val="000000"/>
          <w:shd w:val="clear" w:color="auto" w:fill="D2E3FC"/>
        </w:rPr>
        <w:t xml:space="preserve">zprávu o klinické studii fáze 3 (studie CodeBreaK200) srovnávající </w:t>
      </w:r>
      <w:proofErr w:type="spellStart"/>
      <w:r w:rsidR="00B22A20" w:rsidRPr="00387347">
        <w:rPr>
          <w:rStyle w:val="q4iawc"/>
          <w:rFonts w:cstheme="minorHAnsi"/>
          <w:b/>
          <w:color w:val="000000"/>
          <w:shd w:val="clear" w:color="auto" w:fill="D2E3FC"/>
        </w:rPr>
        <w:t>sotorasib</w:t>
      </w:r>
      <w:proofErr w:type="spellEnd"/>
      <w:r w:rsidR="00B22A20" w:rsidRPr="00387347">
        <w:rPr>
          <w:rStyle w:val="q4iawc"/>
          <w:rFonts w:cstheme="minorHAnsi"/>
          <w:b/>
          <w:color w:val="000000"/>
          <w:shd w:val="clear" w:color="auto" w:fill="D2E3FC"/>
        </w:rPr>
        <w:t xml:space="preserve"> </w:t>
      </w:r>
      <w:r w:rsidR="00500800" w:rsidRPr="00387347">
        <w:rPr>
          <w:rStyle w:val="q4iawc"/>
          <w:rFonts w:cstheme="minorHAnsi"/>
          <w:b/>
          <w:color w:val="000000"/>
          <w:shd w:val="clear" w:color="auto" w:fill="D2E3FC"/>
        </w:rPr>
        <w:t>s</w:t>
      </w:r>
      <w:r w:rsidR="00B22A20" w:rsidRPr="00387347">
        <w:rPr>
          <w:rStyle w:val="q4iawc"/>
          <w:rFonts w:cstheme="minorHAnsi"/>
          <w:b/>
          <w:color w:val="000000"/>
          <w:shd w:val="clear" w:color="auto" w:fill="D2E3FC"/>
        </w:rPr>
        <w:t xml:space="preserve"> </w:t>
      </w:r>
      <w:proofErr w:type="spellStart"/>
      <w:r w:rsidR="00B22A20" w:rsidRPr="00387347">
        <w:rPr>
          <w:rStyle w:val="q4iawc"/>
          <w:rFonts w:cstheme="minorHAnsi"/>
          <w:b/>
          <w:color w:val="000000"/>
          <w:shd w:val="clear" w:color="auto" w:fill="D2E3FC"/>
        </w:rPr>
        <w:t>docetaxel</w:t>
      </w:r>
      <w:r w:rsidR="00500800" w:rsidRPr="00387347">
        <w:rPr>
          <w:rStyle w:val="q4iawc"/>
          <w:rFonts w:cstheme="minorHAnsi"/>
          <w:b/>
          <w:color w:val="000000"/>
          <w:shd w:val="clear" w:color="auto" w:fill="D2E3FC"/>
        </w:rPr>
        <w:t>em</w:t>
      </w:r>
      <w:proofErr w:type="spellEnd"/>
      <w:r w:rsidR="00B22A20" w:rsidRPr="00387347">
        <w:rPr>
          <w:rStyle w:val="q4iawc"/>
          <w:rFonts w:cstheme="minorHAnsi"/>
          <w:b/>
          <w:color w:val="000000"/>
          <w:shd w:val="clear" w:color="auto" w:fill="D2E3FC"/>
        </w:rPr>
        <w:t xml:space="preserve"> v léčbě již </w:t>
      </w:r>
      <w:proofErr w:type="spellStart"/>
      <w:r w:rsidR="00B22A20" w:rsidRPr="00387347">
        <w:rPr>
          <w:rStyle w:val="q4iawc"/>
          <w:rFonts w:cstheme="minorHAnsi"/>
          <w:b/>
          <w:color w:val="000000"/>
          <w:shd w:val="clear" w:color="auto" w:fill="D2E3FC"/>
        </w:rPr>
        <w:t>předléčeného</w:t>
      </w:r>
      <w:proofErr w:type="spellEnd"/>
      <w:r w:rsidR="00B22A20" w:rsidRPr="00387347">
        <w:rPr>
          <w:rStyle w:val="q4iawc"/>
          <w:rFonts w:cstheme="minorHAnsi"/>
          <w:b/>
          <w:color w:val="000000"/>
          <w:shd w:val="clear" w:color="auto" w:fill="F5F5F5"/>
        </w:rPr>
        <w:t xml:space="preserve"> KRAS G12C-mutovaného NSCLC</w:t>
      </w:r>
      <w:r w:rsidR="00B22A20" w:rsidRPr="00387347">
        <w:rPr>
          <w:rStyle w:val="q4iawc"/>
          <w:rFonts w:ascii="Helvetica" w:hAnsi="Helvetica"/>
          <w:color w:val="000000"/>
          <w:sz w:val="27"/>
          <w:szCs w:val="27"/>
          <w:shd w:val="clear" w:color="auto" w:fill="F5F5F5"/>
        </w:rPr>
        <w:t>.</w:t>
      </w:r>
      <w:r w:rsidR="00A97AB4" w:rsidRPr="00387347">
        <w:rPr>
          <w:rStyle w:val="q4iawc"/>
          <w:rFonts w:ascii="Helvetica" w:hAnsi="Helvetica"/>
          <w:color w:val="000000"/>
          <w:sz w:val="27"/>
          <w:szCs w:val="27"/>
          <w:shd w:val="clear" w:color="auto" w:fill="F5F5F5"/>
        </w:rPr>
        <w:t xml:space="preserve"> </w:t>
      </w:r>
      <w:r w:rsidR="00983948" w:rsidRPr="00387347">
        <w:rPr>
          <w:rFonts w:cstheme="minorHAnsi"/>
        </w:rPr>
        <w:t xml:space="preserve"> </w:t>
      </w:r>
      <w:r w:rsidR="00732928" w:rsidRPr="00387347">
        <w:rPr>
          <w:rFonts w:cstheme="minorHAnsi"/>
          <w:b/>
        </w:rPr>
        <w:t>S</w:t>
      </w:r>
      <w:r w:rsidR="00634F96" w:rsidRPr="00387347">
        <w:rPr>
          <w:rFonts w:cstheme="minorHAnsi"/>
          <w:b/>
        </w:rPr>
        <w:t>právní řízení</w:t>
      </w:r>
      <w:r w:rsidR="00634F96" w:rsidRPr="00387347">
        <w:rPr>
          <w:rFonts w:cstheme="minorHAnsi"/>
        </w:rPr>
        <w:t xml:space="preserve"> </w:t>
      </w:r>
      <w:r w:rsidR="002A7CD2" w:rsidRPr="00387347">
        <w:rPr>
          <w:rFonts w:cstheme="minorHAnsi"/>
        </w:rPr>
        <w:t xml:space="preserve">ve věci </w:t>
      </w:r>
      <w:r w:rsidR="00634F96" w:rsidRPr="00387347">
        <w:rPr>
          <w:rFonts w:cstheme="minorHAnsi"/>
          <w:color w:val="000000"/>
          <w:shd w:val="clear" w:color="auto" w:fill="ECECEC"/>
        </w:rPr>
        <w:t>stanovení maximální ceny a výše a podmínek úhrady</w:t>
      </w:r>
      <w:r w:rsidR="002A7CD2" w:rsidRPr="00387347">
        <w:t xml:space="preserve"> </w:t>
      </w:r>
      <w:r w:rsidR="002A7CD2" w:rsidRPr="00387347">
        <w:rPr>
          <w:b/>
        </w:rPr>
        <w:t xml:space="preserve">bylo </w:t>
      </w:r>
      <w:r w:rsidR="00500800" w:rsidRPr="00387347">
        <w:rPr>
          <w:b/>
        </w:rPr>
        <w:t>zahájeno 27.5.2022</w:t>
      </w:r>
      <w:r w:rsidR="00500800" w:rsidRPr="00387347">
        <w:t xml:space="preserve"> (</w:t>
      </w:r>
      <w:r w:rsidR="00500800" w:rsidRPr="00387347">
        <w:rPr>
          <w:u w:val="single"/>
        </w:rPr>
        <w:t>přípravek je žádán</w:t>
      </w:r>
      <w:r w:rsidR="00500800" w:rsidRPr="00387347">
        <w:rPr>
          <w:u w:val="single"/>
          <w:vertAlign w:val="superscript"/>
        </w:rPr>
        <w:t>4</w:t>
      </w:r>
      <w:r w:rsidR="00500800" w:rsidRPr="00387347">
        <w:rPr>
          <w:u w:val="single"/>
        </w:rPr>
        <w:t xml:space="preserve"> o první dočasnou úhradu jako VILP a podmínky úhrady jsou žádány stejné jako v indikaci dle SPC</w:t>
      </w:r>
      <w:r w:rsidR="00500800" w:rsidRPr="00387347">
        <w:rPr>
          <w:u w:val="single"/>
          <w:vertAlign w:val="superscript"/>
        </w:rPr>
        <w:t>2</w:t>
      </w:r>
      <w:r w:rsidR="00500800" w:rsidRPr="00387347">
        <w:t xml:space="preserve">) </w:t>
      </w:r>
      <w:r w:rsidR="00500800" w:rsidRPr="00387347">
        <w:rPr>
          <w:b/>
        </w:rPr>
        <w:t>a k 27.9.2022 stále probíhá</w:t>
      </w:r>
      <w:r w:rsidR="00500800" w:rsidRPr="00387347">
        <w:t>.</w:t>
      </w:r>
      <w:r w:rsidR="002A7CD2" w:rsidRPr="00387347">
        <w:t xml:space="preserve"> </w:t>
      </w:r>
      <w:r w:rsidR="00300C6E" w:rsidRPr="00387347">
        <w:rPr>
          <w:b/>
        </w:rPr>
        <w:t>Tzn. aktuálně by byla požadována mimořádná úhrada ze zdravotního pojištění dle ustanovení § 16 zákona č. 48/1997 Sb. o veřejném zdravotním pojištění.</w:t>
      </w:r>
    </w:p>
    <w:p w:rsidR="002E4C94" w:rsidRDefault="002E4C94" w:rsidP="00061346">
      <w:pPr>
        <w:spacing w:after="0"/>
        <w:jc w:val="both"/>
        <w:rPr>
          <w:b/>
        </w:rPr>
      </w:pPr>
    </w:p>
    <w:p w:rsidR="00492317" w:rsidRPr="00116FDA" w:rsidRDefault="00492317" w:rsidP="00061346">
      <w:pPr>
        <w:spacing w:after="0"/>
        <w:jc w:val="both"/>
        <w:rPr>
          <w:b/>
          <w:sz w:val="4"/>
          <w:szCs w:val="4"/>
        </w:rPr>
      </w:pPr>
    </w:p>
    <w:p w:rsidR="0038630C" w:rsidRDefault="0038630C" w:rsidP="00061346">
      <w:pPr>
        <w:spacing w:after="0"/>
        <w:jc w:val="both"/>
        <w:rPr>
          <w:rFonts w:cstheme="minorHAnsi"/>
          <w:b/>
          <w:u w:val="single"/>
        </w:rPr>
      </w:pPr>
    </w:p>
    <w:p w:rsidR="003D6912" w:rsidRPr="001245EE" w:rsidRDefault="00737ECB" w:rsidP="00061346">
      <w:pPr>
        <w:spacing w:after="0"/>
        <w:jc w:val="both"/>
        <w:rPr>
          <w:rFonts w:cstheme="minorHAnsi"/>
          <w:b/>
        </w:rPr>
      </w:pPr>
      <w:r w:rsidRPr="00F5278E">
        <w:rPr>
          <w:rFonts w:cstheme="minorHAnsi"/>
          <w:b/>
          <w:u w:val="single"/>
        </w:rPr>
        <w:t>Základní c</w:t>
      </w:r>
      <w:r w:rsidR="003D6912" w:rsidRPr="00F5278E">
        <w:rPr>
          <w:rFonts w:cstheme="minorHAnsi"/>
          <w:b/>
          <w:u w:val="single"/>
        </w:rPr>
        <w:t>harakterizac</w:t>
      </w:r>
      <w:r w:rsidRPr="00F5278E">
        <w:rPr>
          <w:rFonts w:cstheme="minorHAnsi"/>
          <w:b/>
          <w:u w:val="single"/>
        </w:rPr>
        <w:t>e</w:t>
      </w:r>
      <w:r w:rsidR="003D6912" w:rsidRPr="00F5278E">
        <w:rPr>
          <w:rFonts w:cstheme="minorHAnsi"/>
          <w:b/>
          <w:u w:val="single"/>
        </w:rPr>
        <w:t xml:space="preserve"> onemocnění</w:t>
      </w:r>
      <w:r w:rsidR="00E335DE">
        <w:rPr>
          <w:rFonts w:cstheme="minorHAnsi"/>
          <w:b/>
          <w:u w:val="single"/>
          <w:vertAlign w:val="superscript"/>
        </w:rPr>
        <w:t>1,4</w:t>
      </w:r>
      <w:r w:rsidR="00EE3E10" w:rsidRPr="00EE3E10">
        <w:rPr>
          <w:rFonts w:cstheme="minorHAnsi"/>
          <w:b/>
          <w:u w:val="single"/>
          <w:vertAlign w:val="superscript"/>
        </w:rPr>
        <w:t>,10</w:t>
      </w:r>
      <w:r w:rsidR="003D6912" w:rsidRPr="001245EE">
        <w:rPr>
          <w:rFonts w:cstheme="minorHAnsi"/>
          <w:b/>
        </w:rPr>
        <w:t xml:space="preserve">:  </w:t>
      </w:r>
    </w:p>
    <w:p w:rsidR="00242F48" w:rsidRPr="00387347" w:rsidRDefault="00662A9D" w:rsidP="00061346">
      <w:pPr>
        <w:spacing w:after="0"/>
        <w:jc w:val="both"/>
        <w:rPr>
          <w:rStyle w:val="q4iawc"/>
          <w:rFonts w:cstheme="minorHAnsi"/>
          <w:color w:val="000000"/>
          <w:shd w:val="clear" w:color="auto" w:fill="D2E3FC"/>
        </w:rPr>
      </w:pPr>
      <w:r w:rsidRPr="00387347">
        <w:rPr>
          <w:rFonts w:cstheme="minorHAnsi"/>
          <w:color w:val="000000"/>
          <w:shd w:val="clear" w:color="auto" w:fill="F5F5F5"/>
        </w:rPr>
        <w:t xml:space="preserve">NSCLC </w:t>
      </w:r>
      <w:r w:rsidR="00EE3E10" w:rsidRPr="00387347">
        <w:rPr>
          <w:rFonts w:cstheme="minorHAnsi"/>
          <w:color w:val="000000"/>
          <w:shd w:val="clear" w:color="auto" w:fill="F5F5F5"/>
        </w:rPr>
        <w:t>tvoří 75-85% z</w:t>
      </w:r>
      <w:r w:rsidR="00E847C4">
        <w:rPr>
          <w:rFonts w:cstheme="minorHAnsi"/>
          <w:color w:val="000000"/>
          <w:shd w:val="clear" w:color="auto" w:fill="F5F5F5"/>
        </w:rPr>
        <w:t>e všech</w:t>
      </w:r>
      <w:r w:rsidR="00EE3E10" w:rsidRPr="00387347">
        <w:rPr>
          <w:rFonts w:cstheme="minorHAnsi"/>
          <w:color w:val="000000"/>
          <w:shd w:val="clear" w:color="auto" w:fill="F5F5F5"/>
        </w:rPr>
        <w:t xml:space="preserve"> bronchogenních karcinomů, </w:t>
      </w:r>
      <w:r w:rsidR="00EE3E10" w:rsidRPr="00387347">
        <w:rPr>
          <w:rFonts w:cstheme="minorHAnsi"/>
          <w:b/>
          <w:color w:val="000000"/>
          <w:shd w:val="clear" w:color="auto" w:fill="F5F5F5"/>
        </w:rPr>
        <w:t>nejčastějším typem NSCLC je pak adenokarcinom</w:t>
      </w:r>
      <w:r w:rsidR="00EE3E10" w:rsidRPr="00387347">
        <w:rPr>
          <w:rFonts w:cstheme="minorHAnsi"/>
          <w:color w:val="000000"/>
          <w:shd w:val="clear" w:color="auto" w:fill="F5F5F5"/>
        </w:rPr>
        <w:t xml:space="preserve"> (tvoří cca 40% </w:t>
      </w:r>
      <w:r w:rsidR="00E847C4">
        <w:rPr>
          <w:rFonts w:cstheme="minorHAnsi"/>
          <w:color w:val="000000"/>
          <w:shd w:val="clear" w:color="auto" w:fill="F5F5F5"/>
        </w:rPr>
        <w:t xml:space="preserve">všech </w:t>
      </w:r>
      <w:r w:rsidR="00EE3E10" w:rsidRPr="00387347">
        <w:rPr>
          <w:rFonts w:cstheme="minorHAnsi"/>
          <w:color w:val="000000"/>
          <w:shd w:val="clear" w:color="auto" w:fill="F5F5F5"/>
        </w:rPr>
        <w:t xml:space="preserve">karcinomů plic), na druhém místě </w:t>
      </w:r>
      <w:r w:rsidR="00E847C4">
        <w:rPr>
          <w:rFonts w:cstheme="minorHAnsi"/>
          <w:color w:val="000000"/>
          <w:shd w:val="clear" w:color="auto" w:fill="F5F5F5"/>
        </w:rPr>
        <w:t xml:space="preserve">je </w:t>
      </w:r>
      <w:r w:rsidR="00EE3E10" w:rsidRPr="00387347">
        <w:rPr>
          <w:rFonts w:cstheme="minorHAnsi"/>
          <w:color w:val="000000"/>
          <w:shd w:val="clear" w:color="auto" w:fill="F5F5F5"/>
        </w:rPr>
        <w:t xml:space="preserve">pak karcinom </w:t>
      </w:r>
      <w:proofErr w:type="spellStart"/>
      <w:r w:rsidR="00EE3E10" w:rsidRPr="00387347">
        <w:rPr>
          <w:rFonts w:cstheme="minorHAnsi"/>
          <w:color w:val="000000"/>
          <w:shd w:val="clear" w:color="auto" w:fill="F5F5F5"/>
        </w:rPr>
        <w:t>skvam</w:t>
      </w:r>
      <w:r w:rsidR="00E847C4">
        <w:rPr>
          <w:rFonts w:cstheme="minorHAnsi"/>
          <w:color w:val="000000"/>
          <w:shd w:val="clear" w:color="auto" w:fill="F5F5F5"/>
        </w:rPr>
        <w:t>ó</w:t>
      </w:r>
      <w:r w:rsidR="00EE3E10" w:rsidRPr="00387347">
        <w:rPr>
          <w:rFonts w:cstheme="minorHAnsi"/>
          <w:color w:val="000000"/>
          <w:shd w:val="clear" w:color="auto" w:fill="F5F5F5"/>
        </w:rPr>
        <w:t>zních</w:t>
      </w:r>
      <w:proofErr w:type="spellEnd"/>
      <w:r w:rsidR="00EE3E10" w:rsidRPr="00387347">
        <w:rPr>
          <w:rFonts w:cstheme="minorHAnsi"/>
          <w:color w:val="000000"/>
          <w:shd w:val="clear" w:color="auto" w:fill="F5F5F5"/>
        </w:rPr>
        <w:t xml:space="preserve"> buněk (cca 25-30%). </w:t>
      </w:r>
      <w:r w:rsidR="00EE3E10" w:rsidRPr="00387347">
        <w:rPr>
          <w:rFonts w:cstheme="minorHAnsi"/>
          <w:b/>
          <w:color w:val="000000"/>
          <w:shd w:val="clear" w:color="auto" w:fill="F5F5F5"/>
        </w:rPr>
        <w:t>Co se týká KRAS mutací, ty jsou u a</w:t>
      </w:r>
      <w:r w:rsidR="00412B40" w:rsidRPr="00387347">
        <w:rPr>
          <w:rFonts w:cstheme="minorHAnsi"/>
          <w:b/>
          <w:color w:val="000000"/>
          <w:shd w:val="clear" w:color="auto" w:fill="F5F5F5"/>
        </w:rPr>
        <w:t>denokarcinomů NSCLC zastoupeny v četnosti 30-35%</w:t>
      </w:r>
      <w:r w:rsidR="00412B40" w:rsidRPr="00387347">
        <w:rPr>
          <w:rFonts w:cstheme="minorHAnsi"/>
          <w:color w:val="000000"/>
          <w:shd w:val="clear" w:color="auto" w:fill="F5F5F5"/>
        </w:rPr>
        <w:t xml:space="preserve">, u karcinomu </w:t>
      </w:r>
      <w:proofErr w:type="spellStart"/>
      <w:r w:rsidR="00412B40" w:rsidRPr="00387347">
        <w:rPr>
          <w:rFonts w:cstheme="minorHAnsi"/>
          <w:color w:val="000000"/>
          <w:shd w:val="clear" w:color="auto" w:fill="F5F5F5"/>
        </w:rPr>
        <w:t>skvamozních</w:t>
      </w:r>
      <w:proofErr w:type="spellEnd"/>
      <w:r w:rsidR="00412B40" w:rsidRPr="00387347">
        <w:rPr>
          <w:rFonts w:cstheme="minorHAnsi"/>
          <w:color w:val="000000"/>
          <w:shd w:val="clear" w:color="auto" w:fill="F5F5F5"/>
        </w:rPr>
        <w:t xml:space="preserve"> buněk pak jen 3-4%.</w:t>
      </w:r>
      <w:r w:rsidR="00D42F15" w:rsidRPr="00387347">
        <w:rPr>
          <w:rFonts w:cstheme="minorHAnsi"/>
          <w:color w:val="000000"/>
          <w:shd w:val="clear" w:color="auto" w:fill="F5F5F5"/>
        </w:rPr>
        <w:t xml:space="preserve"> Jak již bylo výše zmíněno</w:t>
      </w:r>
      <w:r w:rsidR="00D42F15" w:rsidRPr="00387347">
        <w:rPr>
          <w:rFonts w:cstheme="minorHAnsi"/>
          <w:b/>
          <w:color w:val="000000"/>
          <w:shd w:val="clear" w:color="auto" w:fill="F5F5F5"/>
        </w:rPr>
        <w:t xml:space="preserve">, tak </w:t>
      </w:r>
      <w:r w:rsidR="00D42F15" w:rsidRPr="00387347">
        <w:rPr>
          <w:rStyle w:val="q4iawc"/>
          <w:rFonts w:cstheme="minorHAnsi"/>
          <w:b/>
          <w:color w:val="000000"/>
          <w:shd w:val="clear" w:color="auto" w:fill="F5F5F5"/>
        </w:rPr>
        <w:t xml:space="preserve">nejčastějším (cca </w:t>
      </w:r>
      <w:r w:rsidR="00E847C4">
        <w:rPr>
          <w:rStyle w:val="q4iawc"/>
          <w:rFonts w:cstheme="minorHAnsi"/>
          <w:b/>
          <w:color w:val="000000"/>
          <w:shd w:val="clear" w:color="auto" w:fill="F5F5F5"/>
        </w:rPr>
        <w:t xml:space="preserve">s </w:t>
      </w:r>
      <w:r w:rsidR="00D42F15" w:rsidRPr="00387347">
        <w:rPr>
          <w:rStyle w:val="q4iawc"/>
          <w:rFonts w:cstheme="minorHAnsi"/>
          <w:b/>
          <w:color w:val="000000"/>
          <w:shd w:val="clear" w:color="auto" w:fill="F5F5F5"/>
        </w:rPr>
        <w:t>40% frekvenc</w:t>
      </w:r>
      <w:r w:rsidR="00E847C4">
        <w:rPr>
          <w:rStyle w:val="q4iawc"/>
          <w:rFonts w:cstheme="minorHAnsi"/>
          <w:b/>
          <w:color w:val="000000"/>
          <w:shd w:val="clear" w:color="auto" w:fill="F5F5F5"/>
        </w:rPr>
        <w:t>í</w:t>
      </w:r>
      <w:r w:rsidR="00D42F15" w:rsidRPr="00387347">
        <w:rPr>
          <w:rStyle w:val="q4iawc"/>
          <w:rFonts w:cstheme="minorHAnsi"/>
          <w:b/>
          <w:color w:val="000000"/>
          <w:shd w:val="clear" w:color="auto" w:fill="F5F5F5"/>
        </w:rPr>
        <w:t>) typem KRAS mutace je bodová mutace c.34G˃T</w:t>
      </w:r>
      <w:r w:rsidR="00D42F15" w:rsidRPr="00387347">
        <w:rPr>
          <w:rStyle w:val="q4iawc"/>
          <w:rFonts w:cstheme="minorHAnsi"/>
          <w:color w:val="000000"/>
          <w:shd w:val="clear" w:color="auto" w:fill="F5F5F5"/>
        </w:rPr>
        <w:t>.</w:t>
      </w:r>
      <w:r w:rsidR="001F1861" w:rsidRPr="00387347">
        <w:rPr>
          <w:rStyle w:val="q4iawc"/>
          <w:rFonts w:cstheme="minorHAnsi"/>
          <w:color w:val="000000"/>
          <w:shd w:val="clear" w:color="auto" w:fill="F5F5F5"/>
        </w:rPr>
        <w:t xml:space="preserve"> </w:t>
      </w:r>
      <w:r w:rsidR="00E335DE" w:rsidRPr="00387347">
        <w:rPr>
          <w:rStyle w:val="q4iawc"/>
          <w:rFonts w:cstheme="minorHAnsi"/>
          <w:color w:val="000000"/>
          <w:shd w:val="clear" w:color="auto" w:fill="F5F5F5"/>
        </w:rPr>
        <w:t>Dle údajů z roku 2019 je</w:t>
      </w:r>
      <w:r w:rsidR="00F24B2D" w:rsidRPr="00387347">
        <w:rPr>
          <w:rStyle w:val="q4iawc"/>
          <w:rFonts w:cstheme="minorHAnsi"/>
          <w:color w:val="000000"/>
          <w:shd w:val="clear" w:color="auto" w:fill="F5F5F5"/>
        </w:rPr>
        <w:t xml:space="preserve"> v ČR </w:t>
      </w:r>
      <w:r w:rsidR="00E335DE" w:rsidRPr="00387347">
        <w:rPr>
          <w:rStyle w:val="q4iawc"/>
          <w:rFonts w:cstheme="minorHAnsi"/>
          <w:color w:val="000000"/>
          <w:shd w:val="clear" w:color="auto" w:fill="F5F5F5"/>
        </w:rPr>
        <w:t xml:space="preserve">rakovina plic obecně diagnostikována v 60-80% v pokročilých stadiích (tj. st. </w:t>
      </w:r>
      <w:r w:rsidR="00F24B2D" w:rsidRPr="00387347">
        <w:rPr>
          <w:rStyle w:val="q4iawc"/>
          <w:rFonts w:cstheme="minorHAnsi"/>
          <w:color w:val="000000"/>
          <w:shd w:val="clear" w:color="auto" w:fill="F5F5F5"/>
        </w:rPr>
        <w:t>IIIB</w:t>
      </w:r>
      <w:r w:rsidR="00E335DE" w:rsidRPr="00387347">
        <w:rPr>
          <w:rStyle w:val="q4iawc"/>
          <w:rFonts w:cstheme="minorHAnsi"/>
          <w:color w:val="000000"/>
          <w:shd w:val="clear" w:color="auto" w:fill="F5F5F5"/>
        </w:rPr>
        <w:t xml:space="preserve"> až </w:t>
      </w:r>
      <w:r w:rsidR="00F24B2D" w:rsidRPr="00387347">
        <w:rPr>
          <w:rStyle w:val="q4iawc"/>
          <w:rFonts w:cstheme="minorHAnsi"/>
          <w:color w:val="000000"/>
          <w:shd w:val="clear" w:color="auto" w:fill="F5F5F5"/>
        </w:rPr>
        <w:t>IV</w:t>
      </w:r>
      <w:r w:rsidR="00E335DE" w:rsidRPr="00387347">
        <w:rPr>
          <w:rStyle w:val="q4iawc"/>
          <w:rFonts w:cstheme="minorHAnsi"/>
          <w:color w:val="000000"/>
          <w:shd w:val="clear" w:color="auto" w:fill="F5F5F5"/>
        </w:rPr>
        <w:t>)</w:t>
      </w:r>
      <w:r w:rsidR="00F24B2D" w:rsidRPr="00387347">
        <w:rPr>
          <w:rStyle w:val="q4iawc"/>
          <w:rFonts w:cstheme="minorHAnsi"/>
          <w:color w:val="000000"/>
          <w:shd w:val="clear" w:color="auto" w:fill="F5F5F5"/>
        </w:rPr>
        <w:t xml:space="preserve">. </w:t>
      </w:r>
      <w:r w:rsidR="00F24B2D" w:rsidRPr="00387347">
        <w:rPr>
          <w:rFonts w:cstheme="minorHAnsi"/>
          <w:b/>
          <w:color w:val="000000"/>
          <w:u w:val="single"/>
          <w:shd w:val="clear" w:color="auto" w:fill="F5F5F5"/>
        </w:rPr>
        <w:t>Pacienti s pokročilým NSCLC mají nízkou míru 5letého přežití, jen 5,2 %</w:t>
      </w:r>
      <w:r w:rsidR="002F27C5" w:rsidRPr="00387347">
        <w:rPr>
          <w:rFonts w:cstheme="minorHAnsi"/>
          <w:b/>
          <w:color w:val="000000"/>
          <w:u w:val="single"/>
          <w:shd w:val="clear" w:color="auto" w:fill="F5F5F5"/>
          <w:vertAlign w:val="superscript"/>
        </w:rPr>
        <w:t>1</w:t>
      </w:r>
      <w:r w:rsidR="009B57A4" w:rsidRPr="00387347">
        <w:rPr>
          <w:rFonts w:cstheme="minorHAnsi"/>
          <w:b/>
          <w:color w:val="000000"/>
          <w:u w:val="single"/>
          <w:shd w:val="clear" w:color="auto" w:fill="F5F5F5"/>
        </w:rPr>
        <w:t xml:space="preserve"> a </w:t>
      </w:r>
      <w:r w:rsidR="009B57A4" w:rsidRPr="00387347">
        <w:rPr>
          <w:rStyle w:val="q4iawc"/>
          <w:rFonts w:cstheme="minorHAnsi"/>
          <w:b/>
          <w:color w:val="000000"/>
          <w:u w:val="single"/>
          <w:shd w:val="clear" w:color="auto" w:fill="D2E3FC"/>
        </w:rPr>
        <w:t>pokud nejsou léčeni, očekává se, že tito pacienti zemřou v průměru do 9,4 měsíce od diagnózy</w:t>
      </w:r>
      <w:r w:rsidR="002F27C5" w:rsidRPr="00387347">
        <w:rPr>
          <w:rStyle w:val="q4iawc"/>
          <w:rFonts w:cstheme="minorHAnsi"/>
          <w:b/>
          <w:color w:val="000000"/>
          <w:u w:val="single"/>
          <w:shd w:val="clear" w:color="auto" w:fill="D2E3FC"/>
          <w:vertAlign w:val="superscript"/>
        </w:rPr>
        <w:t>11</w:t>
      </w:r>
      <w:r w:rsidR="00F24B2D" w:rsidRPr="00387347">
        <w:rPr>
          <w:rFonts w:cstheme="minorHAnsi"/>
          <w:b/>
          <w:color w:val="000000"/>
          <w:u w:val="single"/>
          <w:shd w:val="clear" w:color="auto" w:fill="F5F5F5"/>
        </w:rPr>
        <w:t>.</w:t>
      </w:r>
      <w:r w:rsidR="00E335DE" w:rsidRPr="00387347">
        <w:rPr>
          <w:rStyle w:val="q4iawc"/>
          <w:rFonts w:cstheme="minorHAnsi"/>
          <w:color w:val="000000"/>
          <w:shd w:val="clear" w:color="auto" w:fill="F5F5F5"/>
        </w:rPr>
        <w:t xml:space="preserve"> </w:t>
      </w:r>
      <w:r w:rsidR="00E335DE" w:rsidRPr="00387347">
        <w:rPr>
          <w:rFonts w:cstheme="minorHAnsi"/>
          <w:color w:val="000000"/>
          <w:shd w:val="clear" w:color="auto" w:fill="F5F5F5"/>
        </w:rPr>
        <w:t>Pacienti s NSCLC, kteří jsou pozitivní na mutace KRAS, jsou typicky bílí a mají v anamnéze kouření cigaret.</w:t>
      </w:r>
      <w:r w:rsidR="00AA494F" w:rsidRPr="00387347">
        <w:rPr>
          <w:rFonts w:cstheme="minorHAnsi"/>
          <w:color w:val="000000"/>
          <w:shd w:val="clear" w:color="auto" w:fill="F5F5F5"/>
        </w:rPr>
        <w:t xml:space="preserve"> Odhadovaný výskyt mutací KRAS je u kuřáků až 25–35 %.</w:t>
      </w:r>
      <w:r w:rsidR="00E335DE" w:rsidRPr="00387347">
        <w:rPr>
          <w:rFonts w:cstheme="minorHAnsi"/>
          <w:color w:val="000000"/>
          <w:shd w:val="clear" w:color="auto" w:fill="F5F5F5"/>
        </w:rPr>
        <w:t xml:space="preserve"> </w:t>
      </w:r>
      <w:r w:rsidR="00E335DE" w:rsidRPr="00387347">
        <w:rPr>
          <w:rStyle w:val="q4iawc"/>
          <w:rFonts w:cstheme="minorHAnsi"/>
          <w:b/>
          <w:color w:val="000000"/>
          <w:shd w:val="clear" w:color="auto" w:fill="F5F5F5"/>
        </w:rPr>
        <w:t>Literární údaje ohledně prognózy pacientů s KRAS mutovaným NSCLC (včetně KRAS p.G12C) jsou zatím nejednoznačné</w:t>
      </w:r>
      <w:r w:rsidR="00E335DE" w:rsidRPr="00387347">
        <w:rPr>
          <w:rStyle w:val="q4iawc"/>
          <w:rFonts w:cstheme="minorHAnsi"/>
          <w:color w:val="000000"/>
          <w:shd w:val="clear" w:color="auto" w:fill="F5F5F5"/>
        </w:rPr>
        <w:t>.</w:t>
      </w:r>
      <w:r w:rsidR="00E335DE" w:rsidRPr="00387347">
        <w:rPr>
          <w:rFonts w:cstheme="minorHAnsi"/>
          <w:color w:val="000000"/>
          <w:shd w:val="clear" w:color="auto" w:fill="F5F5F5"/>
        </w:rPr>
        <w:t xml:space="preserve"> </w:t>
      </w:r>
      <w:r w:rsidR="00E335DE" w:rsidRPr="00387347">
        <w:rPr>
          <w:rStyle w:val="q4iawc"/>
          <w:rFonts w:cstheme="minorHAnsi"/>
          <w:color w:val="000000"/>
          <w:shd w:val="clear" w:color="auto" w:fill="D2E3FC"/>
        </w:rPr>
        <w:t xml:space="preserve">Některé studie neuvedly žádný prognostický rozdíl oproti celkovému počtu pacientů s pokročilým NSCLC, zatímco v jiných byly mutace KRAS </w:t>
      </w:r>
      <w:r w:rsidR="00E9215E">
        <w:rPr>
          <w:rStyle w:val="q4iawc"/>
          <w:rFonts w:cstheme="minorHAnsi"/>
          <w:color w:val="000000"/>
          <w:shd w:val="clear" w:color="auto" w:fill="D2E3FC"/>
        </w:rPr>
        <w:t>spojovány</w:t>
      </w:r>
      <w:r w:rsidR="00E335DE" w:rsidRPr="00387347">
        <w:rPr>
          <w:rStyle w:val="q4iawc"/>
          <w:rFonts w:cstheme="minorHAnsi"/>
          <w:color w:val="000000"/>
          <w:shd w:val="clear" w:color="auto" w:fill="D2E3FC"/>
        </w:rPr>
        <w:t xml:space="preserve"> s horší prognózou a odhad</w:t>
      </w:r>
      <w:r w:rsidR="00E9215E">
        <w:rPr>
          <w:rStyle w:val="q4iawc"/>
          <w:rFonts w:cstheme="minorHAnsi"/>
          <w:color w:val="000000"/>
          <w:shd w:val="clear" w:color="auto" w:fill="D2E3FC"/>
        </w:rPr>
        <w:t>em</w:t>
      </w:r>
      <w:r w:rsidR="00E335DE" w:rsidRPr="00387347">
        <w:rPr>
          <w:rStyle w:val="q4iawc"/>
          <w:rFonts w:cstheme="minorHAnsi"/>
          <w:color w:val="000000"/>
          <w:shd w:val="clear" w:color="auto" w:fill="D2E3FC"/>
        </w:rPr>
        <w:t>, že vedou k 30% vyššímu riziku relativní úmrtnosti.</w:t>
      </w:r>
    </w:p>
    <w:p w:rsidR="00E80DB7" w:rsidRPr="00387347" w:rsidRDefault="00E80DB7" w:rsidP="00061346">
      <w:pPr>
        <w:spacing w:after="0"/>
        <w:jc w:val="both"/>
        <w:rPr>
          <w:rFonts w:cstheme="minorHAnsi"/>
          <w:color w:val="000000"/>
          <w:shd w:val="clear" w:color="auto" w:fill="F5F5F5"/>
        </w:rPr>
      </w:pPr>
      <w:r w:rsidRPr="00E9215E">
        <w:rPr>
          <w:rFonts w:cstheme="minorHAnsi"/>
          <w:b/>
          <w:color w:val="000000"/>
          <w:u w:val="single"/>
          <w:shd w:val="clear" w:color="auto" w:fill="F5F5F5"/>
        </w:rPr>
        <w:t xml:space="preserve">Odhadovaný celkový počet pacientů v ČR s pokročilým </w:t>
      </w:r>
      <w:proofErr w:type="spellStart"/>
      <w:r w:rsidRPr="00E9215E">
        <w:rPr>
          <w:rFonts w:cstheme="minorHAnsi"/>
          <w:b/>
          <w:color w:val="000000"/>
          <w:u w:val="single"/>
          <w:shd w:val="clear" w:color="auto" w:fill="F5F5F5"/>
        </w:rPr>
        <w:t>neskvamózním</w:t>
      </w:r>
      <w:proofErr w:type="spellEnd"/>
      <w:r w:rsidRPr="00E9215E">
        <w:rPr>
          <w:rFonts w:cstheme="minorHAnsi"/>
          <w:b/>
          <w:color w:val="000000"/>
          <w:u w:val="single"/>
          <w:shd w:val="clear" w:color="auto" w:fill="F5F5F5"/>
        </w:rPr>
        <w:t xml:space="preserve"> NSCLC s prokázanou mutací KRAS G12C vhodných pro léčbu </w:t>
      </w:r>
      <w:proofErr w:type="spellStart"/>
      <w:r w:rsidRPr="00E9215E">
        <w:rPr>
          <w:rFonts w:cstheme="minorHAnsi"/>
          <w:b/>
          <w:color w:val="000000"/>
          <w:u w:val="single"/>
          <w:shd w:val="clear" w:color="auto" w:fill="F5F5F5"/>
        </w:rPr>
        <w:t>sotorasibem</w:t>
      </w:r>
      <w:proofErr w:type="spellEnd"/>
      <w:r w:rsidRPr="00E9215E">
        <w:rPr>
          <w:rFonts w:cstheme="minorHAnsi"/>
          <w:b/>
          <w:color w:val="000000"/>
          <w:u w:val="single"/>
          <w:shd w:val="clear" w:color="auto" w:fill="F5F5F5"/>
        </w:rPr>
        <w:t xml:space="preserve"> ve 2. a vyšší linii je cca 100/ rok</w:t>
      </w:r>
      <w:r w:rsidRPr="00387347">
        <w:rPr>
          <w:rFonts w:cstheme="minorHAnsi"/>
          <w:b/>
          <w:color w:val="000000"/>
          <w:shd w:val="clear" w:color="auto" w:fill="F5F5F5"/>
        </w:rPr>
        <w:t>.</w:t>
      </w:r>
      <w:r w:rsidR="00A775D2" w:rsidRPr="00387347">
        <w:rPr>
          <w:rFonts w:cstheme="minorHAnsi"/>
          <w:b/>
          <w:color w:val="000000"/>
          <w:shd w:val="clear" w:color="auto" w:fill="F5F5F5"/>
        </w:rPr>
        <w:t xml:space="preserve"> U pacientů se </w:t>
      </w:r>
      <w:proofErr w:type="spellStart"/>
      <w:r w:rsidR="00A775D2" w:rsidRPr="00387347">
        <w:rPr>
          <w:rFonts w:cstheme="minorHAnsi"/>
          <w:b/>
          <w:color w:val="000000"/>
          <w:shd w:val="clear" w:color="auto" w:fill="F5F5F5"/>
        </w:rPr>
        <w:t>skvamózním</w:t>
      </w:r>
      <w:proofErr w:type="spellEnd"/>
      <w:r w:rsidR="00A775D2" w:rsidRPr="00387347">
        <w:rPr>
          <w:rFonts w:cstheme="minorHAnsi"/>
          <w:b/>
          <w:color w:val="000000"/>
          <w:shd w:val="clear" w:color="auto" w:fill="F5F5F5"/>
        </w:rPr>
        <w:t xml:space="preserve"> NSCLC pak</w:t>
      </w:r>
      <w:r w:rsidR="00E9215E">
        <w:rPr>
          <w:rFonts w:cstheme="minorHAnsi"/>
          <w:b/>
          <w:color w:val="000000"/>
          <w:shd w:val="clear" w:color="auto" w:fill="F5F5F5"/>
        </w:rPr>
        <w:t xml:space="preserve"> jen</w:t>
      </w:r>
      <w:r w:rsidR="00A775D2" w:rsidRPr="00387347">
        <w:rPr>
          <w:rFonts w:cstheme="minorHAnsi"/>
          <w:b/>
          <w:color w:val="000000"/>
          <w:shd w:val="clear" w:color="auto" w:fill="F5F5F5"/>
        </w:rPr>
        <w:t xml:space="preserve"> 7/ rok</w:t>
      </w:r>
      <w:r w:rsidR="00A775D2" w:rsidRPr="00387347">
        <w:rPr>
          <w:rFonts w:cstheme="minorHAnsi"/>
          <w:color w:val="000000"/>
          <w:shd w:val="clear" w:color="auto" w:fill="F5F5F5"/>
        </w:rPr>
        <w:t>.</w:t>
      </w:r>
    </w:p>
    <w:p w:rsidR="00492317" w:rsidRPr="00387347" w:rsidRDefault="00492317" w:rsidP="00061346">
      <w:pPr>
        <w:spacing w:after="0"/>
        <w:jc w:val="both"/>
        <w:rPr>
          <w:rFonts w:cstheme="minorHAnsi"/>
          <w:b/>
          <w:u w:val="single"/>
        </w:rPr>
      </w:pPr>
    </w:p>
    <w:p w:rsidR="00C143A1" w:rsidRPr="00387347" w:rsidRDefault="00C143A1" w:rsidP="00061346">
      <w:pPr>
        <w:spacing w:after="0"/>
        <w:jc w:val="both"/>
        <w:rPr>
          <w:rFonts w:cstheme="minorHAnsi"/>
          <w:b/>
          <w:u w:val="single"/>
        </w:rPr>
      </w:pPr>
      <w:r w:rsidRPr="00387347">
        <w:rPr>
          <w:rFonts w:cstheme="minorHAnsi"/>
          <w:b/>
          <w:u w:val="single"/>
        </w:rPr>
        <w:t>Postave</w:t>
      </w:r>
      <w:r w:rsidR="00006D6C" w:rsidRPr="00387347">
        <w:rPr>
          <w:rFonts w:cstheme="minorHAnsi"/>
          <w:b/>
          <w:u w:val="single"/>
        </w:rPr>
        <w:t>ní léčiva v klinické praxi:</w:t>
      </w:r>
    </w:p>
    <w:p w:rsidR="00242F48" w:rsidRPr="00387347" w:rsidRDefault="00886978" w:rsidP="00061346">
      <w:pPr>
        <w:spacing w:after="0"/>
        <w:jc w:val="both"/>
        <w:rPr>
          <w:rFonts w:cstheme="minorHAnsi"/>
        </w:rPr>
      </w:pPr>
      <w:r w:rsidRPr="00387347">
        <w:rPr>
          <w:rFonts w:cstheme="minorHAnsi"/>
        </w:rPr>
        <w:t xml:space="preserve">Dle </w:t>
      </w:r>
      <w:r w:rsidR="00E72020" w:rsidRPr="00387347">
        <w:rPr>
          <w:rFonts w:cstheme="minorHAnsi"/>
        </w:rPr>
        <w:t>NCCN</w:t>
      </w:r>
      <w:r w:rsidRPr="00387347">
        <w:rPr>
          <w:rFonts w:cstheme="minorHAnsi"/>
        </w:rPr>
        <w:t xml:space="preserve"> </w:t>
      </w:r>
      <w:proofErr w:type="spellStart"/>
      <w:r w:rsidRPr="00387347">
        <w:rPr>
          <w:rFonts w:cstheme="minorHAnsi"/>
        </w:rPr>
        <w:t>guidelinu</w:t>
      </w:r>
      <w:proofErr w:type="spellEnd"/>
      <w:r w:rsidRPr="00387347">
        <w:rPr>
          <w:rFonts w:cstheme="minorHAnsi"/>
        </w:rPr>
        <w:t xml:space="preserve"> </w:t>
      </w:r>
      <w:r w:rsidR="002F47CE" w:rsidRPr="00387347">
        <w:rPr>
          <w:rFonts w:cstheme="minorHAnsi"/>
        </w:rPr>
        <w:t>0</w:t>
      </w:r>
      <w:r w:rsidR="008F78CC" w:rsidRPr="00387347">
        <w:rPr>
          <w:rFonts w:cstheme="minorHAnsi"/>
        </w:rPr>
        <w:t>5</w:t>
      </w:r>
      <w:r w:rsidR="002F47CE" w:rsidRPr="00387347">
        <w:rPr>
          <w:rFonts w:cstheme="minorHAnsi"/>
        </w:rPr>
        <w:t>.2022</w:t>
      </w:r>
      <w:r w:rsidR="002F47CE" w:rsidRPr="00387347">
        <w:rPr>
          <w:rFonts w:cstheme="minorHAnsi"/>
          <w:vertAlign w:val="superscript"/>
        </w:rPr>
        <w:t>5</w:t>
      </w:r>
      <w:r w:rsidRPr="00387347">
        <w:rPr>
          <w:rFonts w:cstheme="minorHAnsi"/>
        </w:rPr>
        <w:t xml:space="preserve"> </w:t>
      </w:r>
      <w:r w:rsidR="002F47CE" w:rsidRPr="00387347">
        <w:rPr>
          <w:rFonts w:cstheme="minorHAnsi"/>
          <w:b/>
        </w:rPr>
        <w:t>je</w:t>
      </w:r>
      <w:r w:rsidRPr="00387347">
        <w:rPr>
          <w:rFonts w:cstheme="minorHAnsi"/>
          <w:b/>
        </w:rPr>
        <w:t xml:space="preserve"> </w:t>
      </w:r>
      <w:proofErr w:type="spellStart"/>
      <w:r w:rsidR="00F91E97" w:rsidRPr="00387347">
        <w:rPr>
          <w:rFonts w:cstheme="minorHAnsi"/>
          <w:b/>
        </w:rPr>
        <w:t>sotorasib</w:t>
      </w:r>
      <w:proofErr w:type="spellEnd"/>
      <w:r w:rsidR="002F47CE" w:rsidRPr="00387347">
        <w:rPr>
          <w:rFonts w:cstheme="minorHAnsi"/>
          <w:b/>
        </w:rPr>
        <w:t xml:space="preserve"> (</w:t>
      </w:r>
      <w:r w:rsidR="00F91E97" w:rsidRPr="00387347">
        <w:rPr>
          <w:rFonts w:cstheme="minorHAnsi"/>
          <w:b/>
        </w:rPr>
        <w:t>LUMYKRAS</w:t>
      </w:r>
      <w:r w:rsidR="002F47CE" w:rsidRPr="00387347">
        <w:rPr>
          <w:rFonts w:cstheme="minorHAnsi"/>
          <w:b/>
        </w:rPr>
        <w:t>)</w:t>
      </w:r>
      <w:r w:rsidR="00F91E97" w:rsidRPr="00387347">
        <w:rPr>
          <w:rFonts w:cstheme="minorHAnsi"/>
          <w:b/>
        </w:rPr>
        <w:t xml:space="preserve"> doporučen ve 2. a vyšší linii u KRAS G12C mutovaného </w:t>
      </w:r>
      <w:r w:rsidR="007C40F9" w:rsidRPr="00387347">
        <w:rPr>
          <w:rFonts w:cstheme="minorHAnsi"/>
          <w:b/>
        </w:rPr>
        <w:t xml:space="preserve">NCCN (adenokarcinomu i karcinomu </w:t>
      </w:r>
      <w:proofErr w:type="spellStart"/>
      <w:r w:rsidR="007C40F9" w:rsidRPr="00387347">
        <w:rPr>
          <w:rFonts w:cstheme="minorHAnsi"/>
          <w:b/>
        </w:rPr>
        <w:t>skvamózních</w:t>
      </w:r>
      <w:proofErr w:type="spellEnd"/>
      <w:r w:rsidR="007C40F9" w:rsidRPr="00387347">
        <w:rPr>
          <w:rFonts w:cstheme="minorHAnsi"/>
          <w:b/>
        </w:rPr>
        <w:t xml:space="preserve"> buněk) jako jediné léčivo</w:t>
      </w:r>
      <w:r w:rsidR="00223263" w:rsidRPr="00387347">
        <w:rPr>
          <w:rFonts w:cstheme="minorHAnsi"/>
          <w:b/>
        </w:rPr>
        <w:t xml:space="preserve"> cílící na řídící mutaci</w:t>
      </w:r>
      <w:r w:rsidR="007C40F9" w:rsidRPr="00387347">
        <w:rPr>
          <w:rFonts w:cstheme="minorHAnsi"/>
          <w:b/>
        </w:rPr>
        <w:t>!</w:t>
      </w:r>
      <w:r w:rsidR="002F47CE" w:rsidRPr="00387347">
        <w:rPr>
          <w:rFonts w:cstheme="minorHAnsi"/>
          <w:b/>
        </w:rPr>
        <w:t xml:space="preserve"> (ale jen s doporučením síly 2A). </w:t>
      </w:r>
      <w:r w:rsidR="007C40F9" w:rsidRPr="00387347">
        <w:rPr>
          <w:rFonts w:cstheme="minorHAnsi"/>
          <w:b/>
        </w:rPr>
        <w:t>L</w:t>
      </w:r>
      <w:r w:rsidR="002950F6" w:rsidRPr="00387347">
        <w:rPr>
          <w:rFonts w:cstheme="minorHAnsi"/>
          <w:b/>
        </w:rPr>
        <w:t>éčiv</w:t>
      </w:r>
      <w:r w:rsidR="007C40F9" w:rsidRPr="00387347">
        <w:rPr>
          <w:rFonts w:cstheme="minorHAnsi"/>
          <w:b/>
        </w:rPr>
        <w:t>o</w:t>
      </w:r>
      <w:r w:rsidR="002950F6" w:rsidRPr="00387347">
        <w:rPr>
          <w:rFonts w:cstheme="minorHAnsi"/>
          <w:b/>
        </w:rPr>
        <w:t xml:space="preserve"> nem</w:t>
      </w:r>
      <w:r w:rsidR="007C40F9" w:rsidRPr="00387347">
        <w:rPr>
          <w:rFonts w:cstheme="minorHAnsi"/>
          <w:b/>
        </w:rPr>
        <w:t>á</w:t>
      </w:r>
      <w:r w:rsidR="002950F6" w:rsidRPr="00387347">
        <w:rPr>
          <w:rFonts w:cstheme="minorHAnsi"/>
          <w:b/>
        </w:rPr>
        <w:t xml:space="preserve"> </w:t>
      </w:r>
      <w:r w:rsidR="00A9671C" w:rsidRPr="00387347">
        <w:rPr>
          <w:rFonts w:cstheme="minorHAnsi"/>
          <w:b/>
        </w:rPr>
        <w:t>dosud</w:t>
      </w:r>
      <w:r w:rsidR="00680AFF" w:rsidRPr="00387347">
        <w:rPr>
          <w:rFonts w:cstheme="minorHAnsi"/>
          <w:b/>
        </w:rPr>
        <w:t> prokázaný významný klinický benefit</w:t>
      </w:r>
      <w:r w:rsidR="00680AFF" w:rsidRPr="00387347">
        <w:rPr>
          <w:rFonts w:cstheme="minorHAnsi"/>
        </w:rPr>
        <w:t xml:space="preserve"> (ESMO-MCBS skóre</w:t>
      </w:r>
      <w:r w:rsidR="005803E1" w:rsidRPr="00387347">
        <w:rPr>
          <w:rFonts w:cstheme="minorHAnsi"/>
          <w:vertAlign w:val="superscript"/>
        </w:rPr>
        <w:t>6</w:t>
      </w:r>
      <w:r w:rsidR="00680AFF" w:rsidRPr="00387347">
        <w:rPr>
          <w:rFonts w:cstheme="minorHAnsi"/>
          <w:vertAlign w:val="superscript"/>
        </w:rPr>
        <w:t xml:space="preserve"> </w:t>
      </w:r>
      <w:r w:rsidR="00680AFF" w:rsidRPr="00387347">
        <w:rPr>
          <w:rFonts w:cstheme="minorHAnsi"/>
        </w:rPr>
        <w:t xml:space="preserve">je </w:t>
      </w:r>
      <w:r w:rsidR="00116FDA" w:rsidRPr="00387347">
        <w:rPr>
          <w:rFonts w:cstheme="minorHAnsi"/>
        </w:rPr>
        <w:t>jen 3</w:t>
      </w:r>
      <w:r w:rsidR="00AB4BCD">
        <w:rPr>
          <w:rFonts w:cstheme="minorHAnsi"/>
        </w:rPr>
        <w:t>, významný benefit</w:t>
      </w:r>
      <w:r w:rsidR="00A9671C" w:rsidRPr="00387347">
        <w:rPr>
          <w:rFonts w:cstheme="minorHAnsi"/>
        </w:rPr>
        <w:t xml:space="preserve"> je </w:t>
      </w:r>
      <w:r w:rsidR="007C40F9" w:rsidRPr="00387347">
        <w:rPr>
          <w:rFonts w:cstheme="minorHAnsi"/>
        </w:rPr>
        <w:t xml:space="preserve">až </w:t>
      </w:r>
      <w:r w:rsidR="00AB4BCD">
        <w:rPr>
          <w:rFonts w:cstheme="minorHAnsi"/>
        </w:rPr>
        <w:t>při</w:t>
      </w:r>
      <w:r w:rsidR="00A9671C" w:rsidRPr="00387347">
        <w:rPr>
          <w:rFonts w:cstheme="minorHAnsi"/>
        </w:rPr>
        <w:t xml:space="preserve"> skóre 4 </w:t>
      </w:r>
      <w:r w:rsidR="00F45A29">
        <w:rPr>
          <w:rFonts w:cstheme="minorHAnsi"/>
        </w:rPr>
        <w:t>nebo</w:t>
      </w:r>
      <w:r w:rsidR="00A9671C" w:rsidRPr="00387347">
        <w:rPr>
          <w:rFonts w:cstheme="minorHAnsi"/>
        </w:rPr>
        <w:t xml:space="preserve"> 5</w:t>
      </w:r>
      <w:r w:rsidR="00680AFF" w:rsidRPr="00387347">
        <w:rPr>
          <w:rFonts w:cstheme="minorHAnsi"/>
        </w:rPr>
        <w:t>)</w:t>
      </w:r>
      <w:r w:rsidR="00A42BE4" w:rsidRPr="00387347">
        <w:rPr>
          <w:rFonts w:cstheme="minorHAnsi"/>
        </w:rPr>
        <w:t>.</w:t>
      </w:r>
    </w:p>
    <w:p w:rsidR="00492317" w:rsidRPr="00387347" w:rsidRDefault="00492317" w:rsidP="00061346">
      <w:pPr>
        <w:spacing w:after="0"/>
        <w:jc w:val="both"/>
        <w:rPr>
          <w:rFonts w:cstheme="minorHAnsi"/>
          <w:b/>
          <w:sz w:val="32"/>
          <w:szCs w:val="32"/>
          <w:u w:val="single"/>
        </w:rPr>
      </w:pPr>
    </w:p>
    <w:p w:rsidR="004A22EC" w:rsidRPr="00387347" w:rsidRDefault="001D1E3D" w:rsidP="00061346">
      <w:pPr>
        <w:spacing w:after="0"/>
        <w:jc w:val="both"/>
        <w:rPr>
          <w:rFonts w:cstheme="minorHAnsi"/>
          <w:b/>
          <w:u w:val="single"/>
        </w:rPr>
      </w:pPr>
      <w:r w:rsidRPr="00387347">
        <w:rPr>
          <w:rFonts w:cstheme="minorHAnsi"/>
          <w:b/>
          <w:u w:val="single"/>
        </w:rPr>
        <w:t>Relevantní komparátory</w:t>
      </w:r>
      <w:r w:rsidR="00E851A6" w:rsidRPr="00387347">
        <w:rPr>
          <w:rFonts w:cstheme="minorHAnsi"/>
          <w:b/>
          <w:u w:val="single"/>
        </w:rPr>
        <w:t xml:space="preserve"> </w:t>
      </w:r>
      <w:r w:rsidR="000A2CF5">
        <w:rPr>
          <w:rFonts w:cstheme="minorHAnsi"/>
          <w:b/>
          <w:u w:val="single"/>
        </w:rPr>
        <w:t xml:space="preserve">LUMYKRASU </w:t>
      </w:r>
      <w:r w:rsidR="00E851A6" w:rsidRPr="00387347">
        <w:rPr>
          <w:rFonts w:cstheme="minorHAnsi"/>
          <w:b/>
          <w:u w:val="single"/>
        </w:rPr>
        <w:t>pro adenokarcinom NSCLC u pac</w:t>
      </w:r>
      <w:r w:rsidR="000A2CF5">
        <w:rPr>
          <w:rFonts w:cstheme="minorHAnsi"/>
          <w:b/>
          <w:u w:val="single"/>
        </w:rPr>
        <w:t>ientů</w:t>
      </w:r>
      <w:r w:rsidR="00E851A6" w:rsidRPr="00387347">
        <w:rPr>
          <w:rFonts w:cstheme="minorHAnsi"/>
          <w:b/>
          <w:u w:val="single"/>
        </w:rPr>
        <w:t xml:space="preserve"> s ECOG 0-1</w:t>
      </w:r>
      <w:r w:rsidRPr="00387347">
        <w:rPr>
          <w:rFonts w:cstheme="minorHAnsi"/>
          <w:b/>
          <w:u w:val="single"/>
        </w:rPr>
        <w:t xml:space="preserve">: </w:t>
      </w:r>
    </w:p>
    <w:p w:rsidR="00C268AF" w:rsidRDefault="00492317" w:rsidP="00E15C4D">
      <w:pPr>
        <w:spacing w:after="0"/>
        <w:jc w:val="both"/>
      </w:pPr>
      <w:r w:rsidRPr="00387347">
        <w:rPr>
          <w:rFonts w:cstheme="minorHAnsi"/>
        </w:rPr>
        <w:t xml:space="preserve">Dle </w:t>
      </w:r>
      <w:r w:rsidR="004A5CBC" w:rsidRPr="00387347">
        <w:rPr>
          <w:rFonts w:cstheme="minorHAnsi"/>
        </w:rPr>
        <w:t>aktuálních</w:t>
      </w:r>
      <w:r w:rsidR="00E851A6" w:rsidRPr="00387347">
        <w:rPr>
          <w:rFonts w:cstheme="minorHAnsi"/>
        </w:rPr>
        <w:t xml:space="preserve"> doporučení</w:t>
      </w:r>
      <w:r w:rsidR="00470FAC" w:rsidRPr="00387347">
        <w:rPr>
          <w:rFonts w:cstheme="minorHAnsi"/>
        </w:rPr>
        <w:t xml:space="preserve"> (</w:t>
      </w:r>
      <w:r w:rsidR="005E3B9C" w:rsidRPr="00387347">
        <w:rPr>
          <w:rFonts w:cstheme="minorHAnsi"/>
        </w:rPr>
        <w:t>Modrá kniha</w:t>
      </w:r>
      <w:r w:rsidR="005E3B9C" w:rsidRPr="00387347">
        <w:rPr>
          <w:rFonts w:cstheme="minorHAnsi"/>
          <w:vertAlign w:val="superscript"/>
        </w:rPr>
        <w:t>7</w:t>
      </w:r>
      <w:r w:rsidR="000A2CF5">
        <w:rPr>
          <w:rFonts w:cstheme="minorHAnsi"/>
        </w:rPr>
        <w:t>,</w:t>
      </w:r>
      <w:r w:rsidR="005E3B9C" w:rsidRPr="00387347">
        <w:rPr>
          <w:rFonts w:cstheme="minorHAnsi"/>
        </w:rPr>
        <w:t xml:space="preserve"> doporučení ČOS</w:t>
      </w:r>
      <w:r w:rsidR="005E3B9C" w:rsidRPr="00387347">
        <w:rPr>
          <w:rFonts w:cstheme="minorHAnsi"/>
          <w:vertAlign w:val="superscript"/>
        </w:rPr>
        <w:t>12</w:t>
      </w:r>
      <w:r w:rsidR="005E3B9C" w:rsidRPr="00387347">
        <w:rPr>
          <w:rFonts w:cstheme="minorHAnsi"/>
        </w:rPr>
        <w:t>)</w:t>
      </w:r>
      <w:r w:rsidR="00C268AF" w:rsidRPr="00387347">
        <w:rPr>
          <w:rFonts w:cstheme="minorHAnsi"/>
        </w:rPr>
        <w:t xml:space="preserve"> a úhradových podmínek </w:t>
      </w:r>
      <w:r w:rsidR="00E851A6" w:rsidRPr="00387347">
        <w:rPr>
          <w:rFonts w:cstheme="minorHAnsi"/>
        </w:rPr>
        <w:t>byl p</w:t>
      </w:r>
      <w:r w:rsidR="0081208E" w:rsidRPr="00387347">
        <w:rPr>
          <w:rFonts w:cstheme="minorHAnsi"/>
          <w:b/>
        </w:rPr>
        <w:t>ro 2.</w:t>
      </w:r>
      <w:r w:rsidR="00470FAC" w:rsidRPr="00387347">
        <w:rPr>
          <w:rFonts w:cstheme="minorHAnsi"/>
          <w:b/>
        </w:rPr>
        <w:t xml:space="preserve"> a vyšší</w:t>
      </w:r>
      <w:r w:rsidR="0081208E" w:rsidRPr="00387347">
        <w:rPr>
          <w:rFonts w:cstheme="minorHAnsi"/>
          <w:b/>
        </w:rPr>
        <w:t xml:space="preserve"> linii</w:t>
      </w:r>
      <w:r w:rsidR="0081208E" w:rsidRPr="00387347">
        <w:rPr>
          <w:rFonts w:cstheme="minorHAnsi"/>
        </w:rPr>
        <w:t xml:space="preserve"> (tj. po</w:t>
      </w:r>
      <w:r w:rsidR="00E851A6" w:rsidRPr="00387347">
        <w:rPr>
          <w:rFonts w:cstheme="minorHAnsi"/>
        </w:rPr>
        <w:t xml:space="preserve"> preferovaném 1. liniovém režimu</w:t>
      </w:r>
      <w:r w:rsidR="0081208E" w:rsidRPr="00387347">
        <w:rPr>
          <w:rFonts w:cstheme="minorHAnsi"/>
        </w:rPr>
        <w:t xml:space="preserve"> </w:t>
      </w:r>
      <w:proofErr w:type="spellStart"/>
      <w:r w:rsidR="00E851A6" w:rsidRPr="00387347">
        <w:rPr>
          <w:rFonts w:cstheme="minorHAnsi"/>
        </w:rPr>
        <w:t>pemetrexed</w:t>
      </w:r>
      <w:proofErr w:type="spellEnd"/>
      <w:r w:rsidR="0081208E" w:rsidRPr="00387347">
        <w:rPr>
          <w:rFonts w:cstheme="minorHAnsi"/>
        </w:rPr>
        <w:t xml:space="preserve"> s platinou +/- s </w:t>
      </w:r>
      <w:proofErr w:type="spellStart"/>
      <w:r w:rsidR="00E851A6" w:rsidRPr="00387347">
        <w:rPr>
          <w:rFonts w:cstheme="minorHAnsi"/>
        </w:rPr>
        <w:t>pembrolizumabem</w:t>
      </w:r>
      <w:proofErr w:type="spellEnd"/>
      <w:r w:rsidR="0081208E" w:rsidRPr="00387347">
        <w:rPr>
          <w:rFonts w:cstheme="minorHAnsi"/>
        </w:rPr>
        <w:t>)</w:t>
      </w:r>
      <w:r w:rsidR="0081208E" w:rsidRPr="00387347">
        <w:rPr>
          <w:rFonts w:cstheme="minorHAnsi"/>
          <w:b/>
        </w:rPr>
        <w:t xml:space="preserve"> </w:t>
      </w:r>
      <w:r w:rsidR="00E851A6" w:rsidRPr="00387347">
        <w:rPr>
          <w:rFonts w:cstheme="minorHAnsi"/>
        </w:rPr>
        <w:t>vybrán jako</w:t>
      </w:r>
      <w:r w:rsidR="0081208E" w:rsidRPr="00387347">
        <w:rPr>
          <w:rFonts w:cstheme="minorHAnsi"/>
        </w:rPr>
        <w:t xml:space="preserve"> </w:t>
      </w:r>
      <w:r w:rsidR="0081208E" w:rsidRPr="00387347">
        <w:rPr>
          <w:rFonts w:cstheme="minorHAnsi"/>
          <w:b/>
        </w:rPr>
        <w:t>komparátor</w:t>
      </w:r>
      <w:r w:rsidR="00E851A6" w:rsidRPr="00387347">
        <w:rPr>
          <w:rFonts w:cstheme="minorHAnsi"/>
          <w:b/>
        </w:rPr>
        <w:t xml:space="preserve"> </w:t>
      </w:r>
      <w:r w:rsidR="00223263" w:rsidRPr="00387347">
        <w:rPr>
          <w:rFonts w:cstheme="minorHAnsi"/>
        </w:rPr>
        <w:t>(</w:t>
      </w:r>
      <w:r w:rsidR="00470FAC" w:rsidRPr="00387347">
        <w:rPr>
          <w:rFonts w:cstheme="minorHAnsi"/>
        </w:rPr>
        <w:t xml:space="preserve">při nemožnosti použít </w:t>
      </w:r>
      <w:proofErr w:type="spellStart"/>
      <w:r w:rsidR="00470FAC" w:rsidRPr="00387347">
        <w:rPr>
          <w:rFonts w:cstheme="minorHAnsi"/>
        </w:rPr>
        <w:t>sotorasib</w:t>
      </w:r>
      <w:proofErr w:type="spellEnd"/>
      <w:r w:rsidR="00223263" w:rsidRPr="00387347">
        <w:rPr>
          <w:rFonts w:cstheme="minorHAnsi"/>
        </w:rPr>
        <w:t>)</w:t>
      </w:r>
      <w:r w:rsidR="00364500" w:rsidRPr="00387347">
        <w:rPr>
          <w:rFonts w:cstheme="minorHAnsi"/>
        </w:rPr>
        <w:t xml:space="preserve"> jen</w:t>
      </w:r>
      <w:r w:rsidR="00223263" w:rsidRPr="00387347">
        <w:rPr>
          <w:rFonts w:cstheme="minorHAnsi"/>
        </w:rPr>
        <w:t xml:space="preserve"> </w:t>
      </w:r>
      <w:proofErr w:type="spellStart"/>
      <w:r w:rsidR="00E851A6" w:rsidRPr="00387347">
        <w:rPr>
          <w:rFonts w:cstheme="minorHAnsi"/>
          <w:b/>
          <w:u w:val="single"/>
        </w:rPr>
        <w:t>docetaxel</w:t>
      </w:r>
      <w:proofErr w:type="spellEnd"/>
      <w:r w:rsidR="0081208E" w:rsidRPr="00387347">
        <w:rPr>
          <w:rFonts w:cstheme="minorHAnsi"/>
          <w:b/>
        </w:rPr>
        <w:t xml:space="preserve"> </w:t>
      </w:r>
      <w:r w:rsidR="00E45DAE" w:rsidRPr="00387347">
        <w:t>–</w:t>
      </w:r>
      <w:r w:rsidR="00223263" w:rsidRPr="00387347">
        <w:t xml:space="preserve"> d</w:t>
      </w:r>
      <w:r w:rsidR="00223263" w:rsidRPr="00387347">
        <w:rPr>
          <w:rFonts w:cstheme="minorHAnsi"/>
        </w:rPr>
        <w:t xml:space="preserve">le NCCN </w:t>
      </w:r>
      <w:proofErr w:type="spellStart"/>
      <w:r w:rsidR="00223263" w:rsidRPr="00387347">
        <w:rPr>
          <w:rFonts w:cstheme="minorHAnsi"/>
        </w:rPr>
        <w:t>guidelinu</w:t>
      </w:r>
      <w:proofErr w:type="spellEnd"/>
      <w:r w:rsidR="00223263" w:rsidRPr="00387347">
        <w:rPr>
          <w:rFonts w:cstheme="minorHAnsi"/>
        </w:rPr>
        <w:t xml:space="preserve"> 05.2022</w:t>
      </w:r>
      <w:r w:rsidR="00223263" w:rsidRPr="00387347">
        <w:rPr>
          <w:rFonts w:cstheme="minorHAnsi"/>
          <w:vertAlign w:val="superscript"/>
        </w:rPr>
        <w:t>5</w:t>
      </w:r>
      <w:r w:rsidR="00223263" w:rsidRPr="00387347">
        <w:rPr>
          <w:rFonts w:cstheme="minorHAnsi"/>
        </w:rPr>
        <w:t xml:space="preserve"> </w:t>
      </w:r>
      <w:r w:rsidR="00223263" w:rsidRPr="00387347">
        <w:t>má tak</w:t>
      </w:r>
      <w:r w:rsidR="000A2CF5">
        <w:t>é</w:t>
      </w:r>
      <w:r w:rsidR="00223263" w:rsidRPr="00387347">
        <w:t xml:space="preserve"> </w:t>
      </w:r>
      <w:r w:rsidR="00223263" w:rsidRPr="00387347">
        <w:rPr>
          <w:rFonts w:cstheme="minorHAnsi"/>
          <w:b/>
        </w:rPr>
        <w:t xml:space="preserve">jen doporučení síly 2A. </w:t>
      </w:r>
      <w:r w:rsidR="00E45DAE" w:rsidRPr="00387347">
        <w:t xml:space="preserve"> </w:t>
      </w:r>
      <w:r w:rsidR="00217944" w:rsidRPr="00387347">
        <w:t xml:space="preserve">Přímé porovnání účinnosti mezi </w:t>
      </w:r>
      <w:proofErr w:type="spellStart"/>
      <w:r w:rsidR="00217944" w:rsidRPr="00387347">
        <w:t>docatexelem</w:t>
      </w:r>
      <w:proofErr w:type="spellEnd"/>
      <w:r w:rsidR="00217944" w:rsidRPr="00387347">
        <w:t xml:space="preserve"> a </w:t>
      </w:r>
      <w:proofErr w:type="spellStart"/>
      <w:r w:rsidR="00217944" w:rsidRPr="00387347">
        <w:t>sot</w:t>
      </w:r>
      <w:r w:rsidR="00E97FBA" w:rsidRPr="00387347">
        <w:t>orasibem</w:t>
      </w:r>
      <w:proofErr w:type="spellEnd"/>
      <w:r w:rsidR="00E97FBA" w:rsidRPr="00387347">
        <w:t xml:space="preserve"> nebylo dosud provedeno – viz výše</w:t>
      </w:r>
      <w:r w:rsidR="000A2CF5">
        <w:t xml:space="preserve"> zmíněná</w:t>
      </w:r>
      <w:r w:rsidR="00E97FBA" w:rsidRPr="00387347">
        <w:t xml:space="preserve"> </w:t>
      </w:r>
      <w:r w:rsidR="00E97FBA" w:rsidRPr="00387347">
        <w:rPr>
          <w:rStyle w:val="q4iawc"/>
          <w:rFonts w:cstheme="minorHAnsi"/>
          <w:color w:val="000000"/>
          <w:shd w:val="clear" w:color="auto" w:fill="D2E3FC"/>
        </w:rPr>
        <w:t xml:space="preserve">studie fáze 3 CodeBreaK200, jejíž výsledky musí držitel rozhodnutí o registraci předložit EMA do </w:t>
      </w:r>
      <w:proofErr w:type="gramStart"/>
      <w:r w:rsidR="00E97FBA" w:rsidRPr="00387347">
        <w:rPr>
          <w:rStyle w:val="q4iawc"/>
          <w:rFonts w:cstheme="minorHAnsi"/>
          <w:color w:val="000000"/>
          <w:shd w:val="clear" w:color="auto" w:fill="D2E3FC"/>
        </w:rPr>
        <w:t>31.3.2023</w:t>
      </w:r>
      <w:proofErr w:type="gramEnd"/>
      <w:r w:rsidR="00E97FBA" w:rsidRPr="00387347">
        <w:rPr>
          <w:rStyle w:val="q4iawc"/>
          <w:rFonts w:cstheme="minorHAnsi"/>
          <w:color w:val="000000"/>
          <w:shd w:val="clear" w:color="auto" w:fill="D2E3FC"/>
        </w:rPr>
        <w:t xml:space="preserve">.  Držitel registrace přípravku LUMYKRAS </w:t>
      </w:r>
      <w:proofErr w:type="spellStart"/>
      <w:r w:rsidR="00E97FBA" w:rsidRPr="00387347">
        <w:rPr>
          <w:rStyle w:val="q4iawc"/>
          <w:rFonts w:cstheme="minorHAnsi"/>
          <w:color w:val="000000"/>
          <w:shd w:val="clear" w:color="auto" w:fill="D2E3FC"/>
        </w:rPr>
        <w:t>Amgen</w:t>
      </w:r>
      <w:proofErr w:type="spellEnd"/>
      <w:r w:rsidR="00E97FBA" w:rsidRPr="00387347">
        <w:rPr>
          <w:rStyle w:val="q4iawc"/>
          <w:rFonts w:cstheme="minorHAnsi"/>
          <w:color w:val="000000"/>
          <w:shd w:val="clear" w:color="auto" w:fill="D2E3FC"/>
        </w:rPr>
        <w:t>, v rámci Strukturovaného podání</w:t>
      </w:r>
      <w:r w:rsidR="00E97FBA" w:rsidRPr="00387347">
        <w:rPr>
          <w:rStyle w:val="q4iawc"/>
          <w:rFonts w:cstheme="minorHAnsi"/>
          <w:color w:val="000000"/>
          <w:shd w:val="clear" w:color="auto" w:fill="D2E3FC"/>
          <w:vertAlign w:val="superscript"/>
        </w:rPr>
        <w:t>4</w:t>
      </w:r>
      <w:r w:rsidR="00E97FBA" w:rsidRPr="00387347">
        <w:rPr>
          <w:rStyle w:val="q4iawc"/>
          <w:rFonts w:cstheme="minorHAnsi"/>
          <w:color w:val="000000"/>
          <w:shd w:val="clear" w:color="auto" w:fill="D2E3FC"/>
        </w:rPr>
        <w:t>, provedl</w:t>
      </w:r>
      <w:r w:rsidR="000A2CF5">
        <w:rPr>
          <w:rStyle w:val="q4iawc"/>
          <w:rFonts w:cstheme="minorHAnsi"/>
          <w:color w:val="000000"/>
          <w:shd w:val="clear" w:color="auto" w:fill="D2E3FC"/>
        </w:rPr>
        <w:t xml:space="preserve"> alespoň</w:t>
      </w:r>
      <w:r w:rsidR="00E97FBA" w:rsidRPr="00387347">
        <w:rPr>
          <w:rStyle w:val="q4iawc"/>
          <w:rFonts w:cstheme="minorHAnsi"/>
          <w:color w:val="000000"/>
          <w:shd w:val="clear" w:color="auto" w:fill="D2E3FC"/>
        </w:rPr>
        <w:t xml:space="preserve"> </w:t>
      </w:r>
      <w:r w:rsidR="00E97FBA" w:rsidRPr="00387347">
        <w:rPr>
          <w:rStyle w:val="q4iawc"/>
          <w:rFonts w:cstheme="minorHAnsi"/>
          <w:b/>
          <w:color w:val="000000"/>
          <w:u w:val="single"/>
          <w:shd w:val="clear" w:color="auto" w:fill="D2E3FC"/>
        </w:rPr>
        <w:t>nepřímé srovnání účinnosti</w:t>
      </w:r>
      <w:r w:rsidR="00E97FBA" w:rsidRPr="00387347">
        <w:rPr>
          <w:rStyle w:val="q4iawc"/>
          <w:rFonts w:cstheme="minorHAnsi"/>
          <w:color w:val="000000"/>
          <w:shd w:val="clear" w:color="auto" w:fill="D2E3FC"/>
        </w:rPr>
        <w:t xml:space="preserve"> (metodou MAIC)</w:t>
      </w:r>
      <w:r w:rsidR="00E917A6" w:rsidRPr="00387347">
        <w:rPr>
          <w:rStyle w:val="q4iawc"/>
          <w:rFonts w:cstheme="minorHAnsi"/>
          <w:color w:val="000000"/>
          <w:shd w:val="clear" w:color="auto" w:fill="D2E3FC"/>
        </w:rPr>
        <w:t>,</w:t>
      </w:r>
      <w:r w:rsidR="00627A4B" w:rsidRPr="00387347">
        <w:rPr>
          <w:rStyle w:val="q4iawc"/>
          <w:rFonts w:cstheme="minorHAnsi"/>
          <w:color w:val="000000"/>
          <w:shd w:val="clear" w:color="auto" w:fill="D2E3FC"/>
        </w:rPr>
        <w:t xml:space="preserve"> z něhož vyplývá </w:t>
      </w:r>
      <w:r w:rsidR="00627A4B" w:rsidRPr="00387347">
        <w:rPr>
          <w:rStyle w:val="q4iawc"/>
          <w:rFonts w:cstheme="minorHAnsi"/>
          <w:b/>
          <w:color w:val="000000"/>
          <w:u w:val="single"/>
          <w:shd w:val="clear" w:color="auto" w:fill="D2E3FC"/>
        </w:rPr>
        <w:t xml:space="preserve">účinnost </w:t>
      </w:r>
      <w:proofErr w:type="spellStart"/>
      <w:r w:rsidR="00627A4B" w:rsidRPr="00387347">
        <w:rPr>
          <w:rStyle w:val="q4iawc"/>
          <w:rFonts w:cstheme="minorHAnsi"/>
          <w:b/>
          <w:color w:val="000000"/>
          <w:u w:val="single"/>
          <w:shd w:val="clear" w:color="auto" w:fill="D2E3FC"/>
        </w:rPr>
        <w:t>sotorasibu</w:t>
      </w:r>
      <w:proofErr w:type="spellEnd"/>
      <w:r w:rsidR="00627A4B" w:rsidRPr="00387347">
        <w:rPr>
          <w:rStyle w:val="q4iawc"/>
          <w:rFonts w:cstheme="minorHAnsi"/>
          <w:b/>
          <w:color w:val="000000"/>
          <w:u w:val="single"/>
          <w:shd w:val="clear" w:color="auto" w:fill="D2E3FC"/>
        </w:rPr>
        <w:t xml:space="preserve"> cca 1,6x vyšší (dle adjustovaného HR OS) a 2,3x vyšší (dle adjustovaného HR PFS) </w:t>
      </w:r>
      <w:r w:rsidR="00E917A6" w:rsidRPr="00387347">
        <w:rPr>
          <w:b/>
          <w:u w:val="single"/>
        </w:rPr>
        <w:t xml:space="preserve">než u </w:t>
      </w:r>
      <w:proofErr w:type="spellStart"/>
      <w:r w:rsidR="00E917A6" w:rsidRPr="00387347">
        <w:rPr>
          <w:b/>
          <w:u w:val="single"/>
        </w:rPr>
        <w:t>docetaxelu</w:t>
      </w:r>
      <w:proofErr w:type="spellEnd"/>
      <w:r w:rsidR="00E917A6" w:rsidRPr="00387347">
        <w:t>.</w:t>
      </w:r>
      <w:r w:rsidR="00E97FBA" w:rsidRPr="00387347">
        <w:t xml:space="preserve">  </w:t>
      </w:r>
      <w:r w:rsidR="00E155B5" w:rsidRPr="00387347">
        <w:rPr>
          <w:b/>
          <w:u w:val="single"/>
        </w:rPr>
        <w:t>Dle modelace CUA</w:t>
      </w:r>
      <w:r w:rsidR="000761B2" w:rsidRPr="00387347">
        <w:t xml:space="preserve"> (v rámci celoživotního horizontu, při diskont</w:t>
      </w:r>
      <w:r w:rsidR="000A2CF5">
        <w:t>.</w:t>
      </w:r>
      <w:r w:rsidR="000761B2" w:rsidRPr="00387347">
        <w:t xml:space="preserve"> </w:t>
      </w:r>
      <w:proofErr w:type="gramStart"/>
      <w:r w:rsidR="000761B2" w:rsidRPr="00387347">
        <w:t>nákladech</w:t>
      </w:r>
      <w:proofErr w:type="gramEnd"/>
      <w:r w:rsidR="000761B2" w:rsidRPr="00387347">
        <w:t xml:space="preserve"> a přínos</w:t>
      </w:r>
      <w:r w:rsidR="000A2CF5">
        <w:t>ech</w:t>
      </w:r>
      <w:r w:rsidR="000761B2" w:rsidRPr="00387347">
        <w:t xml:space="preserve"> 3%/rok a včetně následných linií léčby)</w:t>
      </w:r>
      <w:r w:rsidR="00E155B5" w:rsidRPr="00387347">
        <w:t xml:space="preserve"> firmy </w:t>
      </w:r>
      <w:proofErr w:type="spellStart"/>
      <w:r w:rsidR="00E155B5" w:rsidRPr="00387347">
        <w:t>Amgen</w:t>
      </w:r>
      <w:proofErr w:type="spellEnd"/>
      <w:r w:rsidR="00E155B5" w:rsidRPr="00387347">
        <w:t xml:space="preserve"> </w:t>
      </w:r>
      <w:r w:rsidR="00E155B5" w:rsidRPr="00387347">
        <w:rPr>
          <w:rStyle w:val="q4iawc"/>
          <w:rFonts w:cstheme="minorHAnsi"/>
          <w:color w:val="000000"/>
          <w:shd w:val="clear" w:color="auto" w:fill="D2E3FC"/>
        </w:rPr>
        <w:t>v rámci Strukturovaného podání</w:t>
      </w:r>
      <w:r w:rsidR="00E155B5" w:rsidRPr="00387347">
        <w:rPr>
          <w:rStyle w:val="q4iawc"/>
          <w:rFonts w:cstheme="minorHAnsi"/>
          <w:color w:val="000000"/>
          <w:shd w:val="clear" w:color="auto" w:fill="D2E3FC"/>
          <w:vertAlign w:val="superscript"/>
        </w:rPr>
        <w:t>4</w:t>
      </w:r>
      <w:r w:rsidR="00E155B5" w:rsidRPr="00387347">
        <w:rPr>
          <w:rStyle w:val="q4iawc"/>
          <w:rFonts w:cstheme="minorHAnsi"/>
          <w:color w:val="000000"/>
          <w:shd w:val="clear" w:color="auto" w:fill="D2E3FC"/>
        </w:rPr>
        <w:t xml:space="preserve">, </w:t>
      </w:r>
      <w:r w:rsidR="000761B2" w:rsidRPr="00387347">
        <w:t xml:space="preserve">je </w:t>
      </w:r>
      <w:r w:rsidR="000761B2" w:rsidRPr="00387347">
        <w:rPr>
          <w:b/>
          <w:u w:val="single"/>
        </w:rPr>
        <w:t xml:space="preserve">přínos </w:t>
      </w:r>
      <w:proofErr w:type="spellStart"/>
      <w:r w:rsidR="000761B2" w:rsidRPr="00387347">
        <w:rPr>
          <w:b/>
          <w:u w:val="single"/>
        </w:rPr>
        <w:t>sotorasibu</w:t>
      </w:r>
      <w:proofErr w:type="spellEnd"/>
      <w:r w:rsidR="000761B2" w:rsidRPr="00387347">
        <w:rPr>
          <w:b/>
          <w:u w:val="single"/>
        </w:rPr>
        <w:t xml:space="preserve"> vůči </w:t>
      </w:r>
      <w:proofErr w:type="spellStart"/>
      <w:r w:rsidR="000761B2" w:rsidRPr="00387347">
        <w:rPr>
          <w:b/>
          <w:u w:val="single"/>
        </w:rPr>
        <w:t>docetaxelu</w:t>
      </w:r>
      <w:proofErr w:type="spellEnd"/>
      <w:r w:rsidR="000761B2" w:rsidRPr="00387347">
        <w:rPr>
          <w:b/>
          <w:u w:val="single"/>
        </w:rPr>
        <w:t xml:space="preserve"> </w:t>
      </w:r>
      <w:r w:rsidR="000761B2" w:rsidRPr="009C4CF0">
        <w:rPr>
          <w:b/>
          <w:highlight w:val="cyan"/>
          <w:u w:val="single"/>
        </w:rPr>
        <w:t>použit</w:t>
      </w:r>
      <w:r w:rsidR="000A2CF5">
        <w:rPr>
          <w:b/>
          <w:highlight w:val="cyan"/>
          <w:u w:val="single"/>
        </w:rPr>
        <w:t>ém</w:t>
      </w:r>
      <w:r w:rsidR="000761B2" w:rsidRPr="009C4CF0">
        <w:rPr>
          <w:b/>
          <w:highlight w:val="cyan"/>
          <w:u w:val="single"/>
        </w:rPr>
        <w:t xml:space="preserve"> ve 2. a vyšší linii cca 9 měsíců života navíc v průměrné kvalitě života 0,77</w:t>
      </w:r>
      <w:r w:rsidR="000761B2" w:rsidRPr="009C4CF0">
        <w:rPr>
          <w:highlight w:val="cyan"/>
        </w:rPr>
        <w:t xml:space="preserve"> </w:t>
      </w:r>
      <w:r w:rsidR="00D876E5" w:rsidRPr="009C4CF0">
        <w:rPr>
          <w:highlight w:val="cyan"/>
        </w:rPr>
        <w:t>–</w:t>
      </w:r>
      <w:r w:rsidR="000761B2" w:rsidRPr="009C4CF0">
        <w:rPr>
          <w:highlight w:val="cyan"/>
        </w:rPr>
        <w:t xml:space="preserve"> </w:t>
      </w:r>
      <w:r w:rsidR="00D876E5" w:rsidRPr="009C4CF0">
        <w:rPr>
          <w:highlight w:val="cyan"/>
        </w:rPr>
        <w:t xml:space="preserve">viz níže Příloha č. </w:t>
      </w:r>
      <w:r w:rsidR="00AB2218" w:rsidRPr="009C4CF0">
        <w:rPr>
          <w:highlight w:val="cyan"/>
        </w:rPr>
        <w:t>3</w:t>
      </w:r>
    </w:p>
    <w:p w:rsidR="00E97FBA" w:rsidRDefault="00E97FBA" w:rsidP="00E15C4D">
      <w:pPr>
        <w:spacing w:after="0"/>
        <w:jc w:val="both"/>
        <w:rPr>
          <w:rFonts w:cstheme="minorHAnsi"/>
        </w:rPr>
      </w:pPr>
    </w:p>
    <w:p w:rsidR="0038630C" w:rsidRPr="00BD2CFF" w:rsidRDefault="0038630C" w:rsidP="00E15C4D">
      <w:pPr>
        <w:spacing w:after="0"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</w:rPr>
        <w:t xml:space="preserve"> </w:t>
      </w:r>
      <w:r w:rsidRPr="00BD2CFF">
        <w:rPr>
          <w:rFonts w:cstheme="minorHAnsi"/>
          <w:sz w:val="20"/>
          <w:szCs w:val="20"/>
          <w:u w:val="single"/>
        </w:rPr>
        <w:t xml:space="preserve">Vzájemné srovnání LUMIKRAS </w:t>
      </w:r>
      <w:proofErr w:type="spellStart"/>
      <w:r w:rsidRPr="00BD2CFF">
        <w:rPr>
          <w:rFonts w:cstheme="minorHAnsi"/>
          <w:sz w:val="20"/>
          <w:szCs w:val="20"/>
          <w:u w:val="single"/>
        </w:rPr>
        <w:t>vs</w:t>
      </w:r>
      <w:proofErr w:type="spellEnd"/>
      <w:r w:rsidRPr="00BD2CFF">
        <w:rPr>
          <w:rFonts w:cstheme="minorHAnsi"/>
          <w:sz w:val="20"/>
          <w:szCs w:val="20"/>
          <w:u w:val="single"/>
        </w:rPr>
        <w:t xml:space="preserve"> DOCETAXEL KABI:</w:t>
      </w:r>
    </w:p>
    <w:p w:rsidR="0038630C" w:rsidRDefault="0038630C" w:rsidP="00E15C4D">
      <w:pPr>
        <w:spacing w:after="0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>
            <wp:extent cx="6826102" cy="295585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29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30C" w:rsidRDefault="0038630C" w:rsidP="00E15C4D">
      <w:pPr>
        <w:spacing w:after="0"/>
        <w:jc w:val="both"/>
        <w:rPr>
          <w:rFonts w:cstheme="minorHAnsi"/>
        </w:rPr>
      </w:pPr>
    </w:p>
    <w:p w:rsidR="00E97FBA" w:rsidRDefault="00E97FBA" w:rsidP="00E15C4D">
      <w:pPr>
        <w:spacing w:after="0"/>
        <w:jc w:val="both"/>
        <w:rPr>
          <w:rFonts w:cstheme="minorHAnsi"/>
        </w:rPr>
      </w:pPr>
    </w:p>
    <w:p w:rsidR="00B658A5" w:rsidRPr="008553A8" w:rsidRDefault="00B658A5" w:rsidP="00E15C4D">
      <w:pPr>
        <w:spacing w:after="0"/>
        <w:jc w:val="both"/>
        <w:rPr>
          <w:rFonts w:cstheme="minorHAnsi"/>
        </w:rPr>
      </w:pPr>
    </w:p>
    <w:p w:rsidR="00BA144D" w:rsidRPr="007718CF" w:rsidRDefault="00BA144D" w:rsidP="00061346">
      <w:pPr>
        <w:spacing w:after="0"/>
        <w:jc w:val="both"/>
        <w:rPr>
          <w:rFonts w:cstheme="minorHAnsi"/>
          <w:b/>
          <w:sz w:val="32"/>
          <w:szCs w:val="32"/>
          <w:u w:val="single"/>
        </w:rPr>
      </w:pPr>
      <w:r w:rsidRPr="007718CF">
        <w:rPr>
          <w:rFonts w:cstheme="minorHAnsi"/>
          <w:b/>
          <w:sz w:val="32"/>
          <w:szCs w:val="32"/>
          <w:u w:val="single"/>
        </w:rPr>
        <w:t>Výsledky</w:t>
      </w:r>
      <w:r w:rsidR="007718CF" w:rsidRPr="007718CF">
        <w:rPr>
          <w:rFonts w:cstheme="minorHAnsi"/>
          <w:b/>
          <w:sz w:val="32"/>
          <w:szCs w:val="32"/>
          <w:u w:val="single"/>
        </w:rPr>
        <w:t xml:space="preserve"> </w:t>
      </w:r>
      <w:r w:rsidR="007718CF" w:rsidRPr="007718CF">
        <w:rPr>
          <w:rFonts w:cstheme="minorHAnsi"/>
          <w:b/>
          <w:sz w:val="28"/>
          <w:szCs w:val="28"/>
          <w:u w:val="single"/>
        </w:rPr>
        <w:t>(dle aktuálních cen obou přípravků ve FNOL)</w:t>
      </w:r>
      <w:r w:rsidRPr="007718CF">
        <w:rPr>
          <w:rFonts w:cstheme="minorHAnsi"/>
          <w:b/>
          <w:sz w:val="32"/>
          <w:szCs w:val="32"/>
          <w:u w:val="single"/>
        </w:rPr>
        <w:t>:</w:t>
      </w:r>
      <w:r w:rsidR="00F16BAE" w:rsidRPr="007718CF">
        <w:rPr>
          <w:rFonts w:cstheme="minorHAnsi"/>
          <w:b/>
          <w:sz w:val="32"/>
          <w:szCs w:val="32"/>
          <w:u w:val="single"/>
        </w:rPr>
        <w:t xml:space="preserve"> </w:t>
      </w:r>
    </w:p>
    <w:p w:rsidR="00332119" w:rsidRPr="00BD1ED9" w:rsidRDefault="00332119" w:rsidP="00061346">
      <w:pPr>
        <w:spacing w:after="0"/>
        <w:jc w:val="both"/>
        <w:rPr>
          <w:rFonts w:cstheme="minorHAnsi"/>
          <w:sz w:val="10"/>
          <w:szCs w:val="10"/>
        </w:rPr>
      </w:pPr>
    </w:p>
    <w:p w:rsidR="00CE1F98" w:rsidRDefault="007718CF" w:rsidP="00F93615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drawing>
          <wp:inline distT="0" distB="0" distL="0" distR="0">
            <wp:extent cx="6832121" cy="3467819"/>
            <wp:effectExtent l="0" t="0" r="698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346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ADA" w:rsidRDefault="006F2ADA" w:rsidP="00F93615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2E18C6" w:rsidRDefault="002E18C6" w:rsidP="00F93615">
      <w:pPr>
        <w:spacing w:after="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7718CF" w:rsidRDefault="007718CF" w:rsidP="00F93615">
      <w:pPr>
        <w:spacing w:after="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7718CF" w:rsidRDefault="007718CF" w:rsidP="00F93615">
      <w:pPr>
        <w:spacing w:after="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7718CF" w:rsidRPr="00BD1ED9" w:rsidRDefault="007718CF" w:rsidP="00F93615">
      <w:pPr>
        <w:spacing w:after="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32772A" w:rsidRPr="00560697" w:rsidRDefault="0032772A" w:rsidP="00F9361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D1ED9" w:rsidRDefault="00B658A5" w:rsidP="00684A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B26BE" wp14:editId="3049FB40">
                <wp:simplePos x="0" y="0"/>
                <wp:positionH relativeFrom="margin">
                  <wp:posOffset>-36195</wp:posOffset>
                </wp:positionH>
                <wp:positionV relativeFrom="paragraph">
                  <wp:posOffset>111125</wp:posOffset>
                </wp:positionV>
                <wp:extent cx="6869430" cy="3086100"/>
                <wp:effectExtent l="19050" t="19050" r="2667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43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ED9" w:rsidRPr="000A2CF5" w:rsidRDefault="00BD1ED9" w:rsidP="00BF4D8A">
                            <w:pPr>
                              <w:spacing w:after="0"/>
                              <w:jc w:val="both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A2CF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Závěr:</w:t>
                            </w:r>
                          </w:p>
                          <w:p w:rsidR="008504BF" w:rsidRDefault="008504BF" w:rsidP="00D16D92">
                            <w:pPr>
                              <w:spacing w:after="12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Přípravek LUMYKRAS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tbl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má zatím jen podmíněnou registraci EMA (podkladová </w:t>
                            </w:r>
                            <w:r w:rsidRPr="00B658A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studie je jen</w:t>
                            </w:r>
                            <w:r w:rsidR="00F954B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totiž</w:t>
                            </w:r>
                            <w:r w:rsidRPr="00B658A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fáz</w:t>
                            </w:r>
                            <w:r w:rsidR="00F954B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í</w:t>
                            </w:r>
                            <w:r w:rsidRPr="00B658A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II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), k datu 30. 9. 22 </w:t>
                            </w:r>
                            <w:r w:rsidRPr="00B658A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nemá přípravek dosud stanovenou výši a podmínky úhrady v ČR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(správní řízení probíhá a přípravek je žádán jako VILP</w:t>
                            </w:r>
                            <w:r w:rsidRPr="00955597">
                              <w:rPr>
                                <w:b/>
                                <w:sz w:val="24"/>
                                <w:szCs w:val="24"/>
                              </w:rPr>
                              <w:t>). Dle podkladové studie CodeBreaK100</w:t>
                            </w:r>
                            <w:r w:rsidRPr="006C112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má přípravek </w:t>
                            </w:r>
                            <w:r w:rsidR="00342B1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víceméně </w:t>
                            </w:r>
                            <w:r w:rsidRPr="006C112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data jen pro pacienty s adenokarcinomem NSCLC</w:t>
                            </w:r>
                            <w:r w:rsidR="00342B1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6C112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 mutací KRAS G12C</w:t>
                            </w:r>
                            <w:r w:rsidR="00342B1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 </w:t>
                            </w:r>
                            <w:r w:rsidRPr="006C112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 ECOG 0-1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 Jako komparátor byl</w:t>
                            </w:r>
                            <w:r w:rsidR="006C11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vybrán přípravek DOCETAXEL KABI, </w:t>
                            </w:r>
                            <w:r w:rsidR="0035708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vůči němuž je LUMYKRAS pravděpodobně 1,6 – 2,3x účinnější (v parametru OS a PFS), ale je to jen výsledek nepřímého srovnání provedené žadatelem. </w:t>
                            </w:r>
                            <w:r w:rsidR="00357087" w:rsidRPr="00B658A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Pro</w:t>
                            </w:r>
                            <w:r w:rsidR="00342B1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důkaz</w:t>
                            </w:r>
                            <w:r w:rsidR="00357087" w:rsidRPr="00B658A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event. významného klinického přínosu se čeká na výsledky (jaro 2023) studie 3. fáze porovnávající přímo LUMYKRAS s </w:t>
                            </w:r>
                            <w:proofErr w:type="spellStart"/>
                            <w:r w:rsidR="00357087" w:rsidRPr="00B658A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docetaxelem</w:t>
                            </w:r>
                            <w:proofErr w:type="spellEnd"/>
                            <w:r w:rsidR="00357087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F57B9" w:rsidRPr="00BF4D8A" w:rsidRDefault="00BD1ED9" w:rsidP="00E828D3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16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Při </w:t>
                            </w:r>
                            <w:r w:rsidR="009B17B8" w:rsidRPr="00D16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léčení </w:t>
                            </w:r>
                            <w:r w:rsidRPr="00D16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 pacient</w:t>
                            </w:r>
                            <w:r w:rsidR="009B17B8" w:rsidRPr="00D16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Pr="00D16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F4D8A" w:rsidRPr="00D16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ve FNOL </w:t>
                            </w:r>
                            <w:r w:rsidRPr="00D16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v tomto roce </w:t>
                            </w:r>
                            <w:r w:rsidR="009B17B8" w:rsidRPr="00D16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přípravkem </w:t>
                            </w:r>
                            <w:r w:rsidR="00B658A5" w:rsidRPr="00D16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LUMYKRAS (oproti DOCETAXEL KABI) bude</w:t>
                            </w:r>
                            <w:r w:rsidRPr="00D16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dopad do rozpočtu</w:t>
                            </w:r>
                            <w:r w:rsidR="00CC158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 w:rsidR="00342B1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 při zahrnutí</w:t>
                            </w:r>
                            <w:r w:rsidR="00CC158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dalších </w:t>
                            </w:r>
                            <w:r w:rsidR="00342B1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medicínských </w:t>
                            </w:r>
                            <w:r w:rsidR="00CC158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nákladů</w:t>
                            </w:r>
                            <w:r w:rsidRPr="00D16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C158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vynaložených do progrese </w:t>
                            </w:r>
                            <w:r w:rsidR="00342B1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tohoto </w:t>
                            </w:r>
                            <w:r w:rsidR="00CC158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onemocnění) </w:t>
                            </w:r>
                            <w:r w:rsidR="009B17B8" w:rsidRPr="00D16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nejpravděpodobněji </w:t>
                            </w:r>
                            <w:r w:rsidRPr="00D16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mezi 1,2</w:t>
                            </w:r>
                            <w:r w:rsidR="00B658A5" w:rsidRPr="00D16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– 1,5</w:t>
                            </w:r>
                            <w:r w:rsidRPr="00D16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miliony </w:t>
                            </w:r>
                            <w:r w:rsidR="00B658A5" w:rsidRPr="00D16D9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Kč.</w:t>
                            </w:r>
                            <w:r w:rsidR="00B658A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04B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Za zmínku stojí</w:t>
                            </w:r>
                            <w:r w:rsidR="00670F9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skutečnost, že odpověď na léčbu přípravkem LUMYKRAS se numericky lišila (ovšem bez průkazu statistické významnosti na hladině 95%)</w:t>
                            </w:r>
                            <w:r w:rsidR="00D16D9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dle přítomnosti/nepřítomnosti dalších </w:t>
                            </w:r>
                            <w:proofErr w:type="spellStart"/>
                            <w:r w:rsidR="00D16D92">
                              <w:rPr>
                                <w:b/>
                                <w:sz w:val="24"/>
                                <w:szCs w:val="24"/>
                              </w:rPr>
                              <w:t>genomických</w:t>
                            </w:r>
                            <w:proofErr w:type="spellEnd"/>
                            <w:r w:rsidR="00D16D9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alterací v nádorových buňkách</w:t>
                            </w:r>
                            <w:r w:rsidR="00E57B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viz níže Příloha č. </w:t>
                            </w:r>
                            <w:r w:rsidR="006C112C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E57BF9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2.85pt;margin-top:8.75pt;width:540.9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" fillcolor="white [3201]" strokeweight="3pt">
                <v:textbox>
                  <w:txbxContent>
                    <w:p w:rsidR="00BD1ED9" w:rsidRPr="000A2CF5" w:rsidRDefault="00BD1ED9" w:rsidP="00BF4D8A">
                      <w:pPr>
                        <w:spacing w:after="0"/>
                        <w:jc w:val="both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A2CF5">
                        <w:rPr>
                          <w:b/>
                          <w:sz w:val="28"/>
                          <w:szCs w:val="28"/>
                          <w:u w:val="single"/>
                        </w:rPr>
                        <w:t>Závěr:</w:t>
                      </w:r>
                    </w:p>
                    <w:p w:rsidR="008504BF" w:rsidRDefault="008504BF" w:rsidP="00D16D92">
                      <w:pPr>
                        <w:spacing w:after="12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Přípravek LUMYKRAS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tbl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má zatím jen podmíněnou registraci EMA (podkladová </w:t>
                      </w:r>
                      <w:r w:rsidRPr="00B658A5">
                        <w:rPr>
                          <w:b/>
                          <w:sz w:val="24"/>
                          <w:szCs w:val="24"/>
                          <w:u w:val="single"/>
                        </w:rPr>
                        <w:t>studie je jen</w:t>
                      </w:r>
                      <w:r w:rsidR="00F954BD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totiž</w:t>
                      </w:r>
                      <w:r w:rsidRPr="00B658A5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fáz</w:t>
                      </w:r>
                      <w:r w:rsidR="00F954BD">
                        <w:rPr>
                          <w:b/>
                          <w:sz w:val="24"/>
                          <w:szCs w:val="24"/>
                          <w:u w:val="single"/>
                        </w:rPr>
                        <w:t>í</w:t>
                      </w:r>
                      <w:r w:rsidRPr="00B658A5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II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), k datu 30. 9. 22 </w:t>
                      </w:r>
                      <w:r w:rsidRPr="00B658A5">
                        <w:rPr>
                          <w:b/>
                          <w:sz w:val="24"/>
                          <w:szCs w:val="24"/>
                          <w:u w:val="single"/>
                        </w:rPr>
                        <w:t>nemá přípravek dosud stanovenou výši a podmínky úhrady v ČR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(správní řízení probíhá a přípravek je žádán jako VILP</w:t>
                      </w:r>
                      <w:r w:rsidRPr="00955597">
                        <w:rPr>
                          <w:b/>
                          <w:sz w:val="24"/>
                          <w:szCs w:val="24"/>
                        </w:rPr>
                        <w:t>). Dle podkladové studie CodeBreaK100</w:t>
                      </w:r>
                      <w:r w:rsidRPr="006C112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má přípravek </w:t>
                      </w:r>
                      <w:r w:rsidR="00342B1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víceméně </w:t>
                      </w:r>
                      <w:r w:rsidRPr="006C112C">
                        <w:rPr>
                          <w:b/>
                          <w:sz w:val="24"/>
                          <w:szCs w:val="24"/>
                          <w:u w:val="single"/>
                        </w:rPr>
                        <w:t>data jen pro pacienty s adenokarcinomem NSCLC</w:t>
                      </w:r>
                      <w:r w:rsidR="00342B1C">
                        <w:rPr>
                          <w:b/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6C112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s mutací KRAS G12C</w:t>
                      </w:r>
                      <w:r w:rsidR="00342B1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a </w:t>
                      </w:r>
                      <w:r w:rsidRPr="006C112C">
                        <w:rPr>
                          <w:b/>
                          <w:sz w:val="24"/>
                          <w:szCs w:val="24"/>
                          <w:u w:val="single"/>
                        </w:rPr>
                        <w:t>s ECOG 0-1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 Jako komparátor byl</w:t>
                      </w:r>
                      <w:r w:rsidR="006C112C">
                        <w:rPr>
                          <w:b/>
                          <w:sz w:val="24"/>
                          <w:szCs w:val="24"/>
                        </w:rPr>
                        <w:t xml:space="preserve"> vybrán přípravek DOCETAXEL KABI, </w:t>
                      </w:r>
                      <w:r w:rsidR="00357087">
                        <w:rPr>
                          <w:b/>
                          <w:sz w:val="24"/>
                          <w:szCs w:val="24"/>
                        </w:rPr>
                        <w:t xml:space="preserve">vůči němuž je LUMYKRAS pravděpodobně 1,6 – 2,3x účinnější (v parametru OS a PFS), ale je to jen výsledek nepřímého srovnání provedené žadatelem. </w:t>
                      </w:r>
                      <w:r w:rsidR="00357087" w:rsidRPr="00B658A5">
                        <w:rPr>
                          <w:b/>
                          <w:sz w:val="24"/>
                          <w:szCs w:val="24"/>
                          <w:u w:val="single"/>
                        </w:rPr>
                        <w:t>Pro</w:t>
                      </w:r>
                      <w:r w:rsidR="00342B1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důkaz</w:t>
                      </w:r>
                      <w:r w:rsidR="00357087" w:rsidRPr="00B658A5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event. významného klinického přínosu se čeká na výsledky (jaro 2023) studie 3. fáze porovnávající přímo LUMYKRAS s </w:t>
                      </w:r>
                      <w:proofErr w:type="spellStart"/>
                      <w:r w:rsidR="00357087" w:rsidRPr="00B658A5">
                        <w:rPr>
                          <w:b/>
                          <w:sz w:val="24"/>
                          <w:szCs w:val="24"/>
                          <w:u w:val="single"/>
                        </w:rPr>
                        <w:t>docetaxelem</w:t>
                      </w:r>
                      <w:proofErr w:type="spellEnd"/>
                      <w:r w:rsidR="00357087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EF57B9" w:rsidRPr="00BF4D8A" w:rsidRDefault="00BD1ED9" w:rsidP="00E828D3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D16D9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Při </w:t>
                      </w:r>
                      <w:r w:rsidR="009B17B8" w:rsidRPr="00D16D9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léčení </w:t>
                      </w:r>
                      <w:r w:rsidRPr="00D16D92">
                        <w:rPr>
                          <w:b/>
                          <w:sz w:val="24"/>
                          <w:szCs w:val="24"/>
                          <w:u w:val="single"/>
                        </w:rPr>
                        <w:t>1 pacient</w:t>
                      </w:r>
                      <w:r w:rsidR="009B17B8" w:rsidRPr="00D16D92">
                        <w:rPr>
                          <w:b/>
                          <w:sz w:val="24"/>
                          <w:szCs w:val="24"/>
                          <w:u w:val="single"/>
                        </w:rPr>
                        <w:t>a</w:t>
                      </w:r>
                      <w:r w:rsidRPr="00D16D9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F4D8A" w:rsidRPr="00D16D9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ve FNOL </w:t>
                      </w:r>
                      <w:r w:rsidRPr="00D16D9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v tomto roce </w:t>
                      </w:r>
                      <w:r w:rsidR="009B17B8" w:rsidRPr="00D16D9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přípravkem </w:t>
                      </w:r>
                      <w:r w:rsidR="00B658A5" w:rsidRPr="00D16D92">
                        <w:rPr>
                          <w:b/>
                          <w:sz w:val="24"/>
                          <w:szCs w:val="24"/>
                          <w:u w:val="single"/>
                        </w:rPr>
                        <w:t>LUMYKRAS (oproti DOCETAXEL KABI) bude</w:t>
                      </w:r>
                      <w:r w:rsidRPr="00D16D9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dopad do rozpočtu</w:t>
                      </w:r>
                      <w:r w:rsidR="00CC158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(</w:t>
                      </w:r>
                      <w:r w:rsidR="00342B1C">
                        <w:rPr>
                          <w:b/>
                          <w:sz w:val="24"/>
                          <w:szCs w:val="24"/>
                          <w:u w:val="single"/>
                        </w:rPr>
                        <w:t>i při zahrnutí</w:t>
                      </w:r>
                      <w:r w:rsidR="00CC158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dalších </w:t>
                      </w:r>
                      <w:r w:rsidR="00342B1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medicínských </w:t>
                      </w:r>
                      <w:r w:rsidR="00CC158F">
                        <w:rPr>
                          <w:b/>
                          <w:sz w:val="24"/>
                          <w:szCs w:val="24"/>
                          <w:u w:val="single"/>
                        </w:rPr>
                        <w:t>nákladů</w:t>
                      </w:r>
                      <w:r w:rsidRPr="00D16D9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CC158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vynaložených do progrese </w:t>
                      </w:r>
                      <w:r w:rsidR="00342B1C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tohoto </w:t>
                      </w:r>
                      <w:r w:rsidR="00CC158F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onemocnění) </w:t>
                      </w:r>
                      <w:r w:rsidR="009B17B8" w:rsidRPr="00D16D9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nejpravděpodobněji </w:t>
                      </w:r>
                      <w:r w:rsidRPr="00D16D92">
                        <w:rPr>
                          <w:b/>
                          <w:sz w:val="24"/>
                          <w:szCs w:val="24"/>
                          <w:u w:val="single"/>
                        </w:rPr>
                        <w:t>mezi 1,2</w:t>
                      </w:r>
                      <w:r w:rsidR="00B658A5" w:rsidRPr="00D16D9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– 1,5</w:t>
                      </w:r>
                      <w:r w:rsidRPr="00D16D9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miliony </w:t>
                      </w:r>
                      <w:r w:rsidR="00B658A5" w:rsidRPr="00D16D92">
                        <w:rPr>
                          <w:b/>
                          <w:sz w:val="24"/>
                          <w:szCs w:val="24"/>
                          <w:u w:val="single"/>
                        </w:rPr>
                        <w:t>Kč.</w:t>
                      </w:r>
                      <w:r w:rsidR="00B658A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504B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Za zmínku stojí</w:t>
                      </w:r>
                      <w:r w:rsidR="00670F9F">
                        <w:rPr>
                          <w:b/>
                          <w:sz w:val="24"/>
                          <w:szCs w:val="24"/>
                        </w:rPr>
                        <w:t xml:space="preserve"> skutečnost, že odpověď na léčbu přípravkem LUMYKRAS se numericky lišila (ovšem bez průkazu statistické významnosti na hladině 95%)</w:t>
                      </w:r>
                      <w:r w:rsidR="00D16D92">
                        <w:rPr>
                          <w:b/>
                          <w:sz w:val="24"/>
                          <w:szCs w:val="24"/>
                        </w:rPr>
                        <w:t xml:space="preserve"> dle přítomnosti/nepřítomnosti dalších </w:t>
                      </w:r>
                      <w:proofErr w:type="spellStart"/>
                      <w:r w:rsidR="00D16D92">
                        <w:rPr>
                          <w:b/>
                          <w:sz w:val="24"/>
                          <w:szCs w:val="24"/>
                        </w:rPr>
                        <w:t>genomických</w:t>
                      </w:r>
                      <w:proofErr w:type="spellEnd"/>
                      <w:r w:rsidR="00D16D92">
                        <w:rPr>
                          <w:b/>
                          <w:sz w:val="24"/>
                          <w:szCs w:val="24"/>
                        </w:rPr>
                        <w:t xml:space="preserve"> alterací v nádorových buňkách</w:t>
                      </w:r>
                      <w:r w:rsidR="00E57BF9">
                        <w:rPr>
                          <w:b/>
                          <w:sz w:val="24"/>
                          <w:szCs w:val="24"/>
                        </w:rPr>
                        <w:t xml:space="preserve"> – viz níže Příloha č. </w:t>
                      </w:r>
                      <w:r w:rsidR="006C112C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="00E57BF9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78C" w:rsidRPr="00EE07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BD1ED9" w:rsidRDefault="00BD1ED9" w:rsidP="00684A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ED9" w:rsidRDefault="00BD1ED9" w:rsidP="00684A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ED9" w:rsidRDefault="00EE078C" w:rsidP="00684A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968" w:rsidRDefault="00EE078C" w:rsidP="00684A18">
      <w:pPr>
        <w:spacing w:after="0"/>
        <w:jc w:val="both"/>
        <w:rPr>
          <w:rFonts w:cstheme="minorHAnsi"/>
        </w:rPr>
      </w:pPr>
      <w:r w:rsidRPr="00EE078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3A6968" w:rsidRPr="003A6968" w:rsidRDefault="003A6968" w:rsidP="003A6968">
      <w:pPr>
        <w:spacing w:after="0"/>
        <w:rPr>
          <w:rFonts w:cstheme="minorHAnsi"/>
        </w:rPr>
      </w:pPr>
    </w:p>
    <w:p w:rsidR="00EF57B9" w:rsidRDefault="00EF57B9" w:rsidP="005776B1">
      <w:pPr>
        <w:spacing w:after="0"/>
        <w:rPr>
          <w:rFonts w:cstheme="minorHAnsi"/>
        </w:rPr>
      </w:pPr>
    </w:p>
    <w:p w:rsidR="00EF57B9" w:rsidRDefault="00EF57B9" w:rsidP="005776B1">
      <w:pPr>
        <w:spacing w:after="0"/>
        <w:rPr>
          <w:rFonts w:cstheme="minorHAnsi"/>
        </w:rPr>
      </w:pPr>
    </w:p>
    <w:p w:rsidR="006B524B" w:rsidRDefault="006B524B" w:rsidP="005776B1">
      <w:pPr>
        <w:spacing w:after="0"/>
        <w:rPr>
          <w:rFonts w:cstheme="minorHAnsi"/>
        </w:rPr>
      </w:pPr>
    </w:p>
    <w:p w:rsidR="006B524B" w:rsidRDefault="006B524B" w:rsidP="005776B1">
      <w:pPr>
        <w:spacing w:after="0"/>
        <w:rPr>
          <w:rFonts w:cstheme="minorHAnsi"/>
        </w:rPr>
      </w:pPr>
    </w:p>
    <w:p w:rsidR="007718CF" w:rsidRDefault="007718CF" w:rsidP="005776B1">
      <w:pPr>
        <w:spacing w:after="0"/>
        <w:rPr>
          <w:rFonts w:cstheme="minorHAnsi"/>
        </w:rPr>
      </w:pPr>
    </w:p>
    <w:p w:rsidR="007718CF" w:rsidRDefault="007718CF" w:rsidP="005776B1">
      <w:pPr>
        <w:spacing w:after="0"/>
        <w:rPr>
          <w:rFonts w:cstheme="minorHAnsi"/>
        </w:rPr>
      </w:pPr>
    </w:p>
    <w:p w:rsidR="007718CF" w:rsidRDefault="007718CF" w:rsidP="005776B1">
      <w:pPr>
        <w:spacing w:after="0"/>
        <w:rPr>
          <w:rFonts w:cstheme="minorHAnsi"/>
        </w:rPr>
      </w:pPr>
    </w:p>
    <w:p w:rsidR="007718CF" w:rsidRDefault="007718CF" w:rsidP="005776B1">
      <w:pPr>
        <w:spacing w:after="0"/>
        <w:rPr>
          <w:rFonts w:cstheme="minorHAnsi"/>
        </w:rPr>
      </w:pPr>
    </w:p>
    <w:p w:rsidR="007718CF" w:rsidRDefault="007718CF" w:rsidP="005776B1">
      <w:pPr>
        <w:spacing w:after="0"/>
        <w:rPr>
          <w:rFonts w:cstheme="minorHAnsi"/>
        </w:rPr>
      </w:pPr>
    </w:p>
    <w:p w:rsidR="007718CF" w:rsidRDefault="007718CF" w:rsidP="005776B1">
      <w:pPr>
        <w:spacing w:after="0"/>
        <w:rPr>
          <w:rFonts w:cstheme="minorHAnsi"/>
        </w:rPr>
      </w:pPr>
    </w:p>
    <w:p w:rsidR="007718CF" w:rsidRDefault="007718CF" w:rsidP="005776B1">
      <w:pPr>
        <w:spacing w:after="0"/>
        <w:rPr>
          <w:rFonts w:cstheme="minorHAnsi"/>
        </w:rPr>
      </w:pPr>
    </w:p>
    <w:p w:rsidR="005D569A" w:rsidRDefault="005D569A" w:rsidP="00E828D3">
      <w:pPr>
        <w:spacing w:before="240" w:after="0"/>
        <w:rPr>
          <w:rFonts w:cstheme="minorHAnsi"/>
        </w:rPr>
      </w:pPr>
    </w:p>
    <w:p w:rsidR="00E42CAD" w:rsidRDefault="00886014" w:rsidP="00E828D3">
      <w:pPr>
        <w:spacing w:before="240" w:after="0"/>
        <w:rPr>
          <w:rFonts w:cstheme="minorHAnsi"/>
        </w:rPr>
      </w:pPr>
      <w:r>
        <w:rPr>
          <w:rFonts w:cstheme="minorHAnsi"/>
        </w:rPr>
        <w:t>Zpracoval: Mgr. Jaroslav Duda</w:t>
      </w:r>
      <w:r w:rsidR="0098743A">
        <w:rPr>
          <w:rFonts w:cstheme="minorHAnsi"/>
        </w:rPr>
        <w:t xml:space="preserve">                                                    </w:t>
      </w:r>
      <w:proofErr w:type="gramStart"/>
      <w:r w:rsidR="00C1205D">
        <w:rPr>
          <w:rFonts w:cstheme="minorHAnsi"/>
        </w:rPr>
        <w:t>30</w:t>
      </w:r>
      <w:r w:rsidR="00517375">
        <w:rPr>
          <w:rFonts w:cstheme="minorHAnsi"/>
        </w:rPr>
        <w:t>.9</w:t>
      </w:r>
      <w:r w:rsidR="0098743A">
        <w:rPr>
          <w:rFonts w:cstheme="minorHAnsi"/>
        </w:rPr>
        <w:t>.2022</w:t>
      </w:r>
      <w:proofErr w:type="gramEnd"/>
    </w:p>
    <w:p w:rsidR="000355D8" w:rsidRDefault="000355D8" w:rsidP="005776B1">
      <w:pPr>
        <w:spacing w:after="0"/>
        <w:rPr>
          <w:rFonts w:cstheme="minorHAnsi"/>
        </w:rPr>
      </w:pPr>
    </w:p>
    <w:p w:rsidR="005D569A" w:rsidRDefault="005D569A" w:rsidP="005776B1">
      <w:pPr>
        <w:spacing w:after="0"/>
        <w:rPr>
          <w:rFonts w:cstheme="minorHAnsi"/>
          <w:u w:val="single"/>
        </w:rPr>
      </w:pPr>
    </w:p>
    <w:p w:rsidR="005D569A" w:rsidRDefault="005D569A" w:rsidP="005776B1">
      <w:pPr>
        <w:spacing w:after="0"/>
        <w:rPr>
          <w:rFonts w:cstheme="minorHAnsi"/>
          <w:u w:val="single"/>
        </w:rPr>
      </w:pPr>
    </w:p>
    <w:p w:rsidR="005D569A" w:rsidRDefault="005D569A" w:rsidP="005776B1">
      <w:pPr>
        <w:spacing w:after="0"/>
        <w:rPr>
          <w:rFonts w:cstheme="minorHAnsi"/>
          <w:u w:val="single"/>
        </w:rPr>
      </w:pPr>
    </w:p>
    <w:p w:rsidR="005D569A" w:rsidRDefault="005D569A" w:rsidP="005776B1">
      <w:pPr>
        <w:spacing w:after="0"/>
        <w:rPr>
          <w:rFonts w:cstheme="minorHAnsi"/>
          <w:u w:val="single"/>
        </w:rPr>
      </w:pPr>
    </w:p>
    <w:p w:rsidR="00E42CAD" w:rsidRDefault="00E42CAD" w:rsidP="005776B1">
      <w:pPr>
        <w:spacing w:after="0"/>
        <w:rPr>
          <w:rFonts w:cstheme="minorHAnsi"/>
          <w:u w:val="single"/>
        </w:rPr>
      </w:pPr>
      <w:r w:rsidRPr="00E42CAD">
        <w:rPr>
          <w:rFonts w:cstheme="minorHAnsi"/>
          <w:u w:val="single"/>
        </w:rPr>
        <w:t>Poznámky a literatura:</w:t>
      </w:r>
    </w:p>
    <w:p w:rsidR="00E37918" w:rsidRPr="005D569A" w:rsidRDefault="00E37918" w:rsidP="005776B1">
      <w:pPr>
        <w:spacing w:after="0"/>
        <w:rPr>
          <w:rFonts w:cstheme="minorHAnsi"/>
          <w:sz w:val="10"/>
          <w:szCs w:val="10"/>
          <w:u w:val="single"/>
        </w:rPr>
      </w:pPr>
    </w:p>
    <w:p w:rsidR="00F561E0" w:rsidRPr="00357970" w:rsidRDefault="003F3419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357970">
        <w:rPr>
          <w:rFonts w:cstheme="minorHAnsi"/>
          <w:sz w:val="20"/>
          <w:szCs w:val="20"/>
        </w:rPr>
        <w:t>European</w:t>
      </w:r>
      <w:proofErr w:type="spellEnd"/>
      <w:r w:rsidRPr="00357970">
        <w:rPr>
          <w:rFonts w:cstheme="minorHAnsi"/>
          <w:sz w:val="20"/>
          <w:szCs w:val="20"/>
        </w:rPr>
        <w:t xml:space="preserve"> </w:t>
      </w:r>
      <w:proofErr w:type="spellStart"/>
      <w:r w:rsidRPr="00357970">
        <w:rPr>
          <w:rFonts w:cstheme="minorHAnsi"/>
          <w:sz w:val="20"/>
          <w:szCs w:val="20"/>
        </w:rPr>
        <w:t>Medicines</w:t>
      </w:r>
      <w:proofErr w:type="spellEnd"/>
      <w:r w:rsidRPr="00357970">
        <w:rPr>
          <w:rFonts w:cstheme="minorHAnsi"/>
          <w:sz w:val="20"/>
          <w:szCs w:val="20"/>
        </w:rPr>
        <w:t xml:space="preserve"> </w:t>
      </w:r>
      <w:proofErr w:type="spellStart"/>
      <w:r w:rsidRPr="00357970">
        <w:rPr>
          <w:rFonts w:cstheme="minorHAnsi"/>
          <w:sz w:val="20"/>
          <w:szCs w:val="20"/>
        </w:rPr>
        <w:t>Agency</w:t>
      </w:r>
      <w:proofErr w:type="spellEnd"/>
      <w:r w:rsidRPr="00357970">
        <w:rPr>
          <w:rFonts w:cstheme="minorHAnsi"/>
          <w:sz w:val="20"/>
          <w:szCs w:val="20"/>
        </w:rPr>
        <w:t xml:space="preserve">. </w:t>
      </w:r>
      <w:proofErr w:type="spellStart"/>
      <w:r w:rsidR="00E34505">
        <w:rPr>
          <w:rFonts w:cstheme="minorHAnsi"/>
          <w:sz w:val="20"/>
          <w:szCs w:val="20"/>
        </w:rPr>
        <w:t>Lumykras</w:t>
      </w:r>
      <w:proofErr w:type="spellEnd"/>
      <w:r w:rsidRPr="00357970">
        <w:rPr>
          <w:rFonts w:cstheme="minorHAnsi"/>
          <w:sz w:val="20"/>
          <w:szCs w:val="20"/>
        </w:rPr>
        <w:t xml:space="preserve">. </w:t>
      </w:r>
      <w:proofErr w:type="spellStart"/>
      <w:r w:rsidRPr="00357970">
        <w:rPr>
          <w:rFonts w:cstheme="minorHAnsi"/>
          <w:sz w:val="20"/>
          <w:szCs w:val="20"/>
        </w:rPr>
        <w:t>Assessment</w:t>
      </w:r>
      <w:proofErr w:type="spellEnd"/>
      <w:r w:rsidRPr="00357970">
        <w:rPr>
          <w:rFonts w:cstheme="minorHAnsi"/>
          <w:sz w:val="20"/>
          <w:szCs w:val="20"/>
        </w:rPr>
        <w:t xml:space="preserve"> report (</w:t>
      </w:r>
      <w:proofErr w:type="spellStart"/>
      <w:r w:rsidRPr="00357970">
        <w:rPr>
          <w:rFonts w:cstheme="minorHAnsi"/>
          <w:sz w:val="20"/>
          <w:szCs w:val="20"/>
        </w:rPr>
        <w:t>procedure</w:t>
      </w:r>
      <w:proofErr w:type="spellEnd"/>
      <w:r w:rsidRPr="00357970">
        <w:rPr>
          <w:rFonts w:cstheme="minorHAnsi"/>
          <w:sz w:val="20"/>
          <w:szCs w:val="20"/>
        </w:rPr>
        <w:t xml:space="preserve"> No. EMEA/H/C/00</w:t>
      </w:r>
      <w:r w:rsidR="00C8045D" w:rsidRPr="00357970">
        <w:rPr>
          <w:rFonts w:cstheme="minorHAnsi"/>
          <w:sz w:val="20"/>
          <w:szCs w:val="20"/>
        </w:rPr>
        <w:t>5</w:t>
      </w:r>
      <w:r w:rsidR="00E34505">
        <w:rPr>
          <w:rFonts w:cstheme="minorHAnsi"/>
          <w:sz w:val="20"/>
          <w:szCs w:val="20"/>
        </w:rPr>
        <w:t>522</w:t>
      </w:r>
      <w:r w:rsidRPr="00357970">
        <w:rPr>
          <w:rFonts w:cstheme="minorHAnsi"/>
          <w:sz w:val="20"/>
          <w:szCs w:val="20"/>
        </w:rPr>
        <w:t xml:space="preserve">/0000). </w:t>
      </w:r>
      <w:r w:rsidR="00421600">
        <w:rPr>
          <w:rFonts w:cstheme="minorHAnsi"/>
          <w:sz w:val="20"/>
          <w:szCs w:val="20"/>
        </w:rPr>
        <w:t>1</w:t>
      </w:r>
      <w:r w:rsidR="00E34505">
        <w:rPr>
          <w:rFonts w:cstheme="minorHAnsi"/>
          <w:sz w:val="20"/>
          <w:szCs w:val="20"/>
        </w:rPr>
        <w:t xml:space="preserve">1 </w:t>
      </w:r>
      <w:proofErr w:type="spellStart"/>
      <w:r w:rsidR="00E34505">
        <w:rPr>
          <w:rFonts w:cstheme="minorHAnsi"/>
          <w:sz w:val="20"/>
          <w:szCs w:val="20"/>
        </w:rPr>
        <w:t>November</w:t>
      </w:r>
      <w:proofErr w:type="spellEnd"/>
      <w:r w:rsidRPr="00357970">
        <w:rPr>
          <w:rFonts w:cstheme="minorHAnsi"/>
          <w:sz w:val="20"/>
          <w:szCs w:val="20"/>
        </w:rPr>
        <w:t xml:space="preserve"> 202</w:t>
      </w:r>
      <w:r w:rsidR="00421600">
        <w:rPr>
          <w:rFonts w:cstheme="minorHAnsi"/>
          <w:sz w:val="20"/>
          <w:szCs w:val="20"/>
        </w:rPr>
        <w:t>1</w:t>
      </w:r>
      <w:r w:rsidR="00C62028" w:rsidRPr="00357970">
        <w:rPr>
          <w:sz w:val="20"/>
          <w:szCs w:val="20"/>
        </w:rPr>
        <w:t xml:space="preserve"> </w:t>
      </w:r>
    </w:p>
    <w:p w:rsidR="00F561E0" w:rsidRPr="00357970" w:rsidRDefault="00112756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357970">
        <w:rPr>
          <w:rFonts w:cstheme="minorHAnsi"/>
          <w:sz w:val="20"/>
          <w:szCs w:val="20"/>
        </w:rPr>
        <w:t>AISLP – 2022.</w:t>
      </w:r>
      <w:r w:rsidR="007168F1">
        <w:rPr>
          <w:rFonts w:cstheme="minorHAnsi"/>
          <w:sz w:val="20"/>
          <w:szCs w:val="20"/>
        </w:rPr>
        <w:t>3</w:t>
      </w:r>
      <w:r w:rsidRPr="00357970">
        <w:rPr>
          <w:rFonts w:cstheme="minorHAnsi"/>
          <w:sz w:val="20"/>
          <w:szCs w:val="20"/>
        </w:rPr>
        <w:t>k, stav k 1.</w:t>
      </w:r>
      <w:r w:rsidR="007168F1">
        <w:rPr>
          <w:rFonts w:cstheme="minorHAnsi"/>
          <w:sz w:val="20"/>
          <w:szCs w:val="20"/>
        </w:rPr>
        <w:t>8</w:t>
      </w:r>
      <w:r w:rsidRPr="00357970">
        <w:rPr>
          <w:rFonts w:cstheme="minorHAnsi"/>
          <w:sz w:val="20"/>
          <w:szCs w:val="20"/>
        </w:rPr>
        <w:t>.2022</w:t>
      </w:r>
    </w:p>
    <w:p w:rsidR="002A7B5D" w:rsidRPr="00357970" w:rsidRDefault="002A7B5D" w:rsidP="00DE5C1E">
      <w:pPr>
        <w:pStyle w:val="Odstavecseseznamem"/>
        <w:numPr>
          <w:ilvl w:val="0"/>
          <w:numId w:val="1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 w:rsidRPr="00357970">
        <w:rPr>
          <w:rFonts w:cstheme="minorHAnsi"/>
          <w:sz w:val="20"/>
          <w:szCs w:val="20"/>
        </w:rPr>
        <w:t xml:space="preserve">Vyhledávání správních řízení na </w:t>
      </w:r>
      <w:hyperlink r:id="rId10" w:history="1">
        <w:r w:rsidR="007830F2" w:rsidRPr="00357970">
          <w:rPr>
            <w:rStyle w:val="Hypertextovodkaz"/>
            <w:rFonts w:cstheme="minorHAnsi"/>
            <w:sz w:val="20"/>
            <w:szCs w:val="20"/>
          </w:rPr>
          <w:t>www.sukl.cz</w:t>
        </w:r>
      </w:hyperlink>
    </w:p>
    <w:p w:rsidR="007D49BB" w:rsidRPr="00C2647C" w:rsidRDefault="007D49BB" w:rsidP="007D49BB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Strukturované podání k přípravku </w:t>
      </w:r>
      <w:proofErr w:type="spellStart"/>
      <w:r w:rsidR="00855E90">
        <w:rPr>
          <w:rFonts w:cstheme="minorHAnsi"/>
          <w:sz w:val="20"/>
          <w:szCs w:val="20"/>
        </w:rPr>
        <w:t>Lumykras</w:t>
      </w:r>
      <w:proofErr w:type="spellEnd"/>
      <w:r>
        <w:rPr>
          <w:rFonts w:cstheme="minorHAnsi"/>
          <w:sz w:val="20"/>
          <w:szCs w:val="20"/>
        </w:rPr>
        <w:t xml:space="preserve"> žadatelem </w:t>
      </w:r>
      <w:proofErr w:type="spellStart"/>
      <w:r w:rsidR="00855E90">
        <w:rPr>
          <w:rFonts w:cstheme="minorHAnsi"/>
          <w:sz w:val="20"/>
          <w:szCs w:val="20"/>
        </w:rPr>
        <w:t>Amgen</w:t>
      </w:r>
      <w:proofErr w:type="spellEnd"/>
      <w:r w:rsidR="00855E90">
        <w:rPr>
          <w:rFonts w:cstheme="minorHAnsi"/>
          <w:sz w:val="20"/>
          <w:szCs w:val="20"/>
        </w:rPr>
        <w:t xml:space="preserve"> s.r.o.</w:t>
      </w:r>
      <w:r>
        <w:rPr>
          <w:rFonts w:cstheme="minorHAnsi"/>
          <w:sz w:val="20"/>
          <w:szCs w:val="20"/>
        </w:rPr>
        <w:t xml:space="preserve"> ze dne </w:t>
      </w:r>
      <w:r w:rsidR="00855E90">
        <w:rPr>
          <w:rFonts w:cstheme="minorHAnsi"/>
          <w:sz w:val="20"/>
          <w:szCs w:val="20"/>
        </w:rPr>
        <w:t>27.5</w:t>
      </w:r>
      <w:r>
        <w:rPr>
          <w:rFonts w:cstheme="minorHAnsi"/>
          <w:sz w:val="20"/>
          <w:szCs w:val="20"/>
        </w:rPr>
        <w:t>.2022 V</w:t>
      </w:r>
      <w:r w:rsidR="00855E90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.0 - p</w:t>
      </w:r>
      <w:r w:rsidRPr="006906F9">
        <w:rPr>
          <w:sz w:val="20"/>
          <w:szCs w:val="20"/>
        </w:rPr>
        <w:t>říloha k žádosti o výši a podmínkách úhrady léčivého přípravku nebo potraviny pro zvláštní lékařské účely předkládané Státnímu ústavu pro kontrolu léčiv</w:t>
      </w:r>
      <w:r>
        <w:rPr>
          <w:sz w:val="20"/>
          <w:szCs w:val="20"/>
        </w:rPr>
        <w:t>. Staženo na internet. stránkách uvedených pod pozn. 3.</w:t>
      </w:r>
    </w:p>
    <w:p w:rsidR="002F47CE" w:rsidRDefault="00116FDA" w:rsidP="00DE5C1E">
      <w:pPr>
        <w:pStyle w:val="Odstavecseseznamem"/>
        <w:numPr>
          <w:ilvl w:val="0"/>
          <w:numId w:val="1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>Non-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Small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Cell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Lung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Cancer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. NCCN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Clinical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Practice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Guidelines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in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Oncology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.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Version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r w:rsidR="008B7243">
        <w:rPr>
          <w:rStyle w:val="Hypertextovodkaz"/>
          <w:rFonts w:cstheme="minorHAnsi"/>
          <w:color w:val="auto"/>
          <w:sz w:val="20"/>
          <w:szCs w:val="20"/>
          <w:u w:val="none"/>
        </w:rPr>
        <w:t>5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.2022 –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September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2</w:t>
      </w:r>
      <w:r w:rsidR="008B7243">
        <w:rPr>
          <w:rStyle w:val="Hypertextovodkaz"/>
          <w:rFonts w:cstheme="minorHAnsi"/>
          <w:color w:val="auto"/>
          <w:sz w:val="20"/>
          <w:szCs w:val="20"/>
          <w:u w:val="none"/>
        </w:rPr>
        <w:t>6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>, 2022</w:t>
      </w:r>
    </w:p>
    <w:p w:rsidR="00116FDA" w:rsidRPr="00E440A4" w:rsidRDefault="00F40E90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hyperlink r:id="rId11" w:history="1">
        <w:r w:rsidR="00E31C42" w:rsidRPr="00E440A4">
          <w:rPr>
            <w:rStyle w:val="Hypertextovodkaz"/>
            <w:sz w:val="20"/>
            <w:szCs w:val="20"/>
          </w:rPr>
          <w:t>https://www.esmo.org/guidelines/esmo-mcbs/esmo-mcbs-scorecards</w:t>
        </w:r>
      </w:hyperlink>
    </w:p>
    <w:p w:rsidR="00E31C42" w:rsidRDefault="00933499" w:rsidP="00DE5C1E">
      <w:pPr>
        <w:pStyle w:val="Odstavecseseznamem"/>
        <w:numPr>
          <w:ilvl w:val="0"/>
          <w:numId w:val="1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Modrá kniha České onkologické společnosti. 28. aktualizace. MOU, Brno. 2022. Kapitola 8. zhoubný novotvar bronchu, plíce, pleury a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thymu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(C34, C33, C37)</w:t>
      </w:r>
    </w:p>
    <w:p w:rsidR="007D49BB" w:rsidRDefault="007D49BB" w:rsidP="007D49BB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ED5512">
        <w:rPr>
          <w:rFonts w:cstheme="minorHAnsi"/>
          <w:sz w:val="20"/>
          <w:szCs w:val="20"/>
        </w:rPr>
        <w:t>https://www.ema.europa.eu/en/about-us/what-we-do/authorisation-medicines/how-ema-evaluates-medicines</w:t>
      </w:r>
      <w:r>
        <w:rPr>
          <w:rFonts w:cstheme="minorHAnsi"/>
          <w:sz w:val="20"/>
          <w:szCs w:val="20"/>
        </w:rPr>
        <w:t xml:space="preserve"> (staženo 6.8.2022)</w:t>
      </w:r>
    </w:p>
    <w:p w:rsidR="007D49BB" w:rsidRPr="00830D49" w:rsidRDefault="00DA3617" w:rsidP="009B209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830D49">
        <w:rPr>
          <w:rFonts w:cstheme="minorHAnsi"/>
          <w:sz w:val="20"/>
          <w:szCs w:val="20"/>
        </w:rPr>
        <w:t>G</w:t>
      </w:r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>anguly</w:t>
      </w:r>
      <w:proofErr w:type="spellEnd"/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A, </w:t>
      </w:r>
      <w:proofErr w:type="spellStart"/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>Yoo</w:t>
      </w:r>
      <w:proofErr w:type="spellEnd"/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E. </w:t>
      </w:r>
      <w:proofErr w:type="spellStart"/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>Sotorasib</w:t>
      </w:r>
      <w:proofErr w:type="spellEnd"/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>: a KRAS</w:t>
      </w:r>
      <w:r w:rsidRPr="00830D49">
        <w:rPr>
          <w:rStyle w:val="Hypertextovodkaz"/>
          <w:rFonts w:cstheme="minorHAnsi"/>
          <w:color w:val="auto"/>
          <w:sz w:val="20"/>
          <w:szCs w:val="20"/>
          <w:u w:val="none"/>
          <w:vertAlign w:val="superscript"/>
        </w:rPr>
        <w:t>G12C</w:t>
      </w:r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inhibitor </w:t>
      </w:r>
      <w:proofErr w:type="spellStart"/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>for</w:t>
      </w:r>
      <w:proofErr w:type="spellEnd"/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non-</w:t>
      </w:r>
      <w:proofErr w:type="spellStart"/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>small</w:t>
      </w:r>
      <w:proofErr w:type="spellEnd"/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cell </w:t>
      </w:r>
      <w:proofErr w:type="spellStart"/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>lung</w:t>
      </w:r>
      <w:proofErr w:type="spellEnd"/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>cancer</w:t>
      </w:r>
      <w:proofErr w:type="spellEnd"/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>.</w:t>
      </w:r>
      <w:r w:rsidR="00830D49"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 w:rsidR="00830D49" w:rsidRPr="00830D49">
        <w:rPr>
          <w:i/>
          <w:sz w:val="20"/>
          <w:szCs w:val="20"/>
        </w:rPr>
        <w:t>Trends</w:t>
      </w:r>
      <w:proofErr w:type="spellEnd"/>
      <w:r w:rsidR="00830D49" w:rsidRPr="00830D49">
        <w:rPr>
          <w:i/>
          <w:sz w:val="20"/>
          <w:szCs w:val="20"/>
        </w:rPr>
        <w:t xml:space="preserve"> in </w:t>
      </w:r>
      <w:proofErr w:type="spellStart"/>
      <w:r w:rsidR="00830D49" w:rsidRPr="00830D49">
        <w:rPr>
          <w:i/>
          <w:sz w:val="20"/>
          <w:szCs w:val="20"/>
        </w:rPr>
        <w:t>Pharmacological</w:t>
      </w:r>
      <w:proofErr w:type="spellEnd"/>
      <w:r w:rsidR="00830D49" w:rsidRPr="00830D49">
        <w:rPr>
          <w:i/>
          <w:sz w:val="20"/>
          <w:szCs w:val="20"/>
        </w:rPr>
        <w:t xml:space="preserve"> </w:t>
      </w:r>
      <w:proofErr w:type="spellStart"/>
      <w:r w:rsidR="00830D49" w:rsidRPr="00830D49">
        <w:rPr>
          <w:i/>
          <w:sz w:val="20"/>
          <w:szCs w:val="20"/>
        </w:rPr>
        <w:t>Sciences</w:t>
      </w:r>
      <w:proofErr w:type="spellEnd"/>
      <w:r w:rsidR="00830D49" w:rsidRPr="00830D49">
        <w:rPr>
          <w:sz w:val="20"/>
          <w:szCs w:val="20"/>
        </w:rPr>
        <w:t>, June 2022 (43), 6: 536-537</w:t>
      </w:r>
    </w:p>
    <w:p w:rsidR="00830D49" w:rsidRPr="00830D49" w:rsidRDefault="00830D49" w:rsidP="009B209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>Cekani</w:t>
      </w:r>
      <w:proofErr w:type="spellEnd"/>
      <w:r w:rsidRPr="00830D49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E, et al. </w:t>
      </w:r>
      <w:proofErr w:type="spellStart"/>
      <w:r w:rsidRPr="00830D49">
        <w:rPr>
          <w:sz w:val="20"/>
          <w:szCs w:val="20"/>
        </w:rPr>
        <w:t>Molecular</w:t>
      </w:r>
      <w:proofErr w:type="spellEnd"/>
      <w:r w:rsidRPr="00830D49">
        <w:rPr>
          <w:sz w:val="20"/>
          <w:szCs w:val="20"/>
        </w:rPr>
        <w:t xml:space="preserve"> Biology and </w:t>
      </w:r>
      <w:proofErr w:type="spellStart"/>
      <w:r w:rsidRPr="00830D49">
        <w:rPr>
          <w:sz w:val="20"/>
          <w:szCs w:val="20"/>
        </w:rPr>
        <w:t>Therapeutic</w:t>
      </w:r>
      <w:proofErr w:type="spellEnd"/>
      <w:r w:rsidRPr="00830D49">
        <w:rPr>
          <w:sz w:val="20"/>
          <w:szCs w:val="20"/>
        </w:rPr>
        <w:t xml:space="preserve"> </w:t>
      </w:r>
      <w:proofErr w:type="spellStart"/>
      <w:r w:rsidRPr="00830D49">
        <w:rPr>
          <w:sz w:val="20"/>
          <w:szCs w:val="20"/>
        </w:rPr>
        <w:t>Perspectives</w:t>
      </w:r>
      <w:proofErr w:type="spellEnd"/>
      <w:r w:rsidRPr="00830D49">
        <w:rPr>
          <w:sz w:val="20"/>
          <w:szCs w:val="20"/>
        </w:rPr>
        <w:t xml:space="preserve"> </w:t>
      </w:r>
      <w:proofErr w:type="spellStart"/>
      <w:r w:rsidRPr="00830D49">
        <w:rPr>
          <w:sz w:val="20"/>
          <w:szCs w:val="20"/>
        </w:rPr>
        <w:t>for</w:t>
      </w:r>
      <w:proofErr w:type="spellEnd"/>
      <w:r w:rsidRPr="00830D49">
        <w:rPr>
          <w:sz w:val="20"/>
          <w:szCs w:val="20"/>
        </w:rPr>
        <w:t xml:space="preserve"> K-Ras Mutant Non-</w:t>
      </w:r>
      <w:proofErr w:type="spellStart"/>
      <w:r w:rsidRPr="00830D49">
        <w:rPr>
          <w:sz w:val="20"/>
          <w:szCs w:val="20"/>
        </w:rPr>
        <w:t>Small</w:t>
      </w:r>
      <w:proofErr w:type="spellEnd"/>
      <w:r w:rsidRPr="00830D49">
        <w:rPr>
          <w:sz w:val="20"/>
          <w:szCs w:val="20"/>
        </w:rPr>
        <w:t xml:space="preserve"> Cell </w:t>
      </w:r>
      <w:proofErr w:type="spellStart"/>
      <w:r w:rsidRPr="00830D49">
        <w:rPr>
          <w:sz w:val="20"/>
          <w:szCs w:val="20"/>
        </w:rPr>
        <w:t>Lung</w:t>
      </w:r>
      <w:proofErr w:type="spellEnd"/>
      <w:r w:rsidRPr="00830D49">
        <w:rPr>
          <w:sz w:val="20"/>
          <w:szCs w:val="20"/>
        </w:rPr>
        <w:t xml:space="preserve"> </w:t>
      </w:r>
      <w:proofErr w:type="spellStart"/>
      <w:r w:rsidRPr="00830D49">
        <w:rPr>
          <w:sz w:val="20"/>
          <w:szCs w:val="20"/>
        </w:rPr>
        <w:t>Cancers</w:t>
      </w:r>
      <w:proofErr w:type="spellEnd"/>
      <w:r w:rsidRPr="00830D49">
        <w:rPr>
          <w:i/>
          <w:sz w:val="20"/>
          <w:szCs w:val="20"/>
        </w:rPr>
        <w:t xml:space="preserve">. </w:t>
      </w:r>
      <w:proofErr w:type="spellStart"/>
      <w:r w:rsidRPr="00830D49">
        <w:rPr>
          <w:i/>
          <w:sz w:val="20"/>
          <w:szCs w:val="20"/>
        </w:rPr>
        <w:t>Cancers</w:t>
      </w:r>
      <w:proofErr w:type="spellEnd"/>
      <w:r w:rsidRPr="00830D49">
        <w:rPr>
          <w:sz w:val="20"/>
          <w:szCs w:val="20"/>
        </w:rPr>
        <w:t xml:space="preserve"> 2022, 14, 4103: 1-32</w:t>
      </w:r>
    </w:p>
    <w:p w:rsidR="00C75BAD" w:rsidRPr="00357970" w:rsidRDefault="00C75BAD" w:rsidP="00C75BAD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357970">
        <w:rPr>
          <w:rFonts w:cstheme="minorHAnsi"/>
          <w:sz w:val="20"/>
          <w:szCs w:val="20"/>
        </w:rPr>
        <w:t>European</w:t>
      </w:r>
      <w:proofErr w:type="spellEnd"/>
      <w:r w:rsidRPr="00357970">
        <w:rPr>
          <w:rFonts w:cstheme="minorHAnsi"/>
          <w:sz w:val="20"/>
          <w:szCs w:val="20"/>
        </w:rPr>
        <w:t xml:space="preserve"> </w:t>
      </w:r>
      <w:proofErr w:type="spellStart"/>
      <w:r w:rsidRPr="00357970">
        <w:rPr>
          <w:rFonts w:cstheme="minorHAnsi"/>
          <w:sz w:val="20"/>
          <w:szCs w:val="20"/>
        </w:rPr>
        <w:t>Medicines</w:t>
      </w:r>
      <w:proofErr w:type="spellEnd"/>
      <w:r w:rsidRPr="00357970">
        <w:rPr>
          <w:rFonts w:cstheme="minorHAnsi"/>
          <w:sz w:val="20"/>
          <w:szCs w:val="20"/>
        </w:rPr>
        <w:t xml:space="preserve"> </w:t>
      </w:r>
      <w:proofErr w:type="spellStart"/>
      <w:r w:rsidRPr="00357970">
        <w:rPr>
          <w:rFonts w:cstheme="minorHAnsi"/>
          <w:sz w:val="20"/>
          <w:szCs w:val="20"/>
        </w:rPr>
        <w:t>Agency</w:t>
      </w:r>
      <w:proofErr w:type="spellEnd"/>
      <w:r w:rsidRPr="00357970">
        <w:rPr>
          <w:rFonts w:cstheme="minorHAnsi"/>
          <w:sz w:val="20"/>
          <w:szCs w:val="20"/>
        </w:rPr>
        <w:t xml:space="preserve">. </w:t>
      </w:r>
      <w:proofErr w:type="spellStart"/>
      <w:r>
        <w:rPr>
          <w:rFonts w:cstheme="minorHAnsi"/>
          <w:sz w:val="20"/>
          <w:szCs w:val="20"/>
        </w:rPr>
        <w:t>Gavreto</w:t>
      </w:r>
      <w:proofErr w:type="spellEnd"/>
      <w:r w:rsidRPr="00357970">
        <w:rPr>
          <w:rFonts w:cstheme="minorHAnsi"/>
          <w:sz w:val="20"/>
          <w:szCs w:val="20"/>
        </w:rPr>
        <w:t xml:space="preserve">. </w:t>
      </w:r>
      <w:proofErr w:type="spellStart"/>
      <w:r w:rsidRPr="00357970">
        <w:rPr>
          <w:rFonts w:cstheme="minorHAnsi"/>
          <w:sz w:val="20"/>
          <w:szCs w:val="20"/>
        </w:rPr>
        <w:t>Assessment</w:t>
      </w:r>
      <w:proofErr w:type="spellEnd"/>
      <w:r w:rsidRPr="00357970">
        <w:rPr>
          <w:rFonts w:cstheme="minorHAnsi"/>
          <w:sz w:val="20"/>
          <w:szCs w:val="20"/>
        </w:rPr>
        <w:t xml:space="preserve"> report (</w:t>
      </w:r>
      <w:proofErr w:type="spellStart"/>
      <w:r w:rsidRPr="00357970">
        <w:rPr>
          <w:rFonts w:cstheme="minorHAnsi"/>
          <w:sz w:val="20"/>
          <w:szCs w:val="20"/>
        </w:rPr>
        <w:t>procedure</w:t>
      </w:r>
      <w:proofErr w:type="spellEnd"/>
      <w:r w:rsidRPr="00357970">
        <w:rPr>
          <w:rFonts w:cstheme="minorHAnsi"/>
          <w:sz w:val="20"/>
          <w:szCs w:val="20"/>
        </w:rPr>
        <w:t xml:space="preserve"> No. EMEA/H/C/005</w:t>
      </w:r>
      <w:r>
        <w:rPr>
          <w:rFonts w:cstheme="minorHAnsi"/>
          <w:sz w:val="20"/>
          <w:szCs w:val="20"/>
        </w:rPr>
        <w:t>413</w:t>
      </w:r>
      <w:r w:rsidRPr="00357970">
        <w:rPr>
          <w:rFonts w:cstheme="minorHAnsi"/>
          <w:sz w:val="20"/>
          <w:szCs w:val="20"/>
        </w:rPr>
        <w:t xml:space="preserve">/0000). </w:t>
      </w:r>
      <w:r>
        <w:rPr>
          <w:rFonts w:cstheme="minorHAnsi"/>
          <w:sz w:val="20"/>
          <w:szCs w:val="20"/>
        </w:rPr>
        <w:t xml:space="preserve">16 </w:t>
      </w:r>
      <w:proofErr w:type="spellStart"/>
      <w:r>
        <w:rPr>
          <w:rFonts w:cstheme="minorHAnsi"/>
          <w:sz w:val="20"/>
          <w:szCs w:val="20"/>
        </w:rPr>
        <w:t>September</w:t>
      </w:r>
      <w:proofErr w:type="spellEnd"/>
      <w:r w:rsidRPr="00357970">
        <w:rPr>
          <w:rFonts w:cstheme="minorHAnsi"/>
          <w:sz w:val="20"/>
          <w:szCs w:val="20"/>
        </w:rPr>
        <w:t xml:space="preserve"> 202</w:t>
      </w:r>
      <w:r>
        <w:rPr>
          <w:rFonts w:cstheme="minorHAnsi"/>
          <w:sz w:val="20"/>
          <w:szCs w:val="20"/>
        </w:rPr>
        <w:t>1</w:t>
      </w:r>
      <w:r w:rsidRPr="00357970">
        <w:rPr>
          <w:sz w:val="20"/>
          <w:szCs w:val="20"/>
        </w:rPr>
        <w:t xml:space="preserve"> </w:t>
      </w:r>
    </w:p>
    <w:p w:rsidR="00830D49" w:rsidRPr="00CA3F84" w:rsidRDefault="00CA3F84" w:rsidP="009B209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Odborné stanovisko ČOS ze dne 8.7.2022 v souvislosti se správním řízení k přípravku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Lumykras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proofErr w:type="gram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sp.zn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>.</w:t>
      </w:r>
      <w:proofErr w:type="gram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SUKLS112768/2022 - </w:t>
      </w:r>
      <w:r>
        <w:rPr>
          <w:sz w:val="20"/>
          <w:szCs w:val="20"/>
        </w:rPr>
        <w:t>. staženo na internet. stránkách uvedených pod pozn. 3.</w:t>
      </w:r>
    </w:p>
    <w:p w:rsidR="008923D2" w:rsidRDefault="008923D2" w:rsidP="008923D2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UpToDate</w:t>
      </w:r>
      <w:proofErr w:type="spellEnd"/>
      <w:r>
        <w:rPr>
          <w:rFonts w:cstheme="minorHAnsi"/>
          <w:sz w:val="20"/>
          <w:szCs w:val="20"/>
        </w:rPr>
        <w:t xml:space="preserve">. Lékové informace pro jednotlivé léky k datu </w:t>
      </w:r>
      <w:r w:rsidR="00666127">
        <w:rPr>
          <w:rFonts w:cstheme="minorHAnsi"/>
          <w:sz w:val="20"/>
          <w:szCs w:val="20"/>
        </w:rPr>
        <w:t>30</w:t>
      </w:r>
      <w:r>
        <w:rPr>
          <w:rFonts w:cstheme="minorHAnsi"/>
          <w:sz w:val="20"/>
          <w:szCs w:val="20"/>
        </w:rPr>
        <w:t>.9.2022</w:t>
      </w:r>
    </w:p>
    <w:p w:rsidR="00CA3F84" w:rsidRPr="00BD1EAF" w:rsidRDefault="00BD1EAF" w:rsidP="009B209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BD1EAF">
        <w:rPr>
          <w:rStyle w:val="Hypertextovodkaz"/>
          <w:rFonts w:cstheme="minorHAnsi"/>
          <w:color w:val="auto"/>
          <w:sz w:val="20"/>
          <w:szCs w:val="20"/>
          <w:u w:val="none"/>
        </w:rPr>
        <w:t>Skoulidis</w:t>
      </w:r>
      <w:proofErr w:type="spellEnd"/>
      <w:r w:rsidRPr="00BD1EAF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F, et al. </w:t>
      </w:r>
      <w:proofErr w:type="spellStart"/>
      <w:r w:rsidRPr="00BD1EAF">
        <w:rPr>
          <w:sz w:val="20"/>
          <w:szCs w:val="20"/>
        </w:rPr>
        <w:t>Sotorasib</w:t>
      </w:r>
      <w:proofErr w:type="spellEnd"/>
      <w:r w:rsidRPr="00BD1EAF">
        <w:rPr>
          <w:sz w:val="20"/>
          <w:szCs w:val="20"/>
        </w:rPr>
        <w:t xml:space="preserve"> </w:t>
      </w:r>
      <w:proofErr w:type="spellStart"/>
      <w:r w:rsidRPr="00BD1EAF">
        <w:rPr>
          <w:sz w:val="20"/>
          <w:szCs w:val="20"/>
        </w:rPr>
        <w:t>for</w:t>
      </w:r>
      <w:proofErr w:type="spellEnd"/>
      <w:r w:rsidRPr="00BD1EAF">
        <w:rPr>
          <w:sz w:val="20"/>
          <w:szCs w:val="20"/>
        </w:rPr>
        <w:t xml:space="preserve"> </w:t>
      </w:r>
      <w:proofErr w:type="spellStart"/>
      <w:r w:rsidRPr="00BD1EAF">
        <w:rPr>
          <w:sz w:val="20"/>
          <w:szCs w:val="20"/>
        </w:rPr>
        <w:t>Lung</w:t>
      </w:r>
      <w:proofErr w:type="spellEnd"/>
      <w:r w:rsidRPr="00BD1EAF">
        <w:rPr>
          <w:sz w:val="20"/>
          <w:szCs w:val="20"/>
        </w:rPr>
        <w:t xml:space="preserve"> </w:t>
      </w:r>
      <w:proofErr w:type="spellStart"/>
      <w:r w:rsidRPr="00BD1EAF">
        <w:rPr>
          <w:sz w:val="20"/>
          <w:szCs w:val="20"/>
        </w:rPr>
        <w:t>Cancers</w:t>
      </w:r>
      <w:proofErr w:type="spellEnd"/>
      <w:r w:rsidRPr="00BD1EAF">
        <w:rPr>
          <w:sz w:val="20"/>
          <w:szCs w:val="20"/>
        </w:rPr>
        <w:t xml:space="preserve"> </w:t>
      </w:r>
      <w:proofErr w:type="spellStart"/>
      <w:r w:rsidRPr="00BD1EAF">
        <w:rPr>
          <w:sz w:val="20"/>
          <w:szCs w:val="20"/>
        </w:rPr>
        <w:t>with</w:t>
      </w:r>
      <w:proofErr w:type="spellEnd"/>
      <w:r w:rsidRPr="00BD1EAF">
        <w:rPr>
          <w:sz w:val="20"/>
          <w:szCs w:val="20"/>
        </w:rPr>
        <w:t xml:space="preserve"> KRAS p.G12C </w:t>
      </w:r>
      <w:proofErr w:type="spellStart"/>
      <w:r w:rsidRPr="00BD1EAF">
        <w:rPr>
          <w:sz w:val="20"/>
          <w:szCs w:val="20"/>
        </w:rPr>
        <w:t>Mutation</w:t>
      </w:r>
      <w:proofErr w:type="spellEnd"/>
      <w:r w:rsidRPr="00BD1EAF">
        <w:rPr>
          <w:i/>
          <w:sz w:val="20"/>
          <w:szCs w:val="20"/>
        </w:rPr>
        <w:t xml:space="preserve">. N </w:t>
      </w:r>
      <w:proofErr w:type="spellStart"/>
      <w:r w:rsidRPr="00BD1EAF">
        <w:rPr>
          <w:i/>
          <w:sz w:val="20"/>
          <w:szCs w:val="20"/>
        </w:rPr>
        <w:t>Engl</w:t>
      </w:r>
      <w:proofErr w:type="spellEnd"/>
      <w:r w:rsidRPr="00BD1EAF">
        <w:rPr>
          <w:i/>
          <w:sz w:val="20"/>
          <w:szCs w:val="20"/>
        </w:rPr>
        <w:t xml:space="preserve"> J Med</w:t>
      </w:r>
      <w:r w:rsidRPr="00BD1EAF">
        <w:rPr>
          <w:sz w:val="20"/>
          <w:szCs w:val="20"/>
        </w:rPr>
        <w:t xml:space="preserve"> 2021;384:</w:t>
      </w:r>
      <w:r>
        <w:rPr>
          <w:sz w:val="20"/>
          <w:szCs w:val="20"/>
        </w:rPr>
        <w:t xml:space="preserve"> </w:t>
      </w:r>
      <w:r w:rsidRPr="00BD1EAF">
        <w:rPr>
          <w:sz w:val="20"/>
          <w:szCs w:val="20"/>
        </w:rPr>
        <w:t>2371-</w:t>
      </w:r>
      <w:r>
        <w:rPr>
          <w:sz w:val="20"/>
          <w:szCs w:val="20"/>
        </w:rPr>
        <w:t>23</w:t>
      </w:r>
      <w:r w:rsidRPr="00BD1EAF">
        <w:rPr>
          <w:sz w:val="20"/>
          <w:szCs w:val="20"/>
        </w:rPr>
        <w:t>81</w:t>
      </w:r>
    </w:p>
    <w:p w:rsidR="00BD1EAF" w:rsidRPr="00E94999" w:rsidRDefault="00852392" w:rsidP="009B2093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356C2A">
        <w:rPr>
          <w:rStyle w:val="Hypertextovodkaz"/>
          <w:rFonts w:cstheme="minorHAnsi"/>
          <w:color w:val="auto"/>
          <w:sz w:val="20"/>
          <w:szCs w:val="20"/>
          <w:u w:val="none"/>
        </w:rPr>
        <w:t>Janne</w:t>
      </w:r>
      <w:proofErr w:type="spellEnd"/>
      <w:r w:rsidRPr="00356C2A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PA, et al. </w:t>
      </w:r>
      <w:proofErr w:type="spellStart"/>
      <w:r w:rsidR="00356C2A" w:rsidRPr="00356C2A">
        <w:rPr>
          <w:sz w:val="20"/>
          <w:szCs w:val="20"/>
        </w:rPr>
        <w:t>Selumetinib</w:t>
      </w:r>
      <w:proofErr w:type="spellEnd"/>
      <w:r w:rsidR="00356C2A" w:rsidRPr="00356C2A">
        <w:rPr>
          <w:sz w:val="20"/>
          <w:szCs w:val="20"/>
        </w:rPr>
        <w:t xml:space="preserve"> Plus </w:t>
      </w:r>
      <w:proofErr w:type="spellStart"/>
      <w:r w:rsidR="00356C2A" w:rsidRPr="00356C2A">
        <w:rPr>
          <w:sz w:val="20"/>
          <w:szCs w:val="20"/>
        </w:rPr>
        <w:t>Docetaxel</w:t>
      </w:r>
      <w:proofErr w:type="spellEnd"/>
      <w:r w:rsidR="00356C2A" w:rsidRPr="00356C2A">
        <w:rPr>
          <w:sz w:val="20"/>
          <w:szCs w:val="20"/>
        </w:rPr>
        <w:t xml:space="preserve"> </w:t>
      </w:r>
      <w:proofErr w:type="spellStart"/>
      <w:r w:rsidR="00356C2A" w:rsidRPr="00356C2A">
        <w:rPr>
          <w:sz w:val="20"/>
          <w:szCs w:val="20"/>
        </w:rPr>
        <w:t>Compared</w:t>
      </w:r>
      <w:proofErr w:type="spellEnd"/>
      <w:r w:rsidR="00356C2A" w:rsidRPr="00356C2A">
        <w:rPr>
          <w:sz w:val="20"/>
          <w:szCs w:val="20"/>
        </w:rPr>
        <w:t xml:space="preserve"> </w:t>
      </w:r>
      <w:proofErr w:type="spellStart"/>
      <w:r w:rsidR="00356C2A" w:rsidRPr="00356C2A">
        <w:rPr>
          <w:sz w:val="20"/>
          <w:szCs w:val="20"/>
        </w:rPr>
        <w:t>With</w:t>
      </w:r>
      <w:proofErr w:type="spellEnd"/>
      <w:r w:rsidR="00356C2A" w:rsidRPr="00356C2A">
        <w:rPr>
          <w:sz w:val="20"/>
          <w:szCs w:val="20"/>
        </w:rPr>
        <w:t xml:space="preserve"> </w:t>
      </w:r>
      <w:proofErr w:type="spellStart"/>
      <w:r w:rsidR="00356C2A" w:rsidRPr="00356C2A">
        <w:rPr>
          <w:sz w:val="20"/>
          <w:szCs w:val="20"/>
        </w:rPr>
        <w:t>Docetaxel</w:t>
      </w:r>
      <w:proofErr w:type="spellEnd"/>
      <w:r w:rsidR="00356C2A" w:rsidRPr="00356C2A">
        <w:rPr>
          <w:sz w:val="20"/>
          <w:szCs w:val="20"/>
        </w:rPr>
        <w:t xml:space="preserve"> </w:t>
      </w:r>
      <w:proofErr w:type="spellStart"/>
      <w:r w:rsidR="00356C2A" w:rsidRPr="00356C2A">
        <w:rPr>
          <w:sz w:val="20"/>
          <w:szCs w:val="20"/>
        </w:rPr>
        <w:t>Alone</w:t>
      </w:r>
      <w:proofErr w:type="spellEnd"/>
      <w:r w:rsidR="00356C2A" w:rsidRPr="00356C2A">
        <w:rPr>
          <w:sz w:val="20"/>
          <w:szCs w:val="20"/>
        </w:rPr>
        <w:t xml:space="preserve"> and </w:t>
      </w:r>
      <w:proofErr w:type="spellStart"/>
      <w:r w:rsidR="00356C2A" w:rsidRPr="00356C2A">
        <w:rPr>
          <w:sz w:val="20"/>
          <w:szCs w:val="20"/>
        </w:rPr>
        <w:t>Progression</w:t>
      </w:r>
      <w:proofErr w:type="spellEnd"/>
      <w:r w:rsidR="00356C2A" w:rsidRPr="00356C2A">
        <w:rPr>
          <w:sz w:val="20"/>
          <w:szCs w:val="20"/>
        </w:rPr>
        <w:t xml:space="preserve">-Free </w:t>
      </w:r>
      <w:proofErr w:type="spellStart"/>
      <w:r w:rsidR="00356C2A" w:rsidRPr="00356C2A">
        <w:rPr>
          <w:sz w:val="20"/>
          <w:szCs w:val="20"/>
        </w:rPr>
        <w:t>Survival</w:t>
      </w:r>
      <w:proofErr w:type="spellEnd"/>
      <w:r w:rsidR="00356C2A" w:rsidRPr="00356C2A">
        <w:rPr>
          <w:sz w:val="20"/>
          <w:szCs w:val="20"/>
        </w:rPr>
        <w:t xml:space="preserve"> in </w:t>
      </w:r>
      <w:proofErr w:type="spellStart"/>
      <w:r w:rsidR="00356C2A" w:rsidRPr="00356C2A">
        <w:rPr>
          <w:sz w:val="20"/>
          <w:szCs w:val="20"/>
        </w:rPr>
        <w:t>Patients</w:t>
      </w:r>
      <w:proofErr w:type="spellEnd"/>
      <w:r w:rsidR="00356C2A" w:rsidRPr="00356C2A">
        <w:rPr>
          <w:sz w:val="20"/>
          <w:szCs w:val="20"/>
        </w:rPr>
        <w:t xml:space="preserve"> </w:t>
      </w:r>
      <w:proofErr w:type="spellStart"/>
      <w:r w:rsidR="00356C2A" w:rsidRPr="00356C2A">
        <w:rPr>
          <w:sz w:val="20"/>
          <w:szCs w:val="20"/>
        </w:rPr>
        <w:t>With</w:t>
      </w:r>
      <w:proofErr w:type="spellEnd"/>
      <w:r w:rsidR="00356C2A" w:rsidRPr="00356C2A">
        <w:rPr>
          <w:sz w:val="20"/>
          <w:szCs w:val="20"/>
        </w:rPr>
        <w:t xml:space="preserve"> KRAS-Mutant </w:t>
      </w:r>
      <w:proofErr w:type="spellStart"/>
      <w:r w:rsidR="00356C2A" w:rsidRPr="00356C2A">
        <w:rPr>
          <w:sz w:val="20"/>
          <w:szCs w:val="20"/>
        </w:rPr>
        <w:t>Advanced</w:t>
      </w:r>
      <w:proofErr w:type="spellEnd"/>
      <w:r w:rsidR="00356C2A" w:rsidRPr="00356C2A">
        <w:rPr>
          <w:sz w:val="20"/>
          <w:szCs w:val="20"/>
        </w:rPr>
        <w:t xml:space="preserve"> Non–</w:t>
      </w:r>
      <w:proofErr w:type="spellStart"/>
      <w:r w:rsidR="00356C2A" w:rsidRPr="00356C2A">
        <w:rPr>
          <w:sz w:val="20"/>
          <w:szCs w:val="20"/>
        </w:rPr>
        <w:t>Small</w:t>
      </w:r>
      <w:proofErr w:type="spellEnd"/>
      <w:r w:rsidR="00356C2A" w:rsidRPr="00356C2A">
        <w:rPr>
          <w:sz w:val="20"/>
          <w:szCs w:val="20"/>
        </w:rPr>
        <w:t xml:space="preserve"> Cell </w:t>
      </w:r>
      <w:proofErr w:type="spellStart"/>
      <w:r w:rsidR="00356C2A" w:rsidRPr="00356C2A">
        <w:rPr>
          <w:sz w:val="20"/>
          <w:szCs w:val="20"/>
        </w:rPr>
        <w:t>Lung</w:t>
      </w:r>
      <w:proofErr w:type="spellEnd"/>
      <w:r w:rsidR="00356C2A" w:rsidRPr="00356C2A">
        <w:rPr>
          <w:sz w:val="20"/>
          <w:szCs w:val="20"/>
        </w:rPr>
        <w:t xml:space="preserve"> </w:t>
      </w:r>
      <w:proofErr w:type="spellStart"/>
      <w:r w:rsidR="00356C2A" w:rsidRPr="00356C2A">
        <w:rPr>
          <w:sz w:val="20"/>
          <w:szCs w:val="20"/>
        </w:rPr>
        <w:t>Cancer</w:t>
      </w:r>
      <w:proofErr w:type="spellEnd"/>
      <w:r w:rsidR="00356C2A" w:rsidRPr="00356C2A">
        <w:rPr>
          <w:sz w:val="20"/>
          <w:szCs w:val="20"/>
        </w:rPr>
        <w:t xml:space="preserve">. </w:t>
      </w:r>
      <w:r w:rsidR="00356C2A" w:rsidRPr="00356C2A">
        <w:rPr>
          <w:i/>
          <w:sz w:val="20"/>
          <w:szCs w:val="20"/>
        </w:rPr>
        <w:t>JAMA</w:t>
      </w:r>
      <w:r w:rsidR="00356C2A" w:rsidRPr="00356C2A">
        <w:rPr>
          <w:sz w:val="20"/>
          <w:szCs w:val="20"/>
        </w:rPr>
        <w:t>. 2017;317(18):1844-1853</w:t>
      </w:r>
    </w:p>
    <w:p w:rsidR="00E94999" w:rsidRPr="007E3506" w:rsidRDefault="00E94999" w:rsidP="00E94999">
      <w:pPr>
        <w:pStyle w:val="Odstavecseseznamem"/>
        <w:numPr>
          <w:ilvl w:val="0"/>
          <w:numId w:val="1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 w:rsidRPr="007E3506">
        <w:rPr>
          <w:rFonts w:cstheme="minorHAnsi"/>
          <w:sz w:val="20"/>
          <w:szCs w:val="20"/>
        </w:rPr>
        <w:t xml:space="preserve">Seznam zdravotních výkonů s bodovými hodnotami. Číselník 1388, platnost od 1.9.22 - na </w:t>
      </w:r>
      <w:hyperlink r:id="rId12" w:history="1">
        <w:r w:rsidRPr="00833831">
          <w:rPr>
            <w:rStyle w:val="Hypertextovodkaz"/>
            <w:rFonts w:cstheme="minorHAnsi"/>
            <w:sz w:val="20"/>
            <w:szCs w:val="20"/>
          </w:rPr>
          <w:t>www.vzp.cz</w:t>
        </w:r>
      </w:hyperlink>
    </w:p>
    <w:p w:rsidR="00143A50" w:rsidRDefault="00143A50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E94999" w:rsidRPr="00356C2A" w:rsidRDefault="00E94999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143A50" w:rsidRDefault="00143A50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0355D8" w:rsidRDefault="000355D8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143A50" w:rsidRDefault="00143A50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  <w:r w:rsidRPr="00143A50">
        <w:rPr>
          <w:rStyle w:val="Hypertextovodkaz"/>
          <w:rFonts w:cstheme="minorHAnsi"/>
          <w:b/>
          <w:color w:val="auto"/>
          <w:sz w:val="24"/>
          <w:szCs w:val="24"/>
        </w:rPr>
        <w:t>Přílohy:</w:t>
      </w:r>
    </w:p>
    <w:p w:rsidR="00143A50" w:rsidRDefault="00143A50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B40C98" w:rsidRDefault="00B40C98" w:rsidP="00B40C98">
      <w:pPr>
        <w:spacing w:after="0"/>
        <w:jc w:val="both"/>
        <w:rPr>
          <w:rStyle w:val="Hypertextovodkaz"/>
          <w:rFonts w:cstheme="minorHAnsi"/>
          <w:color w:val="auto"/>
          <w:u w:val="none"/>
        </w:rPr>
      </w:pPr>
      <w:r w:rsidRPr="002B5055">
        <w:rPr>
          <w:rStyle w:val="Hypertextovodkaz"/>
          <w:rFonts w:cstheme="minorHAnsi"/>
          <w:color w:val="auto"/>
        </w:rPr>
        <w:t xml:space="preserve">Příloha č. </w:t>
      </w:r>
      <w:r>
        <w:rPr>
          <w:rStyle w:val="Hypertextovodkaz"/>
          <w:rFonts w:cstheme="minorHAnsi"/>
          <w:color w:val="auto"/>
        </w:rPr>
        <w:t>1</w:t>
      </w:r>
      <w:r w:rsidRPr="00B40C98">
        <w:rPr>
          <w:rStyle w:val="Hypertextovodkaz"/>
          <w:rFonts w:cstheme="minorHAnsi"/>
          <w:color w:val="auto"/>
          <w:u w:val="none"/>
        </w:rPr>
        <w:t xml:space="preserve">:  Výsledky </w:t>
      </w:r>
      <w:r>
        <w:rPr>
          <w:rStyle w:val="Hypertextovodkaz"/>
          <w:rFonts w:cstheme="minorHAnsi"/>
          <w:color w:val="auto"/>
          <w:u w:val="none"/>
        </w:rPr>
        <w:t>studie fáze I/II</w:t>
      </w:r>
      <w:r w:rsidR="005B7BDB">
        <w:rPr>
          <w:rStyle w:val="Hypertextovodkaz"/>
          <w:rFonts w:cstheme="minorHAnsi"/>
          <w:color w:val="auto"/>
          <w:u w:val="none"/>
        </w:rPr>
        <w:t xml:space="preserve"> </w:t>
      </w:r>
      <w:r w:rsidR="005B7BDB">
        <w:rPr>
          <w:rStyle w:val="q4iawc"/>
          <w:rFonts w:cstheme="minorHAnsi"/>
          <w:color w:val="000000"/>
          <w:shd w:val="clear" w:color="auto" w:fill="F5F5F5"/>
        </w:rPr>
        <w:t>CodeBreaK100</w:t>
      </w:r>
      <w:r>
        <w:rPr>
          <w:rStyle w:val="Hypertextovodkaz"/>
          <w:rFonts w:cstheme="minorHAnsi"/>
          <w:color w:val="auto"/>
          <w:u w:val="none"/>
        </w:rPr>
        <w:t xml:space="preserve"> dle zdroje pod pozn.</w:t>
      </w:r>
      <w:r w:rsidR="0019270B">
        <w:rPr>
          <w:rStyle w:val="Hypertextovodkaz"/>
          <w:rFonts w:cstheme="minorHAnsi"/>
          <w:color w:val="auto"/>
          <w:u w:val="none"/>
        </w:rPr>
        <w:t xml:space="preserve"> </w:t>
      </w:r>
      <w:r>
        <w:rPr>
          <w:rStyle w:val="Hypertextovodkaz"/>
          <w:rFonts w:cstheme="minorHAnsi"/>
          <w:color w:val="auto"/>
          <w:u w:val="none"/>
        </w:rPr>
        <w:t>1</w:t>
      </w:r>
    </w:p>
    <w:p w:rsidR="00C30E52" w:rsidRPr="00C30E52" w:rsidRDefault="00C30E52" w:rsidP="00B40C98">
      <w:pPr>
        <w:spacing w:after="0"/>
        <w:jc w:val="both"/>
        <w:rPr>
          <w:rStyle w:val="Hypertextovodkaz"/>
          <w:rFonts w:cstheme="minorHAnsi"/>
          <w:color w:val="auto"/>
          <w:sz w:val="10"/>
          <w:szCs w:val="10"/>
          <w:u w:val="none"/>
        </w:rPr>
      </w:pPr>
    </w:p>
    <w:p w:rsidR="00143A50" w:rsidRDefault="00BE0821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  <w:r>
        <w:rPr>
          <w:rStyle w:val="Hypertextovodkaz"/>
          <w:rFonts w:cstheme="minorHAnsi"/>
          <w:b/>
          <w:noProof/>
          <w:color w:val="auto"/>
          <w:sz w:val="24"/>
          <w:szCs w:val="24"/>
          <w:lang w:eastAsia="cs-CZ"/>
        </w:rPr>
        <w:drawing>
          <wp:inline distT="0" distB="0" distL="0" distR="0">
            <wp:extent cx="6600825" cy="383323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170" cy="3831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21" w:rsidRDefault="00BE0821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  <w:r>
        <w:rPr>
          <w:rStyle w:val="Hypertextovodkaz"/>
          <w:rFonts w:cstheme="minorHAnsi"/>
          <w:b/>
          <w:color w:val="auto"/>
          <w:sz w:val="24"/>
          <w:szCs w:val="24"/>
        </w:rPr>
        <w:lastRenderedPageBreak/>
        <w:t xml:space="preserve"> </w:t>
      </w:r>
    </w:p>
    <w:p w:rsidR="00637EA1" w:rsidRDefault="00637EA1" w:rsidP="00637EA1">
      <w:pPr>
        <w:spacing w:after="0"/>
        <w:jc w:val="both"/>
        <w:rPr>
          <w:rStyle w:val="Hypertextovodkaz"/>
          <w:rFonts w:cstheme="minorHAnsi"/>
          <w:color w:val="auto"/>
          <w:u w:val="none"/>
        </w:rPr>
      </w:pPr>
      <w:r w:rsidRPr="002B5055">
        <w:rPr>
          <w:rStyle w:val="Hypertextovodkaz"/>
          <w:rFonts w:cstheme="minorHAnsi"/>
          <w:color w:val="auto"/>
        </w:rPr>
        <w:t xml:space="preserve">Příloha č. </w:t>
      </w:r>
      <w:r>
        <w:rPr>
          <w:rStyle w:val="Hypertextovodkaz"/>
          <w:rFonts w:cstheme="minorHAnsi"/>
          <w:color w:val="auto"/>
        </w:rPr>
        <w:t>2</w:t>
      </w:r>
      <w:r w:rsidRPr="00B40C98">
        <w:rPr>
          <w:rStyle w:val="Hypertextovodkaz"/>
          <w:rFonts w:cstheme="minorHAnsi"/>
          <w:color w:val="auto"/>
          <w:u w:val="none"/>
        </w:rPr>
        <w:t xml:space="preserve">:  </w:t>
      </w:r>
      <w:r>
        <w:rPr>
          <w:rStyle w:val="Hypertextovodkaz"/>
          <w:rFonts w:cstheme="minorHAnsi"/>
          <w:color w:val="auto"/>
          <w:u w:val="none"/>
        </w:rPr>
        <w:t xml:space="preserve">Nežádoucí účinky ve studii fáze II </w:t>
      </w:r>
      <w:r>
        <w:rPr>
          <w:rStyle w:val="q4iawc"/>
          <w:rFonts w:cstheme="minorHAnsi"/>
          <w:color w:val="000000"/>
          <w:shd w:val="clear" w:color="auto" w:fill="F5F5F5"/>
        </w:rPr>
        <w:t>CodeBreaK100</w:t>
      </w:r>
      <w:r>
        <w:rPr>
          <w:rStyle w:val="Hypertextovodkaz"/>
          <w:rFonts w:cstheme="minorHAnsi"/>
          <w:color w:val="auto"/>
          <w:u w:val="none"/>
        </w:rPr>
        <w:t xml:space="preserve"> dle zdroje pod pozn. 14</w:t>
      </w:r>
    </w:p>
    <w:p w:rsidR="00B44078" w:rsidRPr="00B44078" w:rsidRDefault="00B44078" w:rsidP="00637EA1">
      <w:pPr>
        <w:spacing w:after="0"/>
        <w:jc w:val="both"/>
        <w:rPr>
          <w:rStyle w:val="Hypertextovodkaz"/>
          <w:rFonts w:cstheme="minorHAnsi"/>
          <w:color w:val="auto"/>
          <w:sz w:val="8"/>
          <w:szCs w:val="8"/>
          <w:u w:val="none"/>
        </w:rPr>
      </w:pPr>
    </w:p>
    <w:p w:rsidR="000A763E" w:rsidRDefault="00B44078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  <w:r>
        <w:rPr>
          <w:rStyle w:val="Hypertextovodkaz"/>
          <w:rFonts w:cstheme="minorHAnsi"/>
          <w:b/>
          <w:noProof/>
          <w:color w:val="auto"/>
          <w:sz w:val="24"/>
          <w:szCs w:val="24"/>
          <w:lang w:eastAsia="cs-CZ"/>
        </w:rPr>
        <w:drawing>
          <wp:inline distT="0" distB="0" distL="0" distR="0">
            <wp:extent cx="6467475" cy="37433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738" cy="374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50" w:rsidRDefault="00143A50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color w:val="auto"/>
        </w:rPr>
      </w:pPr>
    </w:p>
    <w:p w:rsidR="002B5055" w:rsidRDefault="002B5055" w:rsidP="00143A50">
      <w:pPr>
        <w:spacing w:after="0"/>
        <w:jc w:val="both"/>
        <w:rPr>
          <w:rStyle w:val="Hypertextovodkaz"/>
          <w:rFonts w:cstheme="minorHAnsi"/>
          <w:color w:val="auto"/>
          <w:u w:val="none"/>
        </w:rPr>
      </w:pPr>
      <w:r w:rsidRPr="002B5055">
        <w:rPr>
          <w:rStyle w:val="Hypertextovodkaz"/>
          <w:rFonts w:cstheme="minorHAnsi"/>
          <w:color w:val="auto"/>
        </w:rPr>
        <w:t xml:space="preserve">Příloha č. </w:t>
      </w:r>
      <w:r w:rsidR="00AB2218">
        <w:rPr>
          <w:rStyle w:val="Hypertextovodkaz"/>
          <w:rFonts w:cstheme="minorHAnsi"/>
          <w:color w:val="auto"/>
        </w:rPr>
        <w:t>3</w:t>
      </w:r>
      <w:r w:rsidRPr="002B5055">
        <w:rPr>
          <w:rStyle w:val="Hypertextovodkaz"/>
          <w:rFonts w:cstheme="minorHAnsi"/>
          <w:color w:val="auto"/>
        </w:rPr>
        <w:t xml:space="preserve">: </w:t>
      </w:r>
      <w:r>
        <w:rPr>
          <w:rStyle w:val="Hypertextovodkaz"/>
          <w:rFonts w:cstheme="minorHAnsi"/>
          <w:color w:val="auto"/>
        </w:rPr>
        <w:t xml:space="preserve"> </w:t>
      </w:r>
      <w:r w:rsidR="00D876E5">
        <w:rPr>
          <w:rStyle w:val="Hypertextovodkaz"/>
          <w:rFonts w:cstheme="minorHAnsi"/>
          <w:color w:val="auto"/>
          <w:u w:val="none"/>
        </w:rPr>
        <w:t xml:space="preserve">Rozpis přínosu LYG </w:t>
      </w:r>
      <w:proofErr w:type="spellStart"/>
      <w:r w:rsidR="00D876E5">
        <w:rPr>
          <w:rStyle w:val="Hypertextovodkaz"/>
          <w:rFonts w:cstheme="minorHAnsi"/>
          <w:color w:val="auto"/>
          <w:u w:val="none"/>
        </w:rPr>
        <w:t>sotorasib</w:t>
      </w:r>
      <w:proofErr w:type="spellEnd"/>
      <w:r w:rsidR="00D876E5">
        <w:rPr>
          <w:rStyle w:val="Hypertextovodkaz"/>
          <w:rFonts w:cstheme="minorHAnsi"/>
          <w:color w:val="auto"/>
          <w:u w:val="none"/>
        </w:rPr>
        <w:t xml:space="preserve"> </w:t>
      </w:r>
      <w:proofErr w:type="spellStart"/>
      <w:r w:rsidR="00D876E5">
        <w:rPr>
          <w:rStyle w:val="Hypertextovodkaz"/>
          <w:rFonts w:cstheme="minorHAnsi"/>
          <w:color w:val="auto"/>
          <w:u w:val="none"/>
        </w:rPr>
        <w:t>vs</w:t>
      </w:r>
      <w:proofErr w:type="spellEnd"/>
      <w:r w:rsidR="00D876E5">
        <w:rPr>
          <w:rStyle w:val="Hypertextovodkaz"/>
          <w:rFonts w:cstheme="minorHAnsi"/>
          <w:color w:val="auto"/>
          <w:u w:val="none"/>
        </w:rPr>
        <w:t xml:space="preserve"> </w:t>
      </w:r>
      <w:proofErr w:type="spellStart"/>
      <w:r w:rsidR="00D876E5">
        <w:rPr>
          <w:rStyle w:val="Hypertextovodkaz"/>
          <w:rFonts w:cstheme="minorHAnsi"/>
          <w:color w:val="auto"/>
          <w:u w:val="none"/>
        </w:rPr>
        <w:t>docetaxel</w:t>
      </w:r>
      <w:proofErr w:type="spellEnd"/>
      <w:r w:rsidR="00D876E5">
        <w:rPr>
          <w:rStyle w:val="Hypertextovodkaz"/>
          <w:rFonts w:cstheme="minorHAnsi"/>
          <w:color w:val="auto"/>
          <w:u w:val="none"/>
        </w:rPr>
        <w:t xml:space="preserve"> v CUA modelaci uvedené ve zdroji pod pozn. 4</w:t>
      </w:r>
      <w:r w:rsidR="0019270B">
        <w:rPr>
          <w:rStyle w:val="Hypertextovodkaz"/>
          <w:rFonts w:cstheme="minorHAnsi"/>
          <w:color w:val="auto"/>
          <w:u w:val="none"/>
        </w:rPr>
        <w:t xml:space="preserve"> </w:t>
      </w:r>
    </w:p>
    <w:p w:rsidR="00C7121F" w:rsidRPr="008813AA" w:rsidRDefault="00C7121F" w:rsidP="00143A50">
      <w:pPr>
        <w:spacing w:after="0"/>
        <w:jc w:val="both"/>
        <w:rPr>
          <w:rStyle w:val="Hypertextovodkaz"/>
          <w:rFonts w:cstheme="minorHAnsi"/>
          <w:color w:val="auto"/>
          <w:sz w:val="8"/>
          <w:szCs w:val="8"/>
          <w:u w:val="none"/>
        </w:rPr>
      </w:pPr>
    </w:p>
    <w:p w:rsidR="0019270B" w:rsidRDefault="00050B4F" w:rsidP="00143A50">
      <w:pPr>
        <w:spacing w:after="0"/>
        <w:jc w:val="both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noProof/>
          <w:color w:val="auto"/>
          <w:u w:val="none"/>
          <w:lang w:eastAsia="cs-CZ"/>
        </w:rPr>
        <w:drawing>
          <wp:inline distT="0" distB="0" distL="0" distR="0">
            <wp:extent cx="6665829" cy="1533525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012" cy="153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81208E" w:rsidRDefault="0081208E" w:rsidP="00143A50">
      <w:pPr>
        <w:spacing w:after="0"/>
        <w:jc w:val="both"/>
        <w:rPr>
          <w:rStyle w:val="Hypertextovodkaz"/>
          <w:rFonts w:cstheme="minorHAnsi"/>
          <w:color w:val="auto"/>
        </w:rPr>
      </w:pPr>
    </w:p>
    <w:p w:rsidR="0081208E" w:rsidRDefault="0081208E" w:rsidP="00D545F6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  <w:r w:rsidRPr="002B5055">
        <w:rPr>
          <w:rStyle w:val="Hypertextovodkaz"/>
          <w:rFonts w:cstheme="minorHAnsi"/>
          <w:color w:val="auto"/>
        </w:rPr>
        <w:t xml:space="preserve">Příloha č. </w:t>
      </w:r>
      <w:r>
        <w:rPr>
          <w:rStyle w:val="Hypertextovodkaz"/>
          <w:rFonts w:cstheme="minorHAnsi"/>
          <w:color w:val="auto"/>
        </w:rPr>
        <w:t>4</w:t>
      </w:r>
      <w:r w:rsidRPr="00C62DD0">
        <w:rPr>
          <w:rStyle w:val="Hypertextovodkaz"/>
          <w:rFonts w:cstheme="minorHAnsi"/>
          <w:color w:val="auto"/>
          <w:u w:val="none"/>
        </w:rPr>
        <w:t xml:space="preserve">:  </w:t>
      </w:r>
      <w:r w:rsidR="00C62DD0" w:rsidRPr="00C62DD0">
        <w:rPr>
          <w:rStyle w:val="Hypertextovodkaz"/>
          <w:rFonts w:cstheme="minorHAnsi"/>
          <w:color w:val="auto"/>
          <w:u w:val="none"/>
        </w:rPr>
        <w:t>Četnost</w:t>
      </w:r>
      <w:r w:rsidR="00C62DD0">
        <w:rPr>
          <w:rStyle w:val="Hypertextovodkaz"/>
          <w:rFonts w:cstheme="minorHAnsi"/>
          <w:color w:val="auto"/>
          <w:u w:val="none"/>
        </w:rPr>
        <w:t xml:space="preserve"> pacientů s odpovědí na léčbu LUMYKRAS dle výskytu dalších </w:t>
      </w:r>
      <w:proofErr w:type="spellStart"/>
      <w:r w:rsidR="00C62DD0">
        <w:rPr>
          <w:rStyle w:val="Hypertextovodkaz"/>
          <w:rFonts w:cstheme="minorHAnsi"/>
          <w:color w:val="auto"/>
          <w:u w:val="none"/>
        </w:rPr>
        <w:t>genomických</w:t>
      </w:r>
      <w:proofErr w:type="spellEnd"/>
      <w:r w:rsidR="00C62DD0">
        <w:rPr>
          <w:rStyle w:val="Hypertextovodkaz"/>
          <w:rFonts w:cstheme="minorHAnsi"/>
          <w:color w:val="auto"/>
          <w:u w:val="none"/>
        </w:rPr>
        <w:t xml:space="preserve"> alterací, kromě KRAS</w:t>
      </w:r>
      <w:r w:rsidR="005D175A">
        <w:rPr>
          <w:rStyle w:val="Hypertextovodkaz"/>
          <w:rFonts w:cstheme="minorHAnsi"/>
          <w:color w:val="auto"/>
          <w:u w:val="none"/>
        </w:rPr>
        <w:t>,</w:t>
      </w:r>
      <w:bookmarkStart w:id="0" w:name="_GoBack"/>
      <w:bookmarkEnd w:id="0"/>
      <w:r w:rsidR="00C62DD0">
        <w:rPr>
          <w:rStyle w:val="Hypertextovodkaz"/>
          <w:rFonts w:cstheme="minorHAnsi"/>
          <w:color w:val="auto"/>
          <w:u w:val="none"/>
        </w:rPr>
        <w:t xml:space="preserve"> dle zdroje uvedeném pod pozn. 14</w:t>
      </w:r>
    </w:p>
    <w:p w:rsidR="006F63B1" w:rsidRPr="00143A50" w:rsidRDefault="00D545F6" w:rsidP="008504BF">
      <w:pPr>
        <w:spacing w:after="0"/>
        <w:ind w:left="1077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u w:val="single"/>
          <w:lang w:eastAsia="cs-CZ"/>
        </w:rPr>
        <w:drawing>
          <wp:inline distT="0" distB="0" distL="0" distR="0" wp14:anchorId="256ECEF7" wp14:editId="2706B1A0">
            <wp:extent cx="5343525" cy="240030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3B1" w:rsidRPr="00143A50" w:rsidSect="00CB665F">
      <w:footerReference w:type="default" r:id="rId1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E90" w:rsidRDefault="00F40E90" w:rsidP="001312F1">
      <w:pPr>
        <w:spacing w:after="0" w:line="240" w:lineRule="auto"/>
      </w:pPr>
      <w:r>
        <w:separator/>
      </w:r>
    </w:p>
  </w:endnote>
  <w:endnote w:type="continuationSeparator" w:id="0">
    <w:p w:rsidR="00F40E90" w:rsidRDefault="00F40E90" w:rsidP="0013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174363"/>
      <w:docPartObj>
        <w:docPartGallery w:val="Page Numbers (Bottom of Page)"/>
        <w:docPartUnique/>
      </w:docPartObj>
    </w:sdtPr>
    <w:sdtEndPr/>
    <w:sdtContent>
      <w:p w:rsidR="00D921CC" w:rsidRDefault="00D921C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1" name="Vývojový diagram: alternativní postup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21CC" w:rsidRDefault="00D921CC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D175A" w:rsidRPr="005D175A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1" o:spid="_x0000_s102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R3pdgt8CAADlBQAADgAAAAAAAAAAAAAAAAAuAgAA&#10;ZHJzL2Uyb0RvYy54bWxQSwECLQAUAAYACAAAACEAGuRMndkAAAADAQAADwAAAAAAAAAAAAAAAAA5&#10;BQAAZHJzL2Rvd25yZXYueG1sUEsFBgAAAAAEAAQA8wAAAD8GAAAAAA==&#10;" filled="f" fillcolor="#5c83b4" stroked="f" strokecolor="#737373">
                  <v:textbox>
                    <w:txbxContent>
                      <w:p w:rsidR="00D921CC" w:rsidRDefault="00D921CC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D175A" w:rsidRPr="005D175A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E90" w:rsidRDefault="00F40E90" w:rsidP="001312F1">
      <w:pPr>
        <w:spacing w:after="0" w:line="240" w:lineRule="auto"/>
      </w:pPr>
      <w:r>
        <w:separator/>
      </w:r>
    </w:p>
  </w:footnote>
  <w:footnote w:type="continuationSeparator" w:id="0">
    <w:p w:rsidR="00F40E90" w:rsidRDefault="00F40E90" w:rsidP="0013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13E"/>
    <w:multiLevelType w:val="hybridMultilevel"/>
    <w:tmpl w:val="8C029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79A4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14085"/>
    <w:multiLevelType w:val="hybridMultilevel"/>
    <w:tmpl w:val="8FA89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01DE9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553D9"/>
    <w:multiLevelType w:val="hybridMultilevel"/>
    <w:tmpl w:val="915E3F54"/>
    <w:lvl w:ilvl="0" w:tplc="630C5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B2EBB"/>
    <w:multiLevelType w:val="hybridMultilevel"/>
    <w:tmpl w:val="F2BA5234"/>
    <w:lvl w:ilvl="0" w:tplc="32567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B1"/>
    <w:rsid w:val="000064C5"/>
    <w:rsid w:val="00006D6C"/>
    <w:rsid w:val="000075A7"/>
    <w:rsid w:val="0001102C"/>
    <w:rsid w:val="00011482"/>
    <w:rsid w:val="00011B5F"/>
    <w:rsid w:val="00015003"/>
    <w:rsid w:val="00020689"/>
    <w:rsid w:val="000229D9"/>
    <w:rsid w:val="00024574"/>
    <w:rsid w:val="00024C21"/>
    <w:rsid w:val="0002621C"/>
    <w:rsid w:val="00032017"/>
    <w:rsid w:val="00034420"/>
    <w:rsid w:val="00034794"/>
    <w:rsid w:val="000355D8"/>
    <w:rsid w:val="00040559"/>
    <w:rsid w:val="00045C44"/>
    <w:rsid w:val="000468F2"/>
    <w:rsid w:val="00046E64"/>
    <w:rsid w:val="00050B4F"/>
    <w:rsid w:val="00051675"/>
    <w:rsid w:val="00054923"/>
    <w:rsid w:val="0005498C"/>
    <w:rsid w:val="00061346"/>
    <w:rsid w:val="00065DB7"/>
    <w:rsid w:val="0007421A"/>
    <w:rsid w:val="000761B2"/>
    <w:rsid w:val="00082844"/>
    <w:rsid w:val="000838C2"/>
    <w:rsid w:val="00086747"/>
    <w:rsid w:val="00090E52"/>
    <w:rsid w:val="000942B5"/>
    <w:rsid w:val="000968BF"/>
    <w:rsid w:val="000A2C2F"/>
    <w:rsid w:val="000A2CF5"/>
    <w:rsid w:val="000A36F7"/>
    <w:rsid w:val="000A763E"/>
    <w:rsid w:val="000A7EF0"/>
    <w:rsid w:val="000D2A12"/>
    <w:rsid w:val="000D5F0B"/>
    <w:rsid w:val="000E0B46"/>
    <w:rsid w:val="000E0BDE"/>
    <w:rsid w:val="000E66A0"/>
    <w:rsid w:val="000F0CBB"/>
    <w:rsid w:val="000F1E0D"/>
    <w:rsid w:val="0010021B"/>
    <w:rsid w:val="00105ED5"/>
    <w:rsid w:val="00106B9A"/>
    <w:rsid w:val="001070F2"/>
    <w:rsid w:val="00112756"/>
    <w:rsid w:val="00116B5A"/>
    <w:rsid w:val="00116FDA"/>
    <w:rsid w:val="001205AE"/>
    <w:rsid w:val="001214D8"/>
    <w:rsid w:val="00122B94"/>
    <w:rsid w:val="001245EE"/>
    <w:rsid w:val="001312F1"/>
    <w:rsid w:val="00135489"/>
    <w:rsid w:val="0013698D"/>
    <w:rsid w:val="00136EAB"/>
    <w:rsid w:val="0013740D"/>
    <w:rsid w:val="00137D82"/>
    <w:rsid w:val="00143A50"/>
    <w:rsid w:val="00143DC5"/>
    <w:rsid w:val="00147CCB"/>
    <w:rsid w:val="00150AE1"/>
    <w:rsid w:val="00162EB6"/>
    <w:rsid w:val="001653E8"/>
    <w:rsid w:val="0017179D"/>
    <w:rsid w:val="00174D05"/>
    <w:rsid w:val="0017631E"/>
    <w:rsid w:val="00181019"/>
    <w:rsid w:val="00181B68"/>
    <w:rsid w:val="00183EB4"/>
    <w:rsid w:val="001903EE"/>
    <w:rsid w:val="00190B90"/>
    <w:rsid w:val="0019270B"/>
    <w:rsid w:val="001976FA"/>
    <w:rsid w:val="00197C50"/>
    <w:rsid w:val="001A2CEC"/>
    <w:rsid w:val="001A2E10"/>
    <w:rsid w:val="001C0A2D"/>
    <w:rsid w:val="001C30AA"/>
    <w:rsid w:val="001C5114"/>
    <w:rsid w:val="001C7672"/>
    <w:rsid w:val="001C7C71"/>
    <w:rsid w:val="001D0332"/>
    <w:rsid w:val="001D1E3D"/>
    <w:rsid w:val="001D1F5D"/>
    <w:rsid w:val="001D31CF"/>
    <w:rsid w:val="001D34B1"/>
    <w:rsid w:val="001D4D9A"/>
    <w:rsid w:val="001D5DBF"/>
    <w:rsid w:val="001E1790"/>
    <w:rsid w:val="001E3B7E"/>
    <w:rsid w:val="001F103C"/>
    <w:rsid w:val="001F1861"/>
    <w:rsid w:val="00202820"/>
    <w:rsid w:val="002043D1"/>
    <w:rsid w:val="00205789"/>
    <w:rsid w:val="00217944"/>
    <w:rsid w:val="00221177"/>
    <w:rsid w:val="00223263"/>
    <w:rsid w:val="0023021C"/>
    <w:rsid w:val="00233241"/>
    <w:rsid w:val="0023684C"/>
    <w:rsid w:val="00242F48"/>
    <w:rsid w:val="00244EFF"/>
    <w:rsid w:val="00247906"/>
    <w:rsid w:val="0025183E"/>
    <w:rsid w:val="002528F8"/>
    <w:rsid w:val="002541F9"/>
    <w:rsid w:val="00254E91"/>
    <w:rsid w:val="0025725E"/>
    <w:rsid w:val="00266F65"/>
    <w:rsid w:val="00272E4D"/>
    <w:rsid w:val="0027515A"/>
    <w:rsid w:val="00276189"/>
    <w:rsid w:val="00277198"/>
    <w:rsid w:val="0028133D"/>
    <w:rsid w:val="002900C4"/>
    <w:rsid w:val="0029077A"/>
    <w:rsid w:val="00292218"/>
    <w:rsid w:val="00294B7E"/>
    <w:rsid w:val="00295012"/>
    <w:rsid w:val="002950F6"/>
    <w:rsid w:val="002A3DB9"/>
    <w:rsid w:val="002A7B5D"/>
    <w:rsid w:val="002A7CD2"/>
    <w:rsid w:val="002B091A"/>
    <w:rsid w:val="002B1816"/>
    <w:rsid w:val="002B2964"/>
    <w:rsid w:val="002B31E8"/>
    <w:rsid w:val="002B3A44"/>
    <w:rsid w:val="002B5055"/>
    <w:rsid w:val="002B5329"/>
    <w:rsid w:val="002C4487"/>
    <w:rsid w:val="002D1F31"/>
    <w:rsid w:val="002E0407"/>
    <w:rsid w:val="002E18C6"/>
    <w:rsid w:val="002E31CD"/>
    <w:rsid w:val="002E4C94"/>
    <w:rsid w:val="002E4D24"/>
    <w:rsid w:val="002E5659"/>
    <w:rsid w:val="002F27C5"/>
    <w:rsid w:val="002F47CE"/>
    <w:rsid w:val="002F5DAA"/>
    <w:rsid w:val="00300C6E"/>
    <w:rsid w:val="00302D82"/>
    <w:rsid w:val="00310A67"/>
    <w:rsid w:val="00312BF3"/>
    <w:rsid w:val="00317567"/>
    <w:rsid w:val="003207B0"/>
    <w:rsid w:val="00321079"/>
    <w:rsid w:val="0032772A"/>
    <w:rsid w:val="00332119"/>
    <w:rsid w:val="00334272"/>
    <w:rsid w:val="003344D0"/>
    <w:rsid w:val="00336914"/>
    <w:rsid w:val="003415A5"/>
    <w:rsid w:val="00342B1C"/>
    <w:rsid w:val="00352A01"/>
    <w:rsid w:val="00356BA2"/>
    <w:rsid w:val="00356C2A"/>
    <w:rsid w:val="00357087"/>
    <w:rsid w:val="00357970"/>
    <w:rsid w:val="00364500"/>
    <w:rsid w:val="00365488"/>
    <w:rsid w:val="003763F3"/>
    <w:rsid w:val="00383434"/>
    <w:rsid w:val="0038630C"/>
    <w:rsid w:val="0038648C"/>
    <w:rsid w:val="00387347"/>
    <w:rsid w:val="003A2242"/>
    <w:rsid w:val="003A370A"/>
    <w:rsid w:val="003A4E65"/>
    <w:rsid w:val="003A6968"/>
    <w:rsid w:val="003A6C31"/>
    <w:rsid w:val="003B7222"/>
    <w:rsid w:val="003C0993"/>
    <w:rsid w:val="003C2293"/>
    <w:rsid w:val="003C3EB0"/>
    <w:rsid w:val="003C536E"/>
    <w:rsid w:val="003C5401"/>
    <w:rsid w:val="003C7DE7"/>
    <w:rsid w:val="003D0301"/>
    <w:rsid w:val="003D47FA"/>
    <w:rsid w:val="003D4FCA"/>
    <w:rsid w:val="003D59FD"/>
    <w:rsid w:val="003D6912"/>
    <w:rsid w:val="003E127A"/>
    <w:rsid w:val="003E1DFE"/>
    <w:rsid w:val="003E2628"/>
    <w:rsid w:val="003E371A"/>
    <w:rsid w:val="003E3F0A"/>
    <w:rsid w:val="003F204B"/>
    <w:rsid w:val="003F3419"/>
    <w:rsid w:val="004022CC"/>
    <w:rsid w:val="00402505"/>
    <w:rsid w:val="00403521"/>
    <w:rsid w:val="00404245"/>
    <w:rsid w:val="004046B5"/>
    <w:rsid w:val="0040520B"/>
    <w:rsid w:val="0040525B"/>
    <w:rsid w:val="00412B40"/>
    <w:rsid w:val="00421600"/>
    <w:rsid w:val="00421667"/>
    <w:rsid w:val="00421FDC"/>
    <w:rsid w:val="0043067D"/>
    <w:rsid w:val="00430FC0"/>
    <w:rsid w:val="004319A4"/>
    <w:rsid w:val="00433914"/>
    <w:rsid w:val="00436FEC"/>
    <w:rsid w:val="00443771"/>
    <w:rsid w:val="004471DB"/>
    <w:rsid w:val="004619A2"/>
    <w:rsid w:val="00461BCB"/>
    <w:rsid w:val="00463EBC"/>
    <w:rsid w:val="00465303"/>
    <w:rsid w:val="00467274"/>
    <w:rsid w:val="00470502"/>
    <w:rsid w:val="00470FAC"/>
    <w:rsid w:val="00471996"/>
    <w:rsid w:val="00483432"/>
    <w:rsid w:val="004839B0"/>
    <w:rsid w:val="00492317"/>
    <w:rsid w:val="00494D07"/>
    <w:rsid w:val="0049615E"/>
    <w:rsid w:val="00496A68"/>
    <w:rsid w:val="004A22EC"/>
    <w:rsid w:val="004A4F7B"/>
    <w:rsid w:val="004A53D6"/>
    <w:rsid w:val="004A5CBC"/>
    <w:rsid w:val="004B13DA"/>
    <w:rsid w:val="004B189A"/>
    <w:rsid w:val="004B50D7"/>
    <w:rsid w:val="004B7F5D"/>
    <w:rsid w:val="004C3404"/>
    <w:rsid w:val="004D2579"/>
    <w:rsid w:val="004E4CAC"/>
    <w:rsid w:val="004E4E1A"/>
    <w:rsid w:val="004E6B14"/>
    <w:rsid w:val="004E6BB9"/>
    <w:rsid w:val="004E7601"/>
    <w:rsid w:val="004F0622"/>
    <w:rsid w:val="004F31F4"/>
    <w:rsid w:val="004F3618"/>
    <w:rsid w:val="004F3F5F"/>
    <w:rsid w:val="004F5FD6"/>
    <w:rsid w:val="00500800"/>
    <w:rsid w:val="00501D09"/>
    <w:rsid w:val="005043E2"/>
    <w:rsid w:val="00505B12"/>
    <w:rsid w:val="005067EB"/>
    <w:rsid w:val="00506EF0"/>
    <w:rsid w:val="00517375"/>
    <w:rsid w:val="00526BED"/>
    <w:rsid w:val="00527216"/>
    <w:rsid w:val="00531C36"/>
    <w:rsid w:val="00537CC9"/>
    <w:rsid w:val="005456DC"/>
    <w:rsid w:val="00546B6C"/>
    <w:rsid w:val="00560697"/>
    <w:rsid w:val="0056152F"/>
    <w:rsid w:val="0056478B"/>
    <w:rsid w:val="00576348"/>
    <w:rsid w:val="005776B1"/>
    <w:rsid w:val="005803E1"/>
    <w:rsid w:val="00581789"/>
    <w:rsid w:val="00583E44"/>
    <w:rsid w:val="00590028"/>
    <w:rsid w:val="00590A4E"/>
    <w:rsid w:val="005965EA"/>
    <w:rsid w:val="0059747C"/>
    <w:rsid w:val="005A0D45"/>
    <w:rsid w:val="005B0E93"/>
    <w:rsid w:val="005B23CB"/>
    <w:rsid w:val="005B2DB9"/>
    <w:rsid w:val="005B5472"/>
    <w:rsid w:val="005B5695"/>
    <w:rsid w:val="005B59E9"/>
    <w:rsid w:val="005B7BDB"/>
    <w:rsid w:val="005C1757"/>
    <w:rsid w:val="005C2078"/>
    <w:rsid w:val="005C5C01"/>
    <w:rsid w:val="005C6F10"/>
    <w:rsid w:val="005D175A"/>
    <w:rsid w:val="005D196A"/>
    <w:rsid w:val="005D1EC7"/>
    <w:rsid w:val="005D276E"/>
    <w:rsid w:val="005D3366"/>
    <w:rsid w:val="005D569A"/>
    <w:rsid w:val="005E1455"/>
    <w:rsid w:val="005E3B9C"/>
    <w:rsid w:val="005E60F7"/>
    <w:rsid w:val="005E635D"/>
    <w:rsid w:val="005E665A"/>
    <w:rsid w:val="005F1B9D"/>
    <w:rsid w:val="005F6CB8"/>
    <w:rsid w:val="006062F8"/>
    <w:rsid w:val="006076A7"/>
    <w:rsid w:val="006204AD"/>
    <w:rsid w:val="00626E83"/>
    <w:rsid w:val="00627A4B"/>
    <w:rsid w:val="0063135B"/>
    <w:rsid w:val="00633EC5"/>
    <w:rsid w:val="00634F96"/>
    <w:rsid w:val="00637EA1"/>
    <w:rsid w:val="00640086"/>
    <w:rsid w:val="00643BF7"/>
    <w:rsid w:val="00662A9D"/>
    <w:rsid w:val="006632AA"/>
    <w:rsid w:val="00663DD2"/>
    <w:rsid w:val="0066575F"/>
    <w:rsid w:val="00666105"/>
    <w:rsid w:val="00666127"/>
    <w:rsid w:val="00666258"/>
    <w:rsid w:val="00666EE0"/>
    <w:rsid w:val="00670F9F"/>
    <w:rsid w:val="00673614"/>
    <w:rsid w:val="00674109"/>
    <w:rsid w:val="006758E8"/>
    <w:rsid w:val="00675E90"/>
    <w:rsid w:val="00680AFF"/>
    <w:rsid w:val="006810B7"/>
    <w:rsid w:val="00684A18"/>
    <w:rsid w:val="006869A6"/>
    <w:rsid w:val="006906F9"/>
    <w:rsid w:val="0069372A"/>
    <w:rsid w:val="00694CB8"/>
    <w:rsid w:val="006A064B"/>
    <w:rsid w:val="006A652F"/>
    <w:rsid w:val="006A702B"/>
    <w:rsid w:val="006B0472"/>
    <w:rsid w:val="006B05BF"/>
    <w:rsid w:val="006B1775"/>
    <w:rsid w:val="006B2DBA"/>
    <w:rsid w:val="006B524B"/>
    <w:rsid w:val="006C112C"/>
    <w:rsid w:val="006C4005"/>
    <w:rsid w:val="006C4812"/>
    <w:rsid w:val="006C6B59"/>
    <w:rsid w:val="006C7680"/>
    <w:rsid w:val="006D162C"/>
    <w:rsid w:val="006D6A6F"/>
    <w:rsid w:val="006E6657"/>
    <w:rsid w:val="006F19F8"/>
    <w:rsid w:val="006F2ADA"/>
    <w:rsid w:val="006F3B77"/>
    <w:rsid w:val="006F55AE"/>
    <w:rsid w:val="006F634D"/>
    <w:rsid w:val="006F63B1"/>
    <w:rsid w:val="00700C9B"/>
    <w:rsid w:val="0070130A"/>
    <w:rsid w:val="00703B19"/>
    <w:rsid w:val="00707B12"/>
    <w:rsid w:val="00715FE5"/>
    <w:rsid w:val="007168F1"/>
    <w:rsid w:val="00730594"/>
    <w:rsid w:val="00732928"/>
    <w:rsid w:val="00732ADB"/>
    <w:rsid w:val="00732C39"/>
    <w:rsid w:val="00735E49"/>
    <w:rsid w:val="00736235"/>
    <w:rsid w:val="00737E92"/>
    <w:rsid w:val="00737ECB"/>
    <w:rsid w:val="007415C1"/>
    <w:rsid w:val="00743512"/>
    <w:rsid w:val="00757A7F"/>
    <w:rsid w:val="00757EA2"/>
    <w:rsid w:val="0076676E"/>
    <w:rsid w:val="007718CF"/>
    <w:rsid w:val="00773A3A"/>
    <w:rsid w:val="0077475D"/>
    <w:rsid w:val="00780E7C"/>
    <w:rsid w:val="00781FC4"/>
    <w:rsid w:val="007830F2"/>
    <w:rsid w:val="0078695B"/>
    <w:rsid w:val="0079522D"/>
    <w:rsid w:val="007957B0"/>
    <w:rsid w:val="007957B7"/>
    <w:rsid w:val="007959F2"/>
    <w:rsid w:val="007A02CE"/>
    <w:rsid w:val="007B1410"/>
    <w:rsid w:val="007B1958"/>
    <w:rsid w:val="007B2798"/>
    <w:rsid w:val="007B3E7E"/>
    <w:rsid w:val="007B73F7"/>
    <w:rsid w:val="007B77CE"/>
    <w:rsid w:val="007C40F9"/>
    <w:rsid w:val="007C6148"/>
    <w:rsid w:val="007C6637"/>
    <w:rsid w:val="007C6ED9"/>
    <w:rsid w:val="007C79C2"/>
    <w:rsid w:val="007D25C4"/>
    <w:rsid w:val="007D49BB"/>
    <w:rsid w:val="007D59A8"/>
    <w:rsid w:val="007E0BE0"/>
    <w:rsid w:val="007E7C21"/>
    <w:rsid w:val="007F086D"/>
    <w:rsid w:val="007F6982"/>
    <w:rsid w:val="00802B2A"/>
    <w:rsid w:val="0080451D"/>
    <w:rsid w:val="008051C7"/>
    <w:rsid w:val="008101C8"/>
    <w:rsid w:val="00810F14"/>
    <w:rsid w:val="0081208E"/>
    <w:rsid w:val="00812133"/>
    <w:rsid w:val="00812AB2"/>
    <w:rsid w:val="0081327F"/>
    <w:rsid w:val="008143FE"/>
    <w:rsid w:val="008154DA"/>
    <w:rsid w:val="00815826"/>
    <w:rsid w:val="00817A3E"/>
    <w:rsid w:val="008201F1"/>
    <w:rsid w:val="00821A8B"/>
    <w:rsid w:val="0082503B"/>
    <w:rsid w:val="00825A59"/>
    <w:rsid w:val="00830D49"/>
    <w:rsid w:val="00832981"/>
    <w:rsid w:val="0083311D"/>
    <w:rsid w:val="00835503"/>
    <w:rsid w:val="00835AA6"/>
    <w:rsid w:val="008372F9"/>
    <w:rsid w:val="008504BF"/>
    <w:rsid w:val="00852392"/>
    <w:rsid w:val="00852708"/>
    <w:rsid w:val="008553A8"/>
    <w:rsid w:val="00855407"/>
    <w:rsid w:val="00855E90"/>
    <w:rsid w:val="008613B4"/>
    <w:rsid w:val="00861772"/>
    <w:rsid w:val="008774BA"/>
    <w:rsid w:val="0088030A"/>
    <w:rsid w:val="008813AA"/>
    <w:rsid w:val="0088376F"/>
    <w:rsid w:val="00886014"/>
    <w:rsid w:val="00886978"/>
    <w:rsid w:val="00890A50"/>
    <w:rsid w:val="008923D2"/>
    <w:rsid w:val="00896055"/>
    <w:rsid w:val="008A2014"/>
    <w:rsid w:val="008A3E12"/>
    <w:rsid w:val="008A670F"/>
    <w:rsid w:val="008B4AC2"/>
    <w:rsid w:val="008B608E"/>
    <w:rsid w:val="008B669C"/>
    <w:rsid w:val="008B7243"/>
    <w:rsid w:val="008C1C4D"/>
    <w:rsid w:val="008C2490"/>
    <w:rsid w:val="008C7E35"/>
    <w:rsid w:val="008C7FE6"/>
    <w:rsid w:val="008D1057"/>
    <w:rsid w:val="008D2996"/>
    <w:rsid w:val="008D29BF"/>
    <w:rsid w:val="008D2E48"/>
    <w:rsid w:val="008D4199"/>
    <w:rsid w:val="008D7C48"/>
    <w:rsid w:val="008E033A"/>
    <w:rsid w:val="008E1A26"/>
    <w:rsid w:val="008E1C77"/>
    <w:rsid w:val="008E7269"/>
    <w:rsid w:val="008E74F0"/>
    <w:rsid w:val="008F78CC"/>
    <w:rsid w:val="00902E62"/>
    <w:rsid w:val="00903177"/>
    <w:rsid w:val="009110A0"/>
    <w:rsid w:val="00920DC7"/>
    <w:rsid w:val="009233DD"/>
    <w:rsid w:val="009236BD"/>
    <w:rsid w:val="00924C37"/>
    <w:rsid w:val="009275DF"/>
    <w:rsid w:val="009317A1"/>
    <w:rsid w:val="00933499"/>
    <w:rsid w:val="00935324"/>
    <w:rsid w:val="00935D8C"/>
    <w:rsid w:val="00936693"/>
    <w:rsid w:val="00944658"/>
    <w:rsid w:val="0094735C"/>
    <w:rsid w:val="00955597"/>
    <w:rsid w:val="009626B3"/>
    <w:rsid w:val="00970474"/>
    <w:rsid w:val="00971317"/>
    <w:rsid w:val="00973B2F"/>
    <w:rsid w:val="00973C01"/>
    <w:rsid w:val="00974B6A"/>
    <w:rsid w:val="00977D7C"/>
    <w:rsid w:val="0098009E"/>
    <w:rsid w:val="0098182A"/>
    <w:rsid w:val="00981D18"/>
    <w:rsid w:val="009821E9"/>
    <w:rsid w:val="00983948"/>
    <w:rsid w:val="00984A69"/>
    <w:rsid w:val="00985954"/>
    <w:rsid w:val="0098743A"/>
    <w:rsid w:val="00990F1F"/>
    <w:rsid w:val="00992383"/>
    <w:rsid w:val="00996B7B"/>
    <w:rsid w:val="009A09A2"/>
    <w:rsid w:val="009A187F"/>
    <w:rsid w:val="009A1F9F"/>
    <w:rsid w:val="009A54D5"/>
    <w:rsid w:val="009A7B34"/>
    <w:rsid w:val="009B17B8"/>
    <w:rsid w:val="009B57A4"/>
    <w:rsid w:val="009B7791"/>
    <w:rsid w:val="009C02B4"/>
    <w:rsid w:val="009C22CE"/>
    <w:rsid w:val="009C4119"/>
    <w:rsid w:val="009C4CF0"/>
    <w:rsid w:val="009D036D"/>
    <w:rsid w:val="009D1794"/>
    <w:rsid w:val="009D1B0A"/>
    <w:rsid w:val="009D56FD"/>
    <w:rsid w:val="009E0BEB"/>
    <w:rsid w:val="009E385A"/>
    <w:rsid w:val="009E5039"/>
    <w:rsid w:val="009E670F"/>
    <w:rsid w:val="009E688B"/>
    <w:rsid w:val="009F3D54"/>
    <w:rsid w:val="009F74AA"/>
    <w:rsid w:val="00A0136E"/>
    <w:rsid w:val="00A025A5"/>
    <w:rsid w:val="00A04F13"/>
    <w:rsid w:val="00A05E79"/>
    <w:rsid w:val="00A11415"/>
    <w:rsid w:val="00A126E4"/>
    <w:rsid w:val="00A22DA1"/>
    <w:rsid w:val="00A237D5"/>
    <w:rsid w:val="00A23CEB"/>
    <w:rsid w:val="00A2725A"/>
    <w:rsid w:val="00A27CFE"/>
    <w:rsid w:val="00A30D4E"/>
    <w:rsid w:val="00A31143"/>
    <w:rsid w:val="00A321E9"/>
    <w:rsid w:val="00A41834"/>
    <w:rsid w:val="00A42151"/>
    <w:rsid w:val="00A426B5"/>
    <w:rsid w:val="00A42BE4"/>
    <w:rsid w:val="00A56D53"/>
    <w:rsid w:val="00A57B7C"/>
    <w:rsid w:val="00A64D36"/>
    <w:rsid w:val="00A7147D"/>
    <w:rsid w:val="00A74467"/>
    <w:rsid w:val="00A775D2"/>
    <w:rsid w:val="00A80247"/>
    <w:rsid w:val="00A83CF2"/>
    <w:rsid w:val="00A847DF"/>
    <w:rsid w:val="00A86FCF"/>
    <w:rsid w:val="00A90CAF"/>
    <w:rsid w:val="00A93AA9"/>
    <w:rsid w:val="00A96076"/>
    <w:rsid w:val="00A9671C"/>
    <w:rsid w:val="00A97AB4"/>
    <w:rsid w:val="00AA0F3D"/>
    <w:rsid w:val="00AA494F"/>
    <w:rsid w:val="00AB2218"/>
    <w:rsid w:val="00AB4BCD"/>
    <w:rsid w:val="00AC41B2"/>
    <w:rsid w:val="00AC6F6F"/>
    <w:rsid w:val="00AD1BFB"/>
    <w:rsid w:val="00AD3C1C"/>
    <w:rsid w:val="00AD7C74"/>
    <w:rsid w:val="00AE0125"/>
    <w:rsid w:val="00AF72BF"/>
    <w:rsid w:val="00AF744E"/>
    <w:rsid w:val="00AF7F56"/>
    <w:rsid w:val="00B002C1"/>
    <w:rsid w:val="00B04A7E"/>
    <w:rsid w:val="00B07C39"/>
    <w:rsid w:val="00B135DE"/>
    <w:rsid w:val="00B13E5C"/>
    <w:rsid w:val="00B171C8"/>
    <w:rsid w:val="00B17C38"/>
    <w:rsid w:val="00B21177"/>
    <w:rsid w:val="00B22A20"/>
    <w:rsid w:val="00B26F30"/>
    <w:rsid w:val="00B405F4"/>
    <w:rsid w:val="00B40C98"/>
    <w:rsid w:val="00B44078"/>
    <w:rsid w:val="00B45155"/>
    <w:rsid w:val="00B46499"/>
    <w:rsid w:val="00B50334"/>
    <w:rsid w:val="00B5239A"/>
    <w:rsid w:val="00B53339"/>
    <w:rsid w:val="00B5479B"/>
    <w:rsid w:val="00B56767"/>
    <w:rsid w:val="00B61FCA"/>
    <w:rsid w:val="00B6508C"/>
    <w:rsid w:val="00B658A5"/>
    <w:rsid w:val="00B664A4"/>
    <w:rsid w:val="00B67B3E"/>
    <w:rsid w:val="00B726CA"/>
    <w:rsid w:val="00B74672"/>
    <w:rsid w:val="00B8197B"/>
    <w:rsid w:val="00B91F00"/>
    <w:rsid w:val="00BA144D"/>
    <w:rsid w:val="00BA249F"/>
    <w:rsid w:val="00BA3E39"/>
    <w:rsid w:val="00BA44A5"/>
    <w:rsid w:val="00BA5B3E"/>
    <w:rsid w:val="00BB6055"/>
    <w:rsid w:val="00BB6FAC"/>
    <w:rsid w:val="00BC2A0C"/>
    <w:rsid w:val="00BD0FEB"/>
    <w:rsid w:val="00BD180A"/>
    <w:rsid w:val="00BD1EAF"/>
    <w:rsid w:val="00BD1ED9"/>
    <w:rsid w:val="00BD250B"/>
    <w:rsid w:val="00BD2C0E"/>
    <w:rsid w:val="00BD2CFF"/>
    <w:rsid w:val="00BD3CA4"/>
    <w:rsid w:val="00BD4451"/>
    <w:rsid w:val="00BE007B"/>
    <w:rsid w:val="00BE00A0"/>
    <w:rsid w:val="00BE0821"/>
    <w:rsid w:val="00BE44D2"/>
    <w:rsid w:val="00BF2E30"/>
    <w:rsid w:val="00BF308D"/>
    <w:rsid w:val="00BF4D8A"/>
    <w:rsid w:val="00BF5449"/>
    <w:rsid w:val="00C0083E"/>
    <w:rsid w:val="00C029C7"/>
    <w:rsid w:val="00C03C56"/>
    <w:rsid w:val="00C06D79"/>
    <w:rsid w:val="00C1205D"/>
    <w:rsid w:val="00C136E4"/>
    <w:rsid w:val="00C1421B"/>
    <w:rsid w:val="00C143A1"/>
    <w:rsid w:val="00C17F31"/>
    <w:rsid w:val="00C2147C"/>
    <w:rsid w:val="00C22BDD"/>
    <w:rsid w:val="00C24604"/>
    <w:rsid w:val="00C24D55"/>
    <w:rsid w:val="00C25BE6"/>
    <w:rsid w:val="00C25E7D"/>
    <w:rsid w:val="00C2647C"/>
    <w:rsid w:val="00C268AF"/>
    <w:rsid w:val="00C27EAD"/>
    <w:rsid w:val="00C30E52"/>
    <w:rsid w:val="00C34169"/>
    <w:rsid w:val="00C37537"/>
    <w:rsid w:val="00C37BF4"/>
    <w:rsid w:val="00C41313"/>
    <w:rsid w:val="00C4266C"/>
    <w:rsid w:val="00C42B43"/>
    <w:rsid w:val="00C5614D"/>
    <w:rsid w:val="00C60766"/>
    <w:rsid w:val="00C61EB9"/>
    <w:rsid w:val="00C62028"/>
    <w:rsid w:val="00C62C02"/>
    <w:rsid w:val="00C62DD0"/>
    <w:rsid w:val="00C660D0"/>
    <w:rsid w:val="00C70813"/>
    <w:rsid w:val="00C70A6E"/>
    <w:rsid w:val="00C7121F"/>
    <w:rsid w:val="00C715B0"/>
    <w:rsid w:val="00C71FEA"/>
    <w:rsid w:val="00C75BAD"/>
    <w:rsid w:val="00C8045D"/>
    <w:rsid w:val="00C808B9"/>
    <w:rsid w:val="00C817CE"/>
    <w:rsid w:val="00C8258A"/>
    <w:rsid w:val="00C83395"/>
    <w:rsid w:val="00C84051"/>
    <w:rsid w:val="00C864DF"/>
    <w:rsid w:val="00C87883"/>
    <w:rsid w:val="00C912E4"/>
    <w:rsid w:val="00C95474"/>
    <w:rsid w:val="00CA06AD"/>
    <w:rsid w:val="00CA3BDF"/>
    <w:rsid w:val="00CA3F84"/>
    <w:rsid w:val="00CA612C"/>
    <w:rsid w:val="00CB0F07"/>
    <w:rsid w:val="00CB5359"/>
    <w:rsid w:val="00CB5670"/>
    <w:rsid w:val="00CB665F"/>
    <w:rsid w:val="00CB7129"/>
    <w:rsid w:val="00CC158F"/>
    <w:rsid w:val="00CC4B39"/>
    <w:rsid w:val="00CC5B18"/>
    <w:rsid w:val="00CD21F4"/>
    <w:rsid w:val="00CD3746"/>
    <w:rsid w:val="00CE1F98"/>
    <w:rsid w:val="00CE262A"/>
    <w:rsid w:val="00CE75A9"/>
    <w:rsid w:val="00CF4083"/>
    <w:rsid w:val="00CF5AAC"/>
    <w:rsid w:val="00D02C99"/>
    <w:rsid w:val="00D1231C"/>
    <w:rsid w:val="00D1362F"/>
    <w:rsid w:val="00D15E15"/>
    <w:rsid w:val="00D16D92"/>
    <w:rsid w:val="00D212F2"/>
    <w:rsid w:val="00D22A94"/>
    <w:rsid w:val="00D30316"/>
    <w:rsid w:val="00D309CD"/>
    <w:rsid w:val="00D36ACF"/>
    <w:rsid w:val="00D41F5B"/>
    <w:rsid w:val="00D420AA"/>
    <w:rsid w:val="00D429C9"/>
    <w:rsid w:val="00D42F15"/>
    <w:rsid w:val="00D51F4C"/>
    <w:rsid w:val="00D54076"/>
    <w:rsid w:val="00D545F6"/>
    <w:rsid w:val="00D55D18"/>
    <w:rsid w:val="00D742F0"/>
    <w:rsid w:val="00D755D1"/>
    <w:rsid w:val="00D876E5"/>
    <w:rsid w:val="00D90280"/>
    <w:rsid w:val="00D921CC"/>
    <w:rsid w:val="00D924E1"/>
    <w:rsid w:val="00D9474E"/>
    <w:rsid w:val="00D9476B"/>
    <w:rsid w:val="00DA3617"/>
    <w:rsid w:val="00DA486B"/>
    <w:rsid w:val="00DB05FB"/>
    <w:rsid w:val="00DB2002"/>
    <w:rsid w:val="00DB3E12"/>
    <w:rsid w:val="00DB7EDC"/>
    <w:rsid w:val="00DC0A0C"/>
    <w:rsid w:val="00DE5C1E"/>
    <w:rsid w:val="00DE5C55"/>
    <w:rsid w:val="00DE6983"/>
    <w:rsid w:val="00DF404A"/>
    <w:rsid w:val="00DF4964"/>
    <w:rsid w:val="00DF5251"/>
    <w:rsid w:val="00E04C2A"/>
    <w:rsid w:val="00E1342C"/>
    <w:rsid w:val="00E155B5"/>
    <w:rsid w:val="00E15C4D"/>
    <w:rsid w:val="00E160C4"/>
    <w:rsid w:val="00E16E69"/>
    <w:rsid w:val="00E17EAD"/>
    <w:rsid w:val="00E20471"/>
    <w:rsid w:val="00E24EE8"/>
    <w:rsid w:val="00E2529F"/>
    <w:rsid w:val="00E30075"/>
    <w:rsid w:val="00E3167E"/>
    <w:rsid w:val="00E31C42"/>
    <w:rsid w:val="00E325E0"/>
    <w:rsid w:val="00E335DE"/>
    <w:rsid w:val="00E3389D"/>
    <w:rsid w:val="00E34505"/>
    <w:rsid w:val="00E3622B"/>
    <w:rsid w:val="00E36A47"/>
    <w:rsid w:val="00E37918"/>
    <w:rsid w:val="00E4052A"/>
    <w:rsid w:val="00E42CAD"/>
    <w:rsid w:val="00E440A4"/>
    <w:rsid w:val="00E44E7F"/>
    <w:rsid w:val="00E45DAE"/>
    <w:rsid w:val="00E504FA"/>
    <w:rsid w:val="00E5181A"/>
    <w:rsid w:val="00E56341"/>
    <w:rsid w:val="00E56EBE"/>
    <w:rsid w:val="00E57BF9"/>
    <w:rsid w:val="00E57CA4"/>
    <w:rsid w:val="00E6150A"/>
    <w:rsid w:val="00E7043D"/>
    <w:rsid w:val="00E72020"/>
    <w:rsid w:val="00E806F6"/>
    <w:rsid w:val="00E80DB7"/>
    <w:rsid w:val="00E828D3"/>
    <w:rsid w:val="00E847C4"/>
    <w:rsid w:val="00E84E62"/>
    <w:rsid w:val="00E851A6"/>
    <w:rsid w:val="00E8563E"/>
    <w:rsid w:val="00E86860"/>
    <w:rsid w:val="00E87488"/>
    <w:rsid w:val="00E9133D"/>
    <w:rsid w:val="00E917A6"/>
    <w:rsid w:val="00E9215E"/>
    <w:rsid w:val="00E94999"/>
    <w:rsid w:val="00E9737F"/>
    <w:rsid w:val="00E97FBA"/>
    <w:rsid w:val="00EA549D"/>
    <w:rsid w:val="00EB0A02"/>
    <w:rsid w:val="00EB1E18"/>
    <w:rsid w:val="00EB7B2D"/>
    <w:rsid w:val="00EC0356"/>
    <w:rsid w:val="00EC0C2E"/>
    <w:rsid w:val="00EC4F6F"/>
    <w:rsid w:val="00ED142F"/>
    <w:rsid w:val="00ED5512"/>
    <w:rsid w:val="00ED5AD9"/>
    <w:rsid w:val="00ED678F"/>
    <w:rsid w:val="00EE078C"/>
    <w:rsid w:val="00EE0D6C"/>
    <w:rsid w:val="00EE3E10"/>
    <w:rsid w:val="00EE3F73"/>
    <w:rsid w:val="00EE4982"/>
    <w:rsid w:val="00EF29F4"/>
    <w:rsid w:val="00EF3E9E"/>
    <w:rsid w:val="00EF57B9"/>
    <w:rsid w:val="00F02C82"/>
    <w:rsid w:val="00F0681D"/>
    <w:rsid w:val="00F12E02"/>
    <w:rsid w:val="00F16BAE"/>
    <w:rsid w:val="00F17A61"/>
    <w:rsid w:val="00F24B2D"/>
    <w:rsid w:val="00F25373"/>
    <w:rsid w:val="00F27355"/>
    <w:rsid w:val="00F36FBD"/>
    <w:rsid w:val="00F40E90"/>
    <w:rsid w:val="00F42BA8"/>
    <w:rsid w:val="00F42C95"/>
    <w:rsid w:val="00F45A29"/>
    <w:rsid w:val="00F46B2E"/>
    <w:rsid w:val="00F47E05"/>
    <w:rsid w:val="00F5278E"/>
    <w:rsid w:val="00F55484"/>
    <w:rsid w:val="00F561E0"/>
    <w:rsid w:val="00F608C1"/>
    <w:rsid w:val="00F678C2"/>
    <w:rsid w:val="00F703A1"/>
    <w:rsid w:val="00F721CC"/>
    <w:rsid w:val="00F75624"/>
    <w:rsid w:val="00F77893"/>
    <w:rsid w:val="00F80052"/>
    <w:rsid w:val="00F80B60"/>
    <w:rsid w:val="00F8507E"/>
    <w:rsid w:val="00F91E97"/>
    <w:rsid w:val="00F93615"/>
    <w:rsid w:val="00F9509E"/>
    <w:rsid w:val="00F954BD"/>
    <w:rsid w:val="00FA128D"/>
    <w:rsid w:val="00FA13CC"/>
    <w:rsid w:val="00FA504C"/>
    <w:rsid w:val="00FA76C0"/>
    <w:rsid w:val="00FA77A8"/>
    <w:rsid w:val="00FB073F"/>
    <w:rsid w:val="00FB56CD"/>
    <w:rsid w:val="00FB5A7B"/>
    <w:rsid w:val="00FB64F3"/>
    <w:rsid w:val="00FC15E9"/>
    <w:rsid w:val="00FC18B6"/>
    <w:rsid w:val="00FD0B1A"/>
    <w:rsid w:val="00FD1768"/>
    <w:rsid w:val="00FD491A"/>
    <w:rsid w:val="00FE4DEB"/>
    <w:rsid w:val="00FE4EFE"/>
    <w:rsid w:val="00FE61D0"/>
    <w:rsid w:val="00FF274F"/>
    <w:rsid w:val="00FF337C"/>
    <w:rsid w:val="00FF598F"/>
    <w:rsid w:val="00FF5BF5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4iawc">
    <w:name w:val="q4iawc"/>
    <w:basedOn w:val="Standardnpsmoodstavce"/>
    <w:rsid w:val="00890A50"/>
  </w:style>
  <w:style w:type="paragraph" w:styleId="Odstavecseseznamem">
    <w:name w:val="List Paragraph"/>
    <w:basedOn w:val="Normln"/>
    <w:uiPriority w:val="34"/>
    <w:qFormat/>
    <w:rsid w:val="00F561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3E1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3E1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E12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5A0D4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48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1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2F1"/>
  </w:style>
  <w:style w:type="paragraph" w:styleId="Zpat">
    <w:name w:val="footer"/>
    <w:basedOn w:val="Normln"/>
    <w:link w:val="Zpat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2F1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30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4iawc">
    <w:name w:val="q4iawc"/>
    <w:basedOn w:val="Standardnpsmoodstavce"/>
    <w:rsid w:val="00890A50"/>
  </w:style>
  <w:style w:type="paragraph" w:styleId="Odstavecseseznamem">
    <w:name w:val="List Paragraph"/>
    <w:basedOn w:val="Normln"/>
    <w:uiPriority w:val="34"/>
    <w:qFormat/>
    <w:rsid w:val="00F561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3E1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3E1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E12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5A0D4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48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1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2F1"/>
  </w:style>
  <w:style w:type="paragraph" w:styleId="Zpat">
    <w:name w:val="footer"/>
    <w:basedOn w:val="Normln"/>
    <w:link w:val="Zpat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2F1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3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70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6735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212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4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3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zp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smo.org/guidelines/esmo-mcbs/esmo-mcbs-scorecard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sukl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1430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Jaroslav, Mgr.</dc:creator>
  <cp:keywords/>
  <dc:description/>
  <cp:lastModifiedBy>Dudovi</cp:lastModifiedBy>
  <cp:revision>188</cp:revision>
  <cp:lastPrinted>2022-09-30T16:15:00Z</cp:lastPrinted>
  <dcterms:created xsi:type="dcterms:W3CDTF">2022-09-27T16:11:00Z</dcterms:created>
  <dcterms:modified xsi:type="dcterms:W3CDTF">2022-09-30T18:16:00Z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492c23bfb30de9d3d0a76badc6cbbe91d5ffa9aca1fde406e817679b826315ac</vt:lpwstr>
  </property>
</Properties>
</file>