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D8" w:rsidRDefault="00BA769D" w:rsidP="00AF4605">
      <w:pPr>
        <w:spacing w:after="0"/>
      </w:pPr>
      <w:r>
        <w:t xml:space="preserve">Přípravek </w:t>
      </w:r>
      <w:proofErr w:type="spellStart"/>
      <w:r>
        <w:t>Mylotarg</w:t>
      </w:r>
      <w:proofErr w:type="spellEnd"/>
      <w:r w:rsidR="00AF4605">
        <w:t xml:space="preserve"> bude v ČR hrazen za následujících podmínek</w:t>
      </w:r>
      <w:r w:rsidR="000C7237">
        <w:t xml:space="preserve"> </w:t>
      </w:r>
      <w:r w:rsidR="000C7237">
        <w:rPr>
          <w:rFonts w:cstheme="minorHAnsi"/>
        </w:rPr>
        <w:t>[1]</w:t>
      </w:r>
      <w:r w:rsidR="00AF4605">
        <w:t xml:space="preserve">: </w:t>
      </w:r>
    </w:p>
    <w:p w:rsidR="00AF4605" w:rsidRDefault="00AF4605" w:rsidP="009B7A13">
      <w:pPr>
        <w:pStyle w:val="Odstavecseseznamem"/>
        <w:numPr>
          <w:ilvl w:val="0"/>
          <w:numId w:val="1"/>
        </w:numPr>
        <w:jc w:val="both"/>
      </w:pPr>
      <w:r w:rsidRPr="00AF4605">
        <w:t xml:space="preserve">v kombinaci s </w:t>
      </w:r>
      <w:proofErr w:type="spellStart"/>
      <w:r w:rsidRPr="00AF4605">
        <w:t>cytarabinem</w:t>
      </w:r>
      <w:proofErr w:type="spellEnd"/>
      <w:r w:rsidRPr="00AF4605">
        <w:t xml:space="preserve"> a </w:t>
      </w:r>
      <w:proofErr w:type="spellStart"/>
      <w:r w:rsidRPr="00AF4605">
        <w:t>daunorubicinem</w:t>
      </w:r>
      <w:proofErr w:type="spellEnd"/>
      <w:r w:rsidRPr="00AF4605">
        <w:t xml:space="preserve"> u pacientů starších 15 </w:t>
      </w:r>
      <w:r w:rsidRPr="00023F7F">
        <w:rPr>
          <w:b/>
        </w:rPr>
        <w:t xml:space="preserve">let s dříve neléčenou de </w:t>
      </w:r>
      <w:proofErr w:type="gramStart"/>
      <w:r w:rsidRPr="00023F7F">
        <w:rPr>
          <w:b/>
        </w:rPr>
        <w:t>novo</w:t>
      </w:r>
      <w:proofErr w:type="gramEnd"/>
      <w:r w:rsidRPr="00023F7F">
        <w:rPr>
          <w:b/>
        </w:rPr>
        <w:t xml:space="preserve"> CD33-pozitivní primární akutní myeloidní leukémií, kteří mají příznivé (</w:t>
      </w:r>
      <w:proofErr w:type="spellStart"/>
      <w:r w:rsidRPr="00023F7F">
        <w:rPr>
          <w:b/>
        </w:rPr>
        <w:t>favourable</w:t>
      </w:r>
      <w:proofErr w:type="spellEnd"/>
      <w:r w:rsidRPr="00023F7F">
        <w:rPr>
          <w:b/>
        </w:rPr>
        <w:t>) nebo střední (</w:t>
      </w:r>
      <w:proofErr w:type="spellStart"/>
      <w:r w:rsidRPr="00023F7F">
        <w:rPr>
          <w:b/>
        </w:rPr>
        <w:t>intermediate</w:t>
      </w:r>
      <w:proofErr w:type="spellEnd"/>
      <w:r w:rsidRPr="00023F7F">
        <w:rPr>
          <w:b/>
        </w:rPr>
        <w:t>) cytogenetické riziko</w:t>
      </w:r>
      <w:r w:rsidRPr="00AF4605">
        <w:t xml:space="preserve"> a stav výkonnosti  0-1 dle ECOG (stav výkonnosti ECOG 2 je přípustný, pouze pokud pacient netrpí významnými </w:t>
      </w:r>
      <w:proofErr w:type="spellStart"/>
      <w:r w:rsidRPr="00AF4605">
        <w:t>komorbiditami</w:t>
      </w:r>
      <w:proofErr w:type="spellEnd"/>
      <w:r w:rsidRPr="00AF4605">
        <w:t xml:space="preserve"> s významným vlivem na očekávanou délku života a jeho srdeční funkce je v normě), s výjimkou akutní </w:t>
      </w:r>
      <w:proofErr w:type="spellStart"/>
      <w:r w:rsidRPr="00AF4605">
        <w:t>promyelotické</w:t>
      </w:r>
      <w:proofErr w:type="spellEnd"/>
      <w:r w:rsidRPr="00AF4605">
        <w:t xml:space="preserve"> leukémie. </w:t>
      </w:r>
      <w:proofErr w:type="spellStart"/>
      <w:r w:rsidRPr="00AF4605">
        <w:t>Gemtuzumab</w:t>
      </w:r>
      <w:proofErr w:type="spellEnd"/>
      <w:r w:rsidRPr="00AF4605">
        <w:t xml:space="preserve"> </w:t>
      </w:r>
      <w:proofErr w:type="spellStart"/>
      <w:r w:rsidRPr="00AF4605">
        <w:t>ozogamicin</w:t>
      </w:r>
      <w:proofErr w:type="spellEnd"/>
      <w:r w:rsidRPr="00AF4605">
        <w:t xml:space="preserve"> je hrazen během 1. indukční fáze terapie a u pacientů, kteří dosáhli kompletní remise, následně též maximálně ve dvou fázích konsolidační terapie.</w:t>
      </w:r>
    </w:p>
    <w:p w:rsidR="009B4ABA" w:rsidRDefault="009B4ABA" w:rsidP="006D07BB">
      <w:pPr>
        <w:pStyle w:val="Odstavecseseznamem"/>
        <w:spacing w:after="0"/>
        <w:ind w:left="0"/>
        <w:jc w:val="both"/>
      </w:pPr>
    </w:p>
    <w:p w:rsidR="00015AB4" w:rsidRDefault="009B4ABA" w:rsidP="006D07BB">
      <w:pPr>
        <w:pStyle w:val="Odstavecseseznamem"/>
        <w:spacing w:after="0"/>
        <w:ind w:left="0"/>
        <w:jc w:val="both"/>
        <w:rPr>
          <w:rFonts w:cstheme="minorHAnsi"/>
        </w:rPr>
      </w:pPr>
      <w:r w:rsidRPr="001E3F77">
        <w:rPr>
          <w:u w:val="single"/>
        </w:rPr>
        <w:t xml:space="preserve">Klinická účinnost </w:t>
      </w:r>
      <w:proofErr w:type="spellStart"/>
      <w:r w:rsidR="0099076A" w:rsidRPr="00737783">
        <w:rPr>
          <w:highlight w:val="yellow"/>
          <w:u w:val="single"/>
        </w:rPr>
        <w:t>gemtuzumabu</w:t>
      </w:r>
      <w:proofErr w:type="spellEnd"/>
      <w:r w:rsidR="0099076A" w:rsidRPr="00737783">
        <w:rPr>
          <w:highlight w:val="yellow"/>
          <w:u w:val="single"/>
        </w:rPr>
        <w:t xml:space="preserve"> </w:t>
      </w:r>
      <w:proofErr w:type="spellStart"/>
      <w:r w:rsidR="0099076A" w:rsidRPr="00737783">
        <w:rPr>
          <w:highlight w:val="yellow"/>
          <w:u w:val="single"/>
        </w:rPr>
        <w:t>ozogamicinu</w:t>
      </w:r>
      <w:proofErr w:type="spellEnd"/>
      <w:r w:rsidR="0099076A" w:rsidRPr="00737783">
        <w:rPr>
          <w:highlight w:val="yellow"/>
        </w:rPr>
        <w:t xml:space="preserve"> (dále jen „GO“)</w:t>
      </w:r>
      <w:r w:rsidR="0099076A">
        <w:t xml:space="preserve"> </w:t>
      </w:r>
      <w:r>
        <w:t xml:space="preserve">je založena primárně na výsledcích jedné </w:t>
      </w:r>
      <w:proofErr w:type="spellStart"/>
      <w:r>
        <w:t>random</w:t>
      </w:r>
      <w:proofErr w:type="spellEnd"/>
      <w:r>
        <w:t>.</w:t>
      </w:r>
      <w:r w:rsidR="0099076A">
        <w:t xml:space="preserve"> </w:t>
      </w:r>
      <w:r>
        <w:t>klinické studii u dospělých s</w:t>
      </w:r>
      <w:r w:rsidR="00D91F50">
        <w:t> </w:t>
      </w:r>
      <w:r>
        <w:t>AML</w:t>
      </w:r>
      <w:r w:rsidR="00D91F50">
        <w:t xml:space="preserve"> </w:t>
      </w:r>
      <w:r w:rsidR="00D91F50">
        <w:rPr>
          <w:rFonts w:cstheme="minorHAnsi"/>
        </w:rPr>
        <w:t>[4]</w:t>
      </w:r>
      <w:r>
        <w:t>, která prokázala statisticky vý</w:t>
      </w:r>
      <w:r w:rsidR="003C6CBD">
        <w:t>znamný přínos v EFS (přežití bez příhody) pro GO ve srovnání se </w:t>
      </w:r>
      <w:r w:rsidR="003C6CBD" w:rsidRPr="00737783">
        <w:rPr>
          <w:highlight w:val="yellow"/>
        </w:rPr>
        <w:t>standardní kombinační CHT</w:t>
      </w:r>
      <w:r w:rsidR="00D91F50" w:rsidRPr="00737783">
        <w:rPr>
          <w:highlight w:val="yellow"/>
        </w:rPr>
        <w:t xml:space="preserve"> (dále jen „SOC“)</w:t>
      </w:r>
      <w:r w:rsidR="003C6CBD" w:rsidRPr="00737783">
        <w:rPr>
          <w:highlight w:val="yellow"/>
        </w:rPr>
        <w:t xml:space="preserve"> </w:t>
      </w:r>
      <w:proofErr w:type="spellStart"/>
      <w:r w:rsidR="003C6CBD" w:rsidRPr="00737783">
        <w:rPr>
          <w:highlight w:val="yellow"/>
        </w:rPr>
        <w:t>daunorubicin</w:t>
      </w:r>
      <w:proofErr w:type="spellEnd"/>
      <w:r w:rsidR="003C6CBD" w:rsidRPr="00737783">
        <w:rPr>
          <w:highlight w:val="yellow"/>
        </w:rPr>
        <w:t xml:space="preserve"> s</w:t>
      </w:r>
      <w:r w:rsidR="00DA182D" w:rsidRPr="00737783">
        <w:rPr>
          <w:highlight w:val="yellow"/>
        </w:rPr>
        <w:t> </w:t>
      </w:r>
      <w:proofErr w:type="spellStart"/>
      <w:r w:rsidR="003C6CBD" w:rsidRPr="00737783">
        <w:rPr>
          <w:highlight w:val="yellow"/>
        </w:rPr>
        <w:t>cytarabinem</w:t>
      </w:r>
      <w:proofErr w:type="spellEnd"/>
      <w:r w:rsidR="00DA182D" w:rsidRPr="00737783">
        <w:rPr>
          <w:highlight w:val="yellow"/>
        </w:rPr>
        <w:t xml:space="preserve"> (dále jen „DC“</w:t>
      </w:r>
      <w:r w:rsidR="00DA182D">
        <w:t>)</w:t>
      </w:r>
      <w:r w:rsidR="003C6CBD">
        <w:t xml:space="preserve"> v indukční a konsolidační terapii</w:t>
      </w:r>
      <w:r w:rsidR="00140216">
        <w:t xml:space="preserve">. Tyto výsledky </w:t>
      </w:r>
      <w:r w:rsidR="00D91F50">
        <w:t xml:space="preserve">jsou dále podporovány </w:t>
      </w:r>
      <w:proofErr w:type="spellStart"/>
      <w:r w:rsidR="00D91F50">
        <w:t>metaanalýzou</w:t>
      </w:r>
      <w:proofErr w:type="spellEnd"/>
      <w:r w:rsidR="00D91F50">
        <w:t xml:space="preserve"> výše uvedené </w:t>
      </w:r>
      <w:proofErr w:type="gramStart"/>
      <w:r w:rsidR="00D91F50">
        <w:t>studie  se</w:t>
      </w:r>
      <w:proofErr w:type="gramEnd"/>
      <w:r w:rsidR="00D91F50">
        <w:t xml:space="preserve"> 4 dalšími </w:t>
      </w:r>
      <w:proofErr w:type="spellStart"/>
      <w:r w:rsidR="00D91F50">
        <w:t>random</w:t>
      </w:r>
      <w:proofErr w:type="spellEnd"/>
      <w:r w:rsidR="00D91F50">
        <w:t xml:space="preserve">. klinickými studiemi, které zkoumaly roli GO přidaného k SOC u neléčených dospělých s AML </w:t>
      </w:r>
      <w:r w:rsidR="00D91F50" w:rsidRPr="00015AB4">
        <w:rPr>
          <w:rFonts w:cstheme="minorHAnsi"/>
        </w:rPr>
        <w:t>[3]</w:t>
      </w:r>
      <w:r w:rsidR="00D91F50">
        <w:rPr>
          <w:rFonts w:cstheme="minorHAnsi"/>
        </w:rPr>
        <w:t xml:space="preserve">. </w:t>
      </w:r>
      <w:r w:rsidR="00D91F50" w:rsidRPr="00BE3A47">
        <w:rPr>
          <w:rFonts w:cstheme="minorHAnsi"/>
          <w:highlight w:val="yellow"/>
          <w:u w:val="single"/>
        </w:rPr>
        <w:t xml:space="preserve">Podle těchto dat je klinický přínos </w:t>
      </w:r>
      <w:r w:rsidR="00226FED" w:rsidRPr="00BE3A47">
        <w:rPr>
          <w:rFonts w:cstheme="minorHAnsi"/>
          <w:highlight w:val="yellow"/>
          <w:u w:val="single"/>
        </w:rPr>
        <w:t xml:space="preserve">GO jen u pacientů s příznivým či středním cytogenetickým rizikem, u pacientů s nepříznivým cytogenetickým rizikem nebyl s přidáním GO zaznamenán klinický </w:t>
      </w:r>
      <w:proofErr w:type="gramStart"/>
      <w:r w:rsidR="00226FED" w:rsidRPr="00BE3A47">
        <w:rPr>
          <w:rFonts w:cstheme="minorHAnsi"/>
          <w:highlight w:val="yellow"/>
          <w:u w:val="single"/>
        </w:rPr>
        <w:t>přínos</w:t>
      </w:r>
      <w:r w:rsidR="0099076A" w:rsidRPr="00BE3A47">
        <w:rPr>
          <w:rFonts w:cstheme="minorHAnsi"/>
          <w:highlight w:val="yellow"/>
          <w:u w:val="single"/>
        </w:rPr>
        <w:t>.</w:t>
      </w:r>
      <w:r w:rsidR="00226FED">
        <w:rPr>
          <w:rFonts w:cstheme="minorHAnsi"/>
        </w:rPr>
        <w:t xml:space="preserve"> </w:t>
      </w:r>
      <w:r w:rsidR="00226FED" w:rsidRPr="00FF3879">
        <w:rPr>
          <w:rFonts w:cstheme="minorHAnsi"/>
        </w:rPr>
        <w:t>[</w:t>
      </w:r>
      <w:r w:rsidR="00226FED">
        <w:rPr>
          <w:rFonts w:cstheme="minorHAnsi"/>
        </w:rPr>
        <w:t>2</w:t>
      </w:r>
      <w:r w:rsidR="00226FED" w:rsidRPr="00FF3879">
        <w:rPr>
          <w:rFonts w:cstheme="minorHAnsi"/>
        </w:rPr>
        <w:t>]</w:t>
      </w:r>
      <w:r w:rsidR="00654C1B">
        <w:rPr>
          <w:rFonts w:cstheme="minorHAnsi"/>
        </w:rPr>
        <w:t xml:space="preserve">   </w:t>
      </w:r>
      <w:r w:rsidR="00654C1B" w:rsidRPr="00654C1B">
        <w:rPr>
          <w:rFonts w:cstheme="minorHAnsi"/>
        </w:rPr>
        <w:t>Dávka</w:t>
      </w:r>
      <w:proofErr w:type="gramEnd"/>
      <w:r w:rsidR="0049101A">
        <w:rPr>
          <w:rFonts w:cstheme="minorHAnsi"/>
        </w:rPr>
        <w:t xml:space="preserve"> GO</w:t>
      </w:r>
      <w:r w:rsidR="00654C1B" w:rsidRPr="00654C1B">
        <w:rPr>
          <w:rFonts w:cstheme="minorHAnsi"/>
        </w:rPr>
        <w:t xml:space="preserve"> 3mg/m2 byla shledána jako srovnatelně účinná a méně toxick</w:t>
      </w:r>
      <w:r w:rsidR="00654C1B">
        <w:rPr>
          <w:rFonts w:cstheme="minorHAnsi"/>
        </w:rPr>
        <w:t>á ve srovnání s vyššími dávkami [1].</w:t>
      </w:r>
    </w:p>
    <w:p w:rsidR="0099076A" w:rsidRDefault="00E36375" w:rsidP="006D07BB">
      <w:pPr>
        <w:pStyle w:val="Odstavecseseznamem"/>
        <w:spacing w:after="0"/>
        <w:ind w:left="0"/>
        <w:jc w:val="both"/>
      </w:pPr>
      <w:r>
        <w:t xml:space="preserve">Dle </w:t>
      </w:r>
      <w:r>
        <w:rPr>
          <w:rFonts w:cstheme="minorHAnsi"/>
        </w:rPr>
        <w:t>[1] je</w:t>
      </w:r>
      <w:r>
        <w:t xml:space="preserve"> </w:t>
      </w:r>
      <w:r w:rsidR="003D0E11">
        <w:t>GO</w:t>
      </w:r>
      <w:r>
        <w:t>: „</w:t>
      </w:r>
      <w:r w:rsidR="003D0E11" w:rsidRPr="003D0E11">
        <w:t xml:space="preserve"> </w:t>
      </w:r>
      <w:proofErr w:type="spellStart"/>
      <w:r w:rsidR="003D0E11" w:rsidRPr="00077CF3">
        <w:rPr>
          <w:i/>
        </w:rPr>
        <w:t>konjugát</w:t>
      </w:r>
      <w:proofErr w:type="spellEnd"/>
      <w:r w:rsidR="003D0E11" w:rsidRPr="00077CF3">
        <w:rPr>
          <w:i/>
        </w:rPr>
        <w:t xml:space="preserve"> protilátka - léčivo cílený proti </w:t>
      </w:r>
      <w:proofErr w:type="gramStart"/>
      <w:r w:rsidR="003D0E11" w:rsidRPr="00077CF3">
        <w:rPr>
          <w:i/>
        </w:rPr>
        <w:t>CD33</w:t>
      </w:r>
      <w:r w:rsidRPr="00077CF3">
        <w:rPr>
          <w:i/>
        </w:rPr>
        <w:t>.  …</w:t>
      </w:r>
      <w:proofErr w:type="gramEnd"/>
      <w:r w:rsidRPr="00077CF3">
        <w:rPr>
          <w:i/>
        </w:rPr>
        <w:t xml:space="preserve">. </w:t>
      </w:r>
      <w:r w:rsidRPr="00167648">
        <w:rPr>
          <w:i/>
          <w:u w:val="single"/>
        </w:rPr>
        <w:t xml:space="preserve">Antigen CD33 </w:t>
      </w:r>
      <w:r w:rsidR="00077CF3" w:rsidRPr="00167648">
        <w:rPr>
          <w:i/>
          <w:u w:val="single"/>
        </w:rPr>
        <w:t xml:space="preserve">je </w:t>
      </w:r>
      <w:r w:rsidR="00077CF3" w:rsidRPr="00167648">
        <w:rPr>
          <w:i/>
        </w:rPr>
        <w:t xml:space="preserve">(dle publikace </w:t>
      </w:r>
      <w:proofErr w:type="spellStart"/>
      <w:r w:rsidR="00077CF3" w:rsidRPr="00167648">
        <w:rPr>
          <w:i/>
        </w:rPr>
        <w:t>Ehniger</w:t>
      </w:r>
      <w:proofErr w:type="spellEnd"/>
      <w:r w:rsidR="00077CF3" w:rsidRPr="00167648">
        <w:rPr>
          <w:i/>
        </w:rPr>
        <w:t>, 2014</w:t>
      </w:r>
      <w:r w:rsidRPr="00167648">
        <w:rPr>
          <w:i/>
        </w:rPr>
        <w:t>)</w:t>
      </w:r>
      <w:r w:rsidRPr="00167648">
        <w:rPr>
          <w:i/>
          <w:u w:val="single"/>
        </w:rPr>
        <w:t xml:space="preserve"> zjišťován na povrchu AML </w:t>
      </w:r>
      <w:proofErr w:type="spellStart"/>
      <w:r w:rsidRPr="00167648">
        <w:rPr>
          <w:i/>
          <w:u w:val="single"/>
        </w:rPr>
        <w:t>blastů</w:t>
      </w:r>
      <w:proofErr w:type="spellEnd"/>
      <w:r w:rsidRPr="00167648">
        <w:rPr>
          <w:i/>
          <w:u w:val="single"/>
        </w:rPr>
        <w:t xml:space="preserve"> přibližně v 85 - 90 % případů.</w:t>
      </w:r>
      <w:r w:rsidRPr="00077CF3">
        <w:rPr>
          <w:i/>
        </w:rPr>
        <w:t xml:space="preserve"> …</w:t>
      </w:r>
      <w:r w:rsidR="00077CF3" w:rsidRPr="00077CF3">
        <w:rPr>
          <w:i/>
        </w:rPr>
        <w:t xml:space="preserve"> Podíl pacientů s CD33 mutací v českém prostředí lze odhadnout dle registru DATOOL.  … Podíl pacientů s pozitivní CD33 mutací byl u testovaných pacientů 85,29 % (568/666; &lt;60 let) a 77,90 % (550/706; &gt;60 let)</w:t>
      </w:r>
      <w:r w:rsidR="00077CF3" w:rsidRPr="00077CF3">
        <w:t>.</w:t>
      </w:r>
      <w:r w:rsidR="00077CF3">
        <w:t>“</w:t>
      </w:r>
    </w:p>
    <w:p w:rsidR="003D0E11" w:rsidRDefault="003D0E11" w:rsidP="006D07BB">
      <w:pPr>
        <w:pStyle w:val="Odstavecseseznamem"/>
        <w:spacing w:after="0"/>
        <w:ind w:left="0"/>
        <w:jc w:val="both"/>
      </w:pPr>
    </w:p>
    <w:p w:rsidR="00FF3879" w:rsidRDefault="00023F7F" w:rsidP="00FF3879">
      <w:pPr>
        <w:spacing w:after="0"/>
        <w:jc w:val="both"/>
      </w:pPr>
      <w:r>
        <w:t xml:space="preserve">Účinnost </w:t>
      </w:r>
      <w:r w:rsidR="0099076A">
        <w:t>GO</w:t>
      </w:r>
      <w:r>
        <w:t xml:space="preserve"> </w:t>
      </w:r>
      <w:r w:rsidR="003C6CBD">
        <w:t xml:space="preserve">tedy </w:t>
      </w:r>
      <w:r>
        <w:t>závisí na cytogenetické charakteristice pacienta (na jeho cytogenetickém riziku)</w:t>
      </w:r>
      <w:r w:rsidR="00FF3879">
        <w:t>:</w:t>
      </w:r>
    </w:p>
    <w:p w:rsidR="009B7A13" w:rsidRPr="001660B2" w:rsidRDefault="001660B2" w:rsidP="00FF3879">
      <w:pPr>
        <w:pStyle w:val="Odstavecseseznamem"/>
        <w:numPr>
          <w:ilvl w:val="0"/>
          <w:numId w:val="1"/>
        </w:numPr>
        <w:jc w:val="both"/>
      </w:pPr>
      <w:r>
        <w:t xml:space="preserve">viz </w:t>
      </w:r>
      <w:r w:rsidRPr="00BE3A47">
        <w:rPr>
          <w:highlight w:val="yellow"/>
        </w:rPr>
        <w:t>účinnost vyjádřená jako EFS (přežití bez příhody</w:t>
      </w:r>
      <w:r w:rsidR="00E6404A">
        <w:rPr>
          <w:highlight w:val="yellow"/>
        </w:rPr>
        <w:t xml:space="preserve"> </w:t>
      </w:r>
      <w:r w:rsidR="00E6404A" w:rsidRPr="00E6404A">
        <w:t>– bylo definováno jako: doba od randomizace do data hodnocení odpovědi (pokud nebylo dosaženo kompletní remise [CR] či kompletní remise s nekompletní úpravou trombocytopenie [</w:t>
      </w:r>
      <w:proofErr w:type="spellStart"/>
      <w:r w:rsidR="00E6404A" w:rsidRPr="00E6404A">
        <w:t>CRp</w:t>
      </w:r>
      <w:proofErr w:type="spellEnd"/>
      <w:r w:rsidR="00E6404A" w:rsidRPr="00E6404A">
        <w:t xml:space="preserve">]), do </w:t>
      </w:r>
      <w:proofErr w:type="spellStart"/>
      <w:r w:rsidR="00E6404A" w:rsidRPr="00E6404A">
        <w:t>relapsu</w:t>
      </w:r>
      <w:proofErr w:type="spellEnd"/>
      <w:r w:rsidR="00E6404A" w:rsidRPr="00E6404A">
        <w:t xml:space="preserve"> č</w:t>
      </w:r>
      <w:r w:rsidR="00E6404A">
        <w:t xml:space="preserve">i smrti </w:t>
      </w:r>
      <w:r w:rsidR="00E6404A">
        <w:rPr>
          <w:rFonts w:cstheme="minorHAnsi"/>
        </w:rPr>
        <w:t>[1]</w:t>
      </w:r>
      <w:r w:rsidRPr="00E6404A">
        <w:t>)</w:t>
      </w:r>
      <w:r w:rsidR="00FF3879" w:rsidRPr="00BE3A47">
        <w:rPr>
          <w:highlight w:val="yellow"/>
        </w:rPr>
        <w:t xml:space="preserve"> </w:t>
      </w:r>
      <w:r w:rsidR="00FF3879" w:rsidRPr="00BE3A47">
        <w:rPr>
          <w:rFonts w:cstheme="minorHAnsi"/>
          <w:highlight w:val="yellow"/>
        </w:rPr>
        <w:t>[</w:t>
      </w:r>
      <w:r w:rsidRPr="00BE3A47">
        <w:rPr>
          <w:rFonts w:cstheme="minorHAnsi"/>
          <w:highlight w:val="yellow"/>
        </w:rPr>
        <w:t>2</w:t>
      </w:r>
      <w:r w:rsidR="00FF3879" w:rsidRPr="00BE3A47">
        <w:rPr>
          <w:rFonts w:cstheme="minorHAnsi"/>
          <w:highlight w:val="yellow"/>
        </w:rPr>
        <w:t>]</w:t>
      </w:r>
      <w:r>
        <w:rPr>
          <w:rFonts w:cstheme="minorHAnsi"/>
        </w:rPr>
        <w:t>:</w:t>
      </w:r>
    </w:p>
    <w:p w:rsidR="001660B2" w:rsidRPr="001660B2" w:rsidRDefault="00B64AFC" w:rsidP="001660B2">
      <w:pPr>
        <w:jc w:val="both"/>
      </w:pPr>
      <w:r>
        <w:rPr>
          <w:noProof/>
          <w:lang w:eastAsia="cs-CZ"/>
        </w:rPr>
        <w:drawing>
          <wp:inline distT="0" distB="0" distL="0" distR="0">
            <wp:extent cx="5753100" cy="30575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26E" w:rsidRDefault="00015AB4" w:rsidP="009B7A13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viz </w:t>
      </w:r>
      <w:r w:rsidRPr="00BE3A47">
        <w:rPr>
          <w:highlight w:val="yellow"/>
        </w:rPr>
        <w:t xml:space="preserve">účinnost vyjádřená jako OS (celkové přežití) </w:t>
      </w:r>
      <w:r w:rsidRPr="00BE3A47">
        <w:rPr>
          <w:rFonts w:cstheme="minorHAnsi"/>
          <w:highlight w:val="yellow"/>
        </w:rPr>
        <w:t>[3]</w:t>
      </w:r>
      <w:r w:rsidRPr="00015AB4">
        <w:rPr>
          <w:rFonts w:cstheme="minorHAnsi"/>
        </w:rPr>
        <w:t>:</w:t>
      </w:r>
      <w:r>
        <w:rPr>
          <w:noProof/>
          <w:lang w:eastAsia="cs-CZ"/>
        </w:rPr>
        <w:drawing>
          <wp:inline distT="0" distB="0" distL="0" distR="0">
            <wp:extent cx="5762625" cy="56292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2D" w:rsidRDefault="00DA182D" w:rsidP="00E55B7A">
      <w:pPr>
        <w:jc w:val="both"/>
      </w:pPr>
      <w:r>
        <w:t xml:space="preserve">Co se týká </w:t>
      </w:r>
      <w:r w:rsidRPr="005109C0">
        <w:rPr>
          <w:highlight w:val="yellow"/>
          <w:u w:val="single"/>
        </w:rPr>
        <w:t xml:space="preserve">bezpečnosti </w:t>
      </w:r>
      <w:r w:rsidR="001E3F77" w:rsidRPr="005109C0">
        <w:rPr>
          <w:highlight w:val="yellow"/>
          <w:u w:val="single"/>
        </w:rPr>
        <w:t>GO s DC vs. samotné DC</w:t>
      </w:r>
      <w:r w:rsidR="00C5458B">
        <w:rPr>
          <w:u w:val="single"/>
        </w:rPr>
        <w:t>,</w:t>
      </w:r>
      <w:r w:rsidR="001E3F77">
        <w:t xml:space="preserve"> byl v </w:t>
      </w:r>
      <w:r w:rsidR="001E3F77" w:rsidRPr="001E3F77">
        <w:t>aktualizovaném hodnocení účinnosti a bezpečnosti ze studie ALFA-0701 s daty sledování do dubna 2013 publikovaném 2018</w:t>
      </w:r>
      <w:r w:rsidR="001E3F77">
        <w:t xml:space="preserve"> </w:t>
      </w:r>
      <w:r w:rsidR="001E3F77" w:rsidRPr="001E3F77">
        <w:t>výskyt závažných (grade ≥3) infekcí ve skupině GO</w:t>
      </w:r>
      <w:r w:rsidR="001E3F77">
        <w:t xml:space="preserve"> s DC</w:t>
      </w:r>
      <w:r w:rsidR="001E3F77" w:rsidRPr="001E3F77">
        <w:t xml:space="preserve"> 77,9 % (oproti 77,4 % v</w:t>
      </w:r>
      <w:r w:rsidR="001E3F77">
        <w:t xml:space="preserve"> DC skupině), </w:t>
      </w:r>
      <w:r w:rsidR="001E3F77" w:rsidRPr="005109C0">
        <w:rPr>
          <w:highlight w:val="yellow"/>
          <w:u w:val="single"/>
        </w:rPr>
        <w:t>závažné krvácení se vyskytlo ve skupině GO s DC v 23 % (oproti 9,5 % v DC skupině) a výskyt závažné VOD (</w:t>
      </w:r>
      <w:proofErr w:type="spellStart"/>
      <w:r w:rsidR="001E3F77" w:rsidRPr="005109C0">
        <w:rPr>
          <w:highlight w:val="yellow"/>
          <w:u w:val="single"/>
        </w:rPr>
        <w:t>venookluzivní</w:t>
      </w:r>
      <w:proofErr w:type="spellEnd"/>
      <w:r w:rsidR="001E3F77" w:rsidRPr="005109C0">
        <w:rPr>
          <w:highlight w:val="yellow"/>
          <w:u w:val="single"/>
        </w:rPr>
        <w:t xml:space="preserve"> choroba) byl ve skupině GO s DC pozorován u 5 pacientů (</w:t>
      </w:r>
      <w:proofErr w:type="gramStart"/>
      <w:r w:rsidR="001E3F77" w:rsidRPr="005109C0">
        <w:rPr>
          <w:highlight w:val="yellow"/>
          <w:u w:val="single"/>
        </w:rPr>
        <w:t>3,8 %) (oproti</w:t>
      </w:r>
      <w:proofErr w:type="gramEnd"/>
      <w:r w:rsidR="001E3F77" w:rsidRPr="005109C0">
        <w:rPr>
          <w:highlight w:val="yellow"/>
          <w:u w:val="single"/>
        </w:rPr>
        <w:t xml:space="preserve"> dvěma pacientům (1,4 %) v DC skupině).</w:t>
      </w:r>
      <w:r w:rsidR="00DD5299" w:rsidRPr="005109C0">
        <w:rPr>
          <w:rFonts w:cstheme="minorHAnsi"/>
          <w:highlight w:val="yellow"/>
        </w:rPr>
        <w:t xml:space="preserve"> [1]</w:t>
      </w:r>
    </w:p>
    <w:p w:rsidR="00361C4B" w:rsidRDefault="00E55B7A" w:rsidP="000B37F7">
      <w:pPr>
        <w:spacing w:after="0"/>
        <w:jc w:val="both"/>
        <w:rPr>
          <w:rFonts w:cstheme="minorHAnsi"/>
        </w:rPr>
      </w:pPr>
      <w:r>
        <w:t xml:space="preserve">Dle </w:t>
      </w:r>
      <w:r>
        <w:rPr>
          <w:rFonts w:cstheme="minorHAnsi"/>
        </w:rPr>
        <w:t>[1] je léčba AML s kurativním záměrem „</w:t>
      </w:r>
      <w:r w:rsidRPr="006B1B8D">
        <w:rPr>
          <w:rFonts w:cstheme="minorHAnsi"/>
          <w:i/>
        </w:rPr>
        <w:t xml:space="preserve">založena na intenzivní indukční chemoterapii následované konsolidační chemoterapií a/nebo alogenní transplantací krvetvorných buněk v závislosti na přítomných rizikových faktorech. … Standardní indukční chemoterapie „3+7“ je složena ze 7 dnů </w:t>
      </w:r>
      <w:proofErr w:type="spellStart"/>
      <w:r w:rsidRPr="006B1B8D">
        <w:rPr>
          <w:rFonts w:cstheme="minorHAnsi"/>
          <w:i/>
        </w:rPr>
        <w:t>cytosinarabinosidu</w:t>
      </w:r>
      <w:proofErr w:type="spellEnd"/>
      <w:r w:rsidRPr="006B1B8D">
        <w:rPr>
          <w:rFonts w:cstheme="minorHAnsi"/>
          <w:i/>
        </w:rPr>
        <w:t xml:space="preserve"> v dávce 100-200 mg/m2 v kontinuální infúzi na 24 hodina 3 dnů </w:t>
      </w:r>
      <w:proofErr w:type="spellStart"/>
      <w:r w:rsidRPr="006B1B8D">
        <w:rPr>
          <w:rFonts w:cstheme="minorHAnsi"/>
          <w:i/>
        </w:rPr>
        <w:t>idarubicinu</w:t>
      </w:r>
      <w:proofErr w:type="spellEnd"/>
      <w:r w:rsidRPr="006B1B8D">
        <w:rPr>
          <w:rFonts w:cstheme="minorHAnsi"/>
          <w:i/>
        </w:rPr>
        <w:t xml:space="preserve"> 12mg/m2 nebo </w:t>
      </w:r>
      <w:proofErr w:type="spellStart"/>
      <w:r w:rsidRPr="006B1B8D">
        <w:rPr>
          <w:rFonts w:cstheme="minorHAnsi"/>
          <w:i/>
        </w:rPr>
        <w:t>daunorubicinu</w:t>
      </w:r>
      <w:proofErr w:type="spellEnd"/>
      <w:r w:rsidRPr="006B1B8D">
        <w:rPr>
          <w:rFonts w:cstheme="minorHAnsi"/>
          <w:i/>
        </w:rPr>
        <w:t xml:space="preserve"> 60 - 90mg/m2.</w:t>
      </w:r>
      <w:r w:rsidR="00AE618B">
        <w:rPr>
          <w:rFonts w:cstheme="minorHAnsi"/>
        </w:rPr>
        <w:t xml:space="preserve"> …</w:t>
      </w:r>
      <w:r w:rsidR="00AE618B" w:rsidRPr="00AE618B">
        <w:rPr>
          <w:rFonts w:cstheme="minorHAnsi"/>
          <w:i/>
        </w:rPr>
        <w:t xml:space="preserve">AML je heterogenní onemocnění, u kterého bylo donedávna velmi málo terapeutických možností. V roce 2017 a 2018 bylo spektrum rozšířeno o 5 nových léčivých látek. U nově diagnostikované AML se jedná o léčivé látky </w:t>
      </w:r>
      <w:proofErr w:type="spellStart"/>
      <w:r w:rsidR="00AE618B" w:rsidRPr="00AE618B">
        <w:rPr>
          <w:rFonts w:cstheme="minorHAnsi"/>
          <w:i/>
        </w:rPr>
        <w:t>midostaurin</w:t>
      </w:r>
      <w:proofErr w:type="spellEnd"/>
      <w:r w:rsidR="00AE618B" w:rsidRPr="00AE618B">
        <w:rPr>
          <w:rFonts w:cstheme="minorHAnsi"/>
          <w:i/>
        </w:rPr>
        <w:t xml:space="preserve">, </w:t>
      </w:r>
      <w:proofErr w:type="spellStart"/>
      <w:r w:rsidR="00AE618B" w:rsidRPr="00AE618B">
        <w:rPr>
          <w:rFonts w:cstheme="minorHAnsi"/>
          <w:i/>
        </w:rPr>
        <w:t>gemtuzumab</w:t>
      </w:r>
      <w:proofErr w:type="spellEnd"/>
      <w:r w:rsidR="00AE618B" w:rsidRPr="00AE618B">
        <w:rPr>
          <w:rFonts w:cstheme="minorHAnsi"/>
          <w:i/>
        </w:rPr>
        <w:t xml:space="preserve"> </w:t>
      </w:r>
      <w:proofErr w:type="spellStart"/>
      <w:r w:rsidR="00AE618B" w:rsidRPr="00AE618B">
        <w:rPr>
          <w:rFonts w:cstheme="minorHAnsi"/>
          <w:i/>
        </w:rPr>
        <w:t>ozogamicin</w:t>
      </w:r>
      <w:proofErr w:type="spellEnd"/>
      <w:r w:rsidR="00AE618B" w:rsidRPr="00AE618B">
        <w:rPr>
          <w:rFonts w:cstheme="minorHAnsi"/>
          <w:i/>
        </w:rPr>
        <w:t xml:space="preserve"> a CPX-351.</w:t>
      </w:r>
      <w:r w:rsidR="00AE618B">
        <w:rPr>
          <w:rFonts w:cstheme="minorHAnsi"/>
        </w:rPr>
        <w:t>“</w:t>
      </w:r>
      <w:r w:rsidR="00C77911">
        <w:rPr>
          <w:rFonts w:cstheme="minorHAnsi"/>
        </w:rPr>
        <w:t xml:space="preserve">   </w:t>
      </w:r>
    </w:p>
    <w:p w:rsidR="000B37F7" w:rsidRDefault="00C77911" w:rsidP="000B37F7">
      <w:pPr>
        <w:spacing w:after="0"/>
        <w:jc w:val="both"/>
        <w:rPr>
          <w:rFonts w:cstheme="minorHAnsi"/>
        </w:rPr>
      </w:pPr>
      <w:proofErr w:type="spellStart"/>
      <w:r>
        <w:rPr>
          <w:rFonts w:cstheme="minorHAnsi"/>
        </w:rPr>
        <w:t>Midostaurin</w:t>
      </w:r>
      <w:proofErr w:type="spellEnd"/>
      <w:r>
        <w:rPr>
          <w:rFonts w:cstheme="minorHAnsi"/>
        </w:rPr>
        <w:t xml:space="preserve"> (přípravek RYDAPT) je registrován</w:t>
      </w:r>
      <w:r w:rsidR="00361C4B">
        <w:rPr>
          <w:rFonts w:cstheme="minorHAnsi"/>
        </w:rPr>
        <w:t xml:space="preserve"> v ČR (má i úhradu)</w:t>
      </w:r>
      <w:r>
        <w:rPr>
          <w:rFonts w:cstheme="minorHAnsi"/>
        </w:rPr>
        <w:t xml:space="preserve"> také mj. </w:t>
      </w:r>
      <w:r w:rsidRPr="00C77911">
        <w:rPr>
          <w:rFonts w:cstheme="minorHAnsi"/>
        </w:rPr>
        <w:t xml:space="preserve">v kombinaci se standardní indukční chemoterapií </w:t>
      </w:r>
      <w:proofErr w:type="spellStart"/>
      <w:r w:rsidRPr="00C77911">
        <w:rPr>
          <w:rFonts w:cstheme="minorHAnsi"/>
        </w:rPr>
        <w:t>daunorubicinem</w:t>
      </w:r>
      <w:proofErr w:type="spellEnd"/>
      <w:r w:rsidRPr="00C77911">
        <w:rPr>
          <w:rFonts w:cstheme="minorHAnsi"/>
        </w:rPr>
        <w:t xml:space="preserve"> a </w:t>
      </w:r>
      <w:proofErr w:type="spellStart"/>
      <w:r w:rsidRPr="00C77911">
        <w:rPr>
          <w:rFonts w:cstheme="minorHAnsi"/>
        </w:rPr>
        <w:t>cytarabinem</w:t>
      </w:r>
      <w:proofErr w:type="spellEnd"/>
      <w:r w:rsidRPr="00C77911">
        <w:rPr>
          <w:rFonts w:cstheme="minorHAnsi"/>
        </w:rPr>
        <w:t xml:space="preserve"> a konsolidační chemoterapií </w:t>
      </w:r>
      <w:proofErr w:type="spellStart"/>
      <w:r w:rsidRPr="00C77911">
        <w:rPr>
          <w:rFonts w:cstheme="minorHAnsi"/>
        </w:rPr>
        <w:t>vysokodávkovým</w:t>
      </w:r>
      <w:proofErr w:type="spellEnd"/>
      <w:r w:rsidRPr="00C77911">
        <w:rPr>
          <w:rFonts w:cstheme="minorHAnsi"/>
        </w:rPr>
        <w:t xml:space="preserve"> </w:t>
      </w:r>
      <w:proofErr w:type="spellStart"/>
      <w:r w:rsidRPr="00C77911">
        <w:rPr>
          <w:rFonts w:cstheme="minorHAnsi"/>
        </w:rPr>
        <w:t>cytarabinem</w:t>
      </w:r>
      <w:proofErr w:type="spellEnd"/>
      <w:r w:rsidRPr="00C77911">
        <w:rPr>
          <w:rFonts w:cstheme="minorHAnsi"/>
        </w:rPr>
        <w:t xml:space="preserve"> a u pacientů s kompletní odpovědí následně jako udržovací </w:t>
      </w:r>
      <w:proofErr w:type="spellStart"/>
      <w:r w:rsidRPr="00C77911">
        <w:rPr>
          <w:rFonts w:cstheme="minorHAnsi"/>
        </w:rPr>
        <w:t>monoterapie</w:t>
      </w:r>
      <w:proofErr w:type="spellEnd"/>
      <w:r w:rsidRPr="00C77911">
        <w:rPr>
          <w:rFonts w:cstheme="minorHAnsi"/>
        </w:rPr>
        <w:t xml:space="preserve"> dospělých pacientů s nově diagnostikovanou akutní myeloidní leukemií (AML) s mutací genu FLT3</w:t>
      </w:r>
      <w:r>
        <w:rPr>
          <w:rFonts w:cstheme="minorHAnsi"/>
        </w:rPr>
        <w:t xml:space="preserve"> [1]. </w:t>
      </w:r>
      <w:r w:rsidR="000B37F7">
        <w:rPr>
          <w:rFonts w:cstheme="minorHAnsi"/>
        </w:rPr>
        <w:t xml:space="preserve">CPX-351 </w:t>
      </w:r>
      <w:r w:rsidR="000B37F7">
        <w:rPr>
          <w:rFonts w:cstheme="minorHAnsi"/>
        </w:rPr>
        <w:lastRenderedPageBreak/>
        <w:t>(přípravek VYXEOS - j</w:t>
      </w:r>
      <w:r w:rsidR="000B37F7" w:rsidRPr="000B37F7">
        <w:rPr>
          <w:rFonts w:cstheme="minorHAnsi"/>
        </w:rPr>
        <w:t xml:space="preserve">edná se o </w:t>
      </w:r>
      <w:proofErr w:type="spellStart"/>
      <w:r w:rsidR="000B37F7" w:rsidRPr="000B37F7">
        <w:rPr>
          <w:rFonts w:cstheme="minorHAnsi"/>
        </w:rPr>
        <w:t>lipozomální</w:t>
      </w:r>
      <w:proofErr w:type="spellEnd"/>
      <w:r w:rsidR="000B37F7" w:rsidRPr="000B37F7">
        <w:rPr>
          <w:rFonts w:cstheme="minorHAnsi"/>
        </w:rPr>
        <w:t xml:space="preserve"> lékovou formu s fixní kombinací </w:t>
      </w:r>
      <w:proofErr w:type="spellStart"/>
      <w:r w:rsidR="000B37F7" w:rsidRPr="000B37F7">
        <w:rPr>
          <w:rFonts w:cstheme="minorHAnsi"/>
        </w:rPr>
        <w:t>daunorubicinu</w:t>
      </w:r>
      <w:proofErr w:type="spellEnd"/>
      <w:r w:rsidR="000B37F7" w:rsidRPr="000B37F7">
        <w:rPr>
          <w:rFonts w:cstheme="minorHAnsi"/>
        </w:rPr>
        <w:t xml:space="preserve"> a </w:t>
      </w:r>
      <w:proofErr w:type="spellStart"/>
      <w:r w:rsidR="000B37F7" w:rsidRPr="000B37F7">
        <w:rPr>
          <w:rFonts w:cstheme="minorHAnsi"/>
        </w:rPr>
        <w:t>cytarabinu</w:t>
      </w:r>
      <w:proofErr w:type="spellEnd"/>
      <w:r w:rsidR="000B37F7" w:rsidRPr="000B37F7">
        <w:rPr>
          <w:rFonts w:cstheme="minorHAnsi"/>
        </w:rPr>
        <w:t xml:space="preserve"> v molárním poměru </w:t>
      </w:r>
      <w:proofErr w:type="gramStart"/>
      <w:r w:rsidR="000B37F7" w:rsidRPr="000B37F7">
        <w:rPr>
          <w:rFonts w:cstheme="minorHAnsi"/>
        </w:rPr>
        <w:t>1:5</w:t>
      </w:r>
      <w:r w:rsidR="000B37F7">
        <w:rPr>
          <w:rFonts w:cstheme="minorHAnsi"/>
        </w:rPr>
        <w:t xml:space="preserve"> )</w:t>
      </w:r>
      <w:r w:rsidR="00361C4B">
        <w:rPr>
          <w:rFonts w:cstheme="minorHAnsi"/>
        </w:rPr>
        <w:t>,  který</w:t>
      </w:r>
      <w:proofErr w:type="gramEnd"/>
      <w:r w:rsidR="00361C4B">
        <w:rPr>
          <w:rFonts w:cstheme="minorHAnsi"/>
        </w:rPr>
        <w:t xml:space="preserve"> je </w:t>
      </w:r>
      <w:r w:rsidR="00361C4B" w:rsidRPr="00361C4B">
        <w:rPr>
          <w:rFonts w:cstheme="minorHAnsi"/>
        </w:rPr>
        <w:t>indikován</w:t>
      </w:r>
      <w:r w:rsidR="00361C4B">
        <w:rPr>
          <w:rFonts w:cstheme="minorHAnsi"/>
        </w:rPr>
        <w:t xml:space="preserve"> (registrací Evropskou lékovou agenturou)</w:t>
      </w:r>
      <w:r w:rsidR="00361C4B" w:rsidRPr="00361C4B">
        <w:rPr>
          <w:rFonts w:cstheme="minorHAnsi"/>
        </w:rPr>
        <w:t xml:space="preserve"> k léčbě dospělých s nově diagnostikovanou akutní myeloidní leukémií související s léčbou (t-AML) nebo AML se změnami souvisejí</w:t>
      </w:r>
      <w:r w:rsidR="00361C4B">
        <w:rPr>
          <w:rFonts w:cstheme="minorHAnsi"/>
        </w:rPr>
        <w:t xml:space="preserve">cími s </w:t>
      </w:r>
      <w:proofErr w:type="spellStart"/>
      <w:r w:rsidR="00361C4B">
        <w:rPr>
          <w:rFonts w:cstheme="minorHAnsi"/>
        </w:rPr>
        <w:t>myelodysplazií</w:t>
      </w:r>
      <w:proofErr w:type="spellEnd"/>
      <w:r w:rsidR="00361C4B">
        <w:rPr>
          <w:rFonts w:cstheme="minorHAnsi"/>
        </w:rPr>
        <w:t xml:space="preserve"> (AML-MRC), nemá v ČR úhradu</w:t>
      </w:r>
      <w:r w:rsidR="009C4B33">
        <w:rPr>
          <w:rFonts w:cstheme="minorHAnsi"/>
        </w:rPr>
        <w:t xml:space="preserve"> [1]</w:t>
      </w:r>
      <w:r w:rsidR="00361C4B">
        <w:rPr>
          <w:rFonts w:cstheme="minorHAnsi"/>
        </w:rPr>
        <w:t>.</w:t>
      </w:r>
    </w:p>
    <w:p w:rsidR="00C77911" w:rsidRDefault="00C77911" w:rsidP="002A70FA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Tzn. dle indikačních a úhradových podmínek </w:t>
      </w:r>
      <w:proofErr w:type="spellStart"/>
      <w:r>
        <w:rPr>
          <w:rFonts w:cstheme="minorHAnsi"/>
        </w:rPr>
        <w:t>SUKLu</w:t>
      </w:r>
      <w:proofErr w:type="spellEnd"/>
      <w:r>
        <w:rPr>
          <w:rFonts w:cstheme="minorHAnsi"/>
        </w:rPr>
        <w:t xml:space="preserve"> </w:t>
      </w:r>
      <w:r w:rsidRPr="00F62534">
        <w:rPr>
          <w:rFonts w:cstheme="minorHAnsi"/>
          <w:u w:val="single"/>
        </w:rPr>
        <w:t xml:space="preserve">u </w:t>
      </w:r>
      <w:proofErr w:type="gramStart"/>
      <w:r w:rsidRPr="00F62534">
        <w:rPr>
          <w:rFonts w:cstheme="minorHAnsi"/>
          <w:u w:val="single"/>
        </w:rPr>
        <w:t xml:space="preserve">pacientů  </w:t>
      </w:r>
      <w:r w:rsidRPr="00F62534">
        <w:rPr>
          <w:u w:val="single"/>
        </w:rPr>
        <w:t>starších</w:t>
      </w:r>
      <w:proofErr w:type="gramEnd"/>
      <w:r w:rsidRPr="00F62534">
        <w:rPr>
          <w:u w:val="single"/>
        </w:rPr>
        <w:t xml:space="preserve"> 15 let s dříve neléčenou de novo CD33-pozitivní</w:t>
      </w:r>
      <w:r w:rsidR="002C69CB">
        <w:rPr>
          <w:u w:val="single"/>
        </w:rPr>
        <w:t xml:space="preserve"> </w:t>
      </w:r>
      <w:r w:rsidR="002C69CB" w:rsidRPr="002C69CB">
        <w:t xml:space="preserve">(CD33 </w:t>
      </w:r>
      <w:r w:rsidR="002C69CB">
        <w:t xml:space="preserve">je přítomen u cca 77-90% pacientů </w:t>
      </w:r>
      <w:r w:rsidR="002C69CB">
        <w:rPr>
          <w:rFonts w:cstheme="minorHAnsi"/>
        </w:rPr>
        <w:t>[1] – viz výše)</w:t>
      </w:r>
      <w:r w:rsidRPr="00F62534">
        <w:rPr>
          <w:u w:val="single"/>
        </w:rPr>
        <w:t xml:space="preserve"> primární akutní myeloidní leukémií současně s mutací genu FLT3</w:t>
      </w:r>
      <w:r w:rsidR="007A4FAF">
        <w:t xml:space="preserve"> (</w:t>
      </w:r>
      <w:r w:rsidR="002C3C8B">
        <w:t xml:space="preserve">mutace FL3-ITD je přítomna cca u 30% pacientů </w:t>
      </w:r>
      <w:r w:rsidR="002C3C8B">
        <w:rPr>
          <w:rFonts w:cstheme="minorHAnsi"/>
        </w:rPr>
        <w:t>[1]</w:t>
      </w:r>
      <w:r w:rsidR="002C3C8B">
        <w:t>)</w:t>
      </w:r>
      <w:r w:rsidRPr="00C77911">
        <w:t>, kteří mají příznivé (</w:t>
      </w:r>
      <w:proofErr w:type="spellStart"/>
      <w:r w:rsidRPr="00C77911">
        <w:t>favourable</w:t>
      </w:r>
      <w:proofErr w:type="spellEnd"/>
      <w:r w:rsidRPr="00C77911">
        <w:t>) nebo střední (</w:t>
      </w:r>
      <w:proofErr w:type="spellStart"/>
      <w:r w:rsidRPr="00C77911">
        <w:t>intermediate</w:t>
      </w:r>
      <w:proofErr w:type="spellEnd"/>
      <w:r w:rsidRPr="00C77911">
        <w:t>) cytogenetické riziko</w:t>
      </w:r>
      <w:r w:rsidRPr="00AF4605">
        <w:t xml:space="preserve"> a stav výkonnosti  0-1 dle ECOG</w:t>
      </w:r>
      <w:r w:rsidR="00167648">
        <w:t xml:space="preserve"> v kombinaci s indukční chemoterapií </w:t>
      </w:r>
      <w:r w:rsidR="00167648" w:rsidRPr="00AF4605">
        <w:t xml:space="preserve">s </w:t>
      </w:r>
      <w:proofErr w:type="spellStart"/>
      <w:r w:rsidR="00167648" w:rsidRPr="00AF4605">
        <w:t>cytarabinem</w:t>
      </w:r>
      <w:proofErr w:type="spellEnd"/>
      <w:r w:rsidR="00167648" w:rsidRPr="00AF4605">
        <w:t xml:space="preserve"> a </w:t>
      </w:r>
      <w:proofErr w:type="spellStart"/>
      <w:r w:rsidR="00167648" w:rsidRPr="00AF4605">
        <w:t>daunorubicinem</w:t>
      </w:r>
      <w:proofErr w:type="spellEnd"/>
      <w:r w:rsidR="00167648">
        <w:t xml:space="preserve"> </w:t>
      </w:r>
      <w:r w:rsidR="00167648" w:rsidRPr="00F62534">
        <w:rPr>
          <w:u w:val="single"/>
        </w:rPr>
        <w:t xml:space="preserve">je možno použít buď GO nebo </w:t>
      </w:r>
      <w:proofErr w:type="spellStart"/>
      <w:r w:rsidR="00167648" w:rsidRPr="00F62534">
        <w:rPr>
          <w:u w:val="single"/>
        </w:rPr>
        <w:t>midostaurin</w:t>
      </w:r>
      <w:proofErr w:type="spellEnd"/>
      <w:r w:rsidR="00F62534">
        <w:t xml:space="preserve"> (dle </w:t>
      </w:r>
      <w:r w:rsidR="00F62534">
        <w:rPr>
          <w:rFonts w:cstheme="minorHAnsi"/>
        </w:rPr>
        <w:t xml:space="preserve">[3] je z časových důvodů (výsledky testování FLT3 mohou být zpožděny až o týden od počáteční </w:t>
      </w:r>
      <w:proofErr w:type="spellStart"/>
      <w:r w:rsidR="00F62534">
        <w:rPr>
          <w:rFonts w:cstheme="minorHAnsi"/>
        </w:rPr>
        <w:t>diagnozy</w:t>
      </w:r>
      <w:proofErr w:type="spellEnd"/>
      <w:r w:rsidR="00F62534">
        <w:rPr>
          <w:rFonts w:cstheme="minorHAnsi"/>
        </w:rPr>
        <w:t xml:space="preserve"> AML) doporučeno u těchto pacientů podat GO).  </w:t>
      </w:r>
      <w:r w:rsidR="00F62534" w:rsidRPr="00804B50">
        <w:rPr>
          <w:rFonts w:cstheme="minorHAnsi"/>
          <w:u w:val="single"/>
        </w:rPr>
        <w:t xml:space="preserve">V literatuře ale zatím není dostupné žádné přímé či nepřímé srovnání účinnosti/bezpečnosti SOC DC s GO </w:t>
      </w:r>
      <w:proofErr w:type="spellStart"/>
      <w:r w:rsidR="00F62534" w:rsidRPr="00804B50">
        <w:rPr>
          <w:rFonts w:cstheme="minorHAnsi"/>
          <w:u w:val="single"/>
        </w:rPr>
        <w:t>vs</w:t>
      </w:r>
      <w:proofErr w:type="spellEnd"/>
      <w:r w:rsidR="00F62534" w:rsidRPr="00804B50">
        <w:rPr>
          <w:rFonts w:cstheme="minorHAnsi"/>
          <w:u w:val="single"/>
        </w:rPr>
        <w:t xml:space="preserve"> SOC DC s </w:t>
      </w:r>
      <w:proofErr w:type="spellStart"/>
      <w:r w:rsidR="00F62534" w:rsidRPr="00804B50">
        <w:rPr>
          <w:rFonts w:cstheme="minorHAnsi"/>
          <w:u w:val="single"/>
        </w:rPr>
        <w:t>midostaurinem</w:t>
      </w:r>
      <w:proofErr w:type="spellEnd"/>
      <w:r w:rsidR="00F62534" w:rsidRPr="00804B50">
        <w:rPr>
          <w:rFonts w:cstheme="minorHAnsi"/>
          <w:u w:val="single"/>
        </w:rPr>
        <w:t xml:space="preserve">, proto je </w:t>
      </w:r>
      <w:r w:rsidR="00F62534" w:rsidRPr="00437BD5">
        <w:rPr>
          <w:rFonts w:cstheme="minorHAnsi"/>
          <w:b/>
          <w:sz w:val="28"/>
          <w:szCs w:val="28"/>
          <w:highlight w:val="yellow"/>
          <w:u w:val="single"/>
        </w:rPr>
        <w:t xml:space="preserve">pro FE analýzu </w:t>
      </w:r>
      <w:r w:rsidR="00C5253A">
        <w:rPr>
          <w:rFonts w:cstheme="minorHAnsi"/>
          <w:b/>
          <w:sz w:val="28"/>
          <w:szCs w:val="28"/>
          <w:highlight w:val="yellow"/>
          <w:u w:val="single"/>
        </w:rPr>
        <w:t xml:space="preserve">aktuálně </w:t>
      </w:r>
      <w:r w:rsidR="00F62534" w:rsidRPr="00437BD5">
        <w:rPr>
          <w:rFonts w:cstheme="minorHAnsi"/>
          <w:b/>
          <w:sz w:val="28"/>
          <w:szCs w:val="28"/>
          <w:highlight w:val="yellow"/>
          <w:u w:val="single"/>
        </w:rPr>
        <w:t>možno provést je</w:t>
      </w:r>
      <w:r w:rsidR="00804B50" w:rsidRPr="00437BD5">
        <w:rPr>
          <w:rFonts w:cstheme="minorHAnsi"/>
          <w:b/>
          <w:sz w:val="28"/>
          <w:szCs w:val="28"/>
          <w:highlight w:val="yellow"/>
          <w:u w:val="single"/>
        </w:rPr>
        <w:t>n</w:t>
      </w:r>
      <w:r w:rsidR="00F62534" w:rsidRPr="00437BD5">
        <w:rPr>
          <w:rFonts w:cstheme="minorHAnsi"/>
          <w:b/>
          <w:sz w:val="28"/>
          <w:szCs w:val="28"/>
          <w:highlight w:val="yellow"/>
          <w:u w:val="single"/>
        </w:rPr>
        <w:t xml:space="preserve"> srovnání SOC DC s GO </w:t>
      </w:r>
      <w:proofErr w:type="spellStart"/>
      <w:r w:rsidR="00F62534" w:rsidRPr="00437BD5">
        <w:rPr>
          <w:rFonts w:cstheme="minorHAnsi"/>
          <w:b/>
          <w:sz w:val="28"/>
          <w:szCs w:val="28"/>
          <w:highlight w:val="yellow"/>
          <w:u w:val="single"/>
        </w:rPr>
        <w:t>vs</w:t>
      </w:r>
      <w:proofErr w:type="spellEnd"/>
      <w:r w:rsidR="00F62534" w:rsidRPr="00437BD5">
        <w:rPr>
          <w:rFonts w:cstheme="minorHAnsi"/>
          <w:b/>
          <w:sz w:val="28"/>
          <w:szCs w:val="28"/>
          <w:highlight w:val="yellow"/>
          <w:u w:val="single"/>
        </w:rPr>
        <w:t xml:space="preserve"> samotná SOC </w:t>
      </w:r>
      <w:proofErr w:type="gramStart"/>
      <w:r w:rsidR="00F62534" w:rsidRPr="00437BD5">
        <w:rPr>
          <w:rFonts w:cstheme="minorHAnsi"/>
          <w:b/>
          <w:sz w:val="28"/>
          <w:szCs w:val="28"/>
          <w:highlight w:val="yellow"/>
          <w:u w:val="single"/>
        </w:rPr>
        <w:t>DC</w:t>
      </w:r>
      <w:r w:rsidR="00F62534" w:rsidRPr="00437BD5">
        <w:rPr>
          <w:rFonts w:cstheme="minorHAnsi"/>
          <w:b/>
          <w:sz w:val="28"/>
          <w:szCs w:val="28"/>
          <w:u w:val="single"/>
        </w:rPr>
        <w:t xml:space="preserve"> !</w:t>
      </w:r>
      <w:r w:rsidR="002A70FA">
        <w:rPr>
          <w:rFonts w:cstheme="minorHAnsi"/>
          <w:b/>
          <w:sz w:val="28"/>
          <w:szCs w:val="28"/>
          <w:u w:val="single"/>
        </w:rPr>
        <w:t xml:space="preserve"> </w:t>
      </w:r>
      <w:r w:rsidR="001231F9">
        <w:rPr>
          <w:rFonts w:cstheme="minorHAnsi"/>
        </w:rPr>
        <w:t>Z důvodu</w:t>
      </w:r>
      <w:proofErr w:type="gramEnd"/>
      <w:r w:rsidR="001231F9">
        <w:rPr>
          <w:rFonts w:cstheme="minorHAnsi"/>
        </w:rPr>
        <w:t xml:space="preserve"> komplexnosti léčby AML (</w:t>
      </w:r>
      <w:r w:rsidR="007214CB">
        <w:rPr>
          <w:rFonts w:cstheme="minorHAnsi"/>
        </w:rPr>
        <w:t xml:space="preserve">např. </w:t>
      </w:r>
      <w:r w:rsidR="001231F9">
        <w:rPr>
          <w:rFonts w:cstheme="minorHAnsi"/>
        </w:rPr>
        <w:t>indukční a konsolidační léčba, transplantace kostní dřeně) a výrazné heterogenity samotné AML (různá cytogenetická a molekulárn</w:t>
      </w:r>
      <w:r w:rsidR="007214CB">
        <w:rPr>
          <w:rFonts w:cstheme="minorHAnsi"/>
        </w:rPr>
        <w:t>í</w:t>
      </w:r>
      <w:r w:rsidR="001231F9">
        <w:rPr>
          <w:rFonts w:cstheme="minorHAnsi"/>
        </w:rPr>
        <w:t xml:space="preserve"> rizikovost) je nutno pro FE analýzu použít CUA (</w:t>
      </w:r>
      <w:proofErr w:type="spellStart"/>
      <w:r w:rsidR="001231F9">
        <w:rPr>
          <w:rFonts w:cstheme="minorHAnsi"/>
        </w:rPr>
        <w:t>cost</w:t>
      </w:r>
      <w:proofErr w:type="spellEnd"/>
      <w:r w:rsidR="001231F9">
        <w:rPr>
          <w:rFonts w:cstheme="minorHAnsi"/>
        </w:rPr>
        <w:t xml:space="preserve">-utility </w:t>
      </w:r>
      <w:proofErr w:type="spellStart"/>
      <w:r w:rsidR="001231F9">
        <w:rPr>
          <w:rFonts w:cstheme="minorHAnsi"/>
        </w:rPr>
        <w:t>analysis</w:t>
      </w:r>
      <w:proofErr w:type="spellEnd"/>
      <w:r w:rsidR="001231F9">
        <w:rPr>
          <w:rFonts w:cstheme="minorHAnsi"/>
        </w:rPr>
        <w:t xml:space="preserve"> s přínosem v podobě QALY (rok života v plné kvalitě)). Pro CUA u AML terapií nestačí </w:t>
      </w:r>
      <w:r w:rsidR="003B2B03">
        <w:rPr>
          <w:rFonts w:cstheme="minorHAnsi"/>
        </w:rPr>
        <w:t xml:space="preserve">tedy </w:t>
      </w:r>
      <w:r w:rsidR="001231F9">
        <w:rPr>
          <w:rFonts w:cstheme="minorHAnsi"/>
        </w:rPr>
        <w:t xml:space="preserve">jen data </w:t>
      </w:r>
      <w:r w:rsidR="003B2B03">
        <w:rPr>
          <w:rFonts w:cstheme="minorHAnsi"/>
        </w:rPr>
        <w:t>o účinnosti/bezpečnosti porovnávaných léčebných modalit, ale také např. hodnoty utilit jednotlivých zdrav.</w:t>
      </w:r>
      <w:r w:rsidR="007214CB">
        <w:rPr>
          <w:rFonts w:cstheme="minorHAnsi"/>
        </w:rPr>
        <w:t xml:space="preserve"> </w:t>
      </w:r>
      <w:proofErr w:type="gramStart"/>
      <w:r w:rsidR="003B2B03">
        <w:rPr>
          <w:rFonts w:cstheme="minorHAnsi"/>
        </w:rPr>
        <w:t>stavů</w:t>
      </w:r>
      <w:proofErr w:type="gramEnd"/>
      <w:r w:rsidR="003B2B03">
        <w:rPr>
          <w:rFonts w:cstheme="minorHAnsi"/>
        </w:rPr>
        <w:t xml:space="preserve"> (např. </w:t>
      </w:r>
      <w:proofErr w:type="spellStart"/>
      <w:r w:rsidR="003B2B03">
        <w:rPr>
          <w:rFonts w:cstheme="minorHAnsi"/>
        </w:rPr>
        <w:t>relaps</w:t>
      </w:r>
      <w:proofErr w:type="spellEnd"/>
      <w:r w:rsidR="003B2B03">
        <w:rPr>
          <w:rFonts w:cstheme="minorHAnsi"/>
        </w:rPr>
        <w:t>, remise, transplantace</w:t>
      </w:r>
      <w:r w:rsidR="0097075E">
        <w:rPr>
          <w:rFonts w:cstheme="minorHAnsi"/>
        </w:rPr>
        <w:t xml:space="preserve">, </w:t>
      </w:r>
      <w:r w:rsidR="005D07E6">
        <w:rPr>
          <w:rFonts w:cstheme="minorHAnsi"/>
        </w:rPr>
        <w:t>2. liniová léčba</w:t>
      </w:r>
      <w:r w:rsidR="003B2B03">
        <w:rPr>
          <w:rFonts w:cstheme="minorHAnsi"/>
        </w:rPr>
        <w:t>), pravděpodobnosti</w:t>
      </w:r>
      <w:r w:rsidR="007214CB">
        <w:rPr>
          <w:rFonts w:cstheme="minorHAnsi"/>
        </w:rPr>
        <w:t xml:space="preserve"> přechodů mezi </w:t>
      </w:r>
      <w:proofErr w:type="spellStart"/>
      <w:r w:rsidR="007214CB">
        <w:rPr>
          <w:rFonts w:cstheme="minorHAnsi"/>
        </w:rPr>
        <w:t>jednotl.zdrav.stavy</w:t>
      </w:r>
      <w:proofErr w:type="spellEnd"/>
      <w:r w:rsidR="003B2B03">
        <w:rPr>
          <w:rFonts w:cstheme="minorHAnsi"/>
        </w:rPr>
        <w:t>, odhadované úmrtnosti</w:t>
      </w:r>
      <w:r w:rsidR="007214CB">
        <w:rPr>
          <w:rFonts w:cstheme="minorHAnsi"/>
        </w:rPr>
        <w:t>).</w:t>
      </w:r>
      <w:r w:rsidR="00467692">
        <w:rPr>
          <w:rFonts w:cstheme="minorHAnsi"/>
        </w:rPr>
        <w:t xml:space="preserve"> Stejně tak do nákladů, kromě cen vlastních přípravků, je nutné také započítávat např. náklady na provedení transplantace, náklady na management NÚ léčby</w:t>
      </w:r>
      <w:r w:rsidR="0018499B">
        <w:rPr>
          <w:rFonts w:cstheme="minorHAnsi"/>
        </w:rPr>
        <w:t>, náklady na 2. linii léčby</w:t>
      </w:r>
      <w:r w:rsidR="00467692">
        <w:rPr>
          <w:rFonts w:cstheme="minorHAnsi"/>
        </w:rPr>
        <w:t>.</w:t>
      </w:r>
    </w:p>
    <w:p w:rsidR="00215EA8" w:rsidRPr="00DA1875" w:rsidRDefault="0047701F" w:rsidP="00215EA8">
      <w:pPr>
        <w:spacing w:after="0"/>
        <w:jc w:val="both"/>
        <w:rPr>
          <w:rFonts w:cstheme="minorHAnsi"/>
          <w:b/>
          <w:sz w:val="28"/>
          <w:szCs w:val="28"/>
          <w:u w:val="single"/>
        </w:rPr>
      </w:pPr>
      <w:r w:rsidRPr="008902F9">
        <w:rPr>
          <w:rFonts w:cstheme="minorHAnsi"/>
          <w:b/>
          <w:highlight w:val="yellow"/>
          <w:u w:val="single"/>
        </w:rPr>
        <w:t>Dle údajů z nalezených FE analýz [5] [6] [7]</w:t>
      </w:r>
      <w:r w:rsidR="00C5458B">
        <w:rPr>
          <w:rFonts w:cstheme="minorHAnsi"/>
          <w:b/>
          <w:highlight w:val="yellow"/>
          <w:u w:val="single"/>
        </w:rPr>
        <w:t xml:space="preserve"> </w:t>
      </w:r>
      <w:r w:rsidRPr="008902F9">
        <w:rPr>
          <w:rFonts w:cstheme="minorHAnsi"/>
          <w:b/>
          <w:highlight w:val="yellow"/>
          <w:u w:val="single"/>
        </w:rPr>
        <w:t xml:space="preserve"> (</w:t>
      </w:r>
      <w:r w:rsidR="003614CC" w:rsidRPr="008902F9">
        <w:rPr>
          <w:rFonts w:cstheme="minorHAnsi"/>
          <w:b/>
          <w:highlight w:val="yellow"/>
          <w:u w:val="single"/>
        </w:rPr>
        <w:t>v [1] není údaj inkrementálního QALY publikován)</w:t>
      </w:r>
      <w:r w:rsidR="00175880">
        <w:rPr>
          <w:rFonts w:cstheme="minorHAnsi"/>
        </w:rPr>
        <w:t xml:space="preserve"> byl</w:t>
      </w:r>
      <w:r w:rsidR="00C5458B">
        <w:rPr>
          <w:rFonts w:cstheme="minorHAnsi"/>
        </w:rPr>
        <w:t>a</w:t>
      </w:r>
      <w:r w:rsidR="00175880">
        <w:rPr>
          <w:rFonts w:cstheme="minorHAnsi"/>
        </w:rPr>
        <w:t xml:space="preserve"> data o účinnosti/bezpečnosti brána z výsledků studie ALFA-0701 (tj. SOC DC s GO </w:t>
      </w:r>
      <w:proofErr w:type="spellStart"/>
      <w:r w:rsidR="00175880">
        <w:rPr>
          <w:rFonts w:cstheme="minorHAnsi"/>
        </w:rPr>
        <w:t>vs</w:t>
      </w:r>
      <w:proofErr w:type="spellEnd"/>
      <w:r w:rsidR="00175880">
        <w:rPr>
          <w:rFonts w:cstheme="minorHAnsi"/>
        </w:rPr>
        <w:t xml:space="preserve"> SOC DC</w:t>
      </w:r>
      <w:r w:rsidR="001F2AAC">
        <w:rPr>
          <w:rFonts w:cstheme="minorHAnsi"/>
        </w:rPr>
        <w:t>, podle [1] bylo p</w:t>
      </w:r>
      <w:r w:rsidR="001F2AAC" w:rsidRPr="001F2AAC">
        <w:rPr>
          <w:rFonts w:cstheme="minorHAnsi"/>
        </w:rPr>
        <w:t>rocento buněk s expresí CD33</w:t>
      </w:r>
      <w:r w:rsidR="001F2AAC">
        <w:rPr>
          <w:rFonts w:cstheme="minorHAnsi"/>
        </w:rPr>
        <w:t xml:space="preserve"> (u celé populace) 90 %  - p</w:t>
      </w:r>
      <w:r w:rsidR="001F2AAC" w:rsidRPr="001F2AAC">
        <w:rPr>
          <w:rFonts w:cstheme="minorHAnsi"/>
        </w:rPr>
        <w:t xml:space="preserve">odle analýzy podskupin se nezdá, že by nízká exprese CD33 (&lt;30 % </w:t>
      </w:r>
      <w:proofErr w:type="spellStart"/>
      <w:r w:rsidR="001F2AAC" w:rsidRPr="001F2AAC">
        <w:rPr>
          <w:rFonts w:cstheme="minorHAnsi"/>
        </w:rPr>
        <w:t>blastů</w:t>
      </w:r>
      <w:proofErr w:type="spellEnd"/>
      <w:r w:rsidR="001F2AAC" w:rsidRPr="001F2AAC">
        <w:rPr>
          <w:rFonts w:cstheme="minorHAnsi"/>
        </w:rPr>
        <w:t xml:space="preserve">) měla vliv na EFS, nicméně byl hodnocen pouze malý počet pacientů (13,7 %) s nízkou </w:t>
      </w:r>
      <w:proofErr w:type="gramStart"/>
      <w:r w:rsidR="001F2AAC" w:rsidRPr="001F2AAC">
        <w:rPr>
          <w:rFonts w:cstheme="minorHAnsi"/>
        </w:rPr>
        <w:t>expresí</w:t>
      </w:r>
      <w:r w:rsidR="001F2AAC">
        <w:rPr>
          <w:rFonts w:cstheme="minorHAnsi"/>
        </w:rPr>
        <w:t xml:space="preserve"> !!</w:t>
      </w:r>
      <w:r w:rsidR="00175880">
        <w:rPr>
          <w:rFonts w:cstheme="minorHAnsi"/>
        </w:rPr>
        <w:t>) a analýza</w:t>
      </w:r>
      <w:proofErr w:type="gramEnd"/>
      <w:r w:rsidR="00175880">
        <w:rPr>
          <w:rFonts w:cstheme="minorHAnsi"/>
        </w:rPr>
        <w:t xml:space="preserve"> byla prováděna z celoživotního časového horizontu (40 </w:t>
      </w:r>
      <w:r w:rsidR="00175880" w:rsidRPr="00EC2D9C">
        <w:rPr>
          <w:rFonts w:cstheme="minorHAnsi"/>
        </w:rPr>
        <w:t>let)</w:t>
      </w:r>
      <w:r w:rsidR="000663D0" w:rsidRPr="00EC2D9C">
        <w:rPr>
          <w:rFonts w:cstheme="minorHAnsi"/>
        </w:rPr>
        <w:t>.</w:t>
      </w:r>
      <w:r w:rsidR="000663D0" w:rsidRPr="00EC2D9C">
        <w:rPr>
          <w:rFonts w:cstheme="minorHAnsi"/>
          <w:b/>
        </w:rPr>
        <w:t xml:space="preserve">  </w:t>
      </w:r>
      <w:r w:rsidR="000663D0" w:rsidRPr="00C5253A">
        <w:rPr>
          <w:rFonts w:cstheme="minorHAnsi"/>
          <w:b/>
          <w:sz w:val="28"/>
          <w:szCs w:val="28"/>
          <w:highlight w:val="yellow"/>
          <w:u w:val="single"/>
        </w:rPr>
        <w:t>Přírůstek QALY (rok života v plné kvalitě)</w:t>
      </w:r>
      <w:r w:rsidR="00EC2D9C" w:rsidRPr="00C5253A">
        <w:rPr>
          <w:rFonts w:cstheme="minorHAnsi"/>
          <w:b/>
          <w:sz w:val="28"/>
          <w:szCs w:val="28"/>
          <w:highlight w:val="yellow"/>
          <w:u w:val="single"/>
        </w:rPr>
        <w:t xml:space="preserve"> z celoživotního časového horizontu</w:t>
      </w:r>
      <w:r w:rsidR="000663D0" w:rsidRPr="00C5253A">
        <w:rPr>
          <w:rFonts w:cstheme="minorHAnsi"/>
          <w:b/>
          <w:sz w:val="28"/>
          <w:szCs w:val="28"/>
          <w:highlight w:val="yellow"/>
          <w:u w:val="single"/>
        </w:rPr>
        <w:t xml:space="preserve"> </w:t>
      </w:r>
      <w:r w:rsidR="004B6E90" w:rsidRPr="00C5253A">
        <w:rPr>
          <w:rFonts w:cstheme="minorHAnsi"/>
          <w:b/>
          <w:sz w:val="28"/>
          <w:szCs w:val="28"/>
          <w:highlight w:val="yellow"/>
          <w:u w:val="single"/>
        </w:rPr>
        <w:t xml:space="preserve">při použití </w:t>
      </w:r>
      <w:r w:rsidR="000663D0" w:rsidRPr="00C5253A">
        <w:rPr>
          <w:rFonts w:cstheme="minorHAnsi"/>
          <w:b/>
          <w:sz w:val="28"/>
          <w:szCs w:val="28"/>
          <w:highlight w:val="yellow"/>
          <w:u w:val="single"/>
        </w:rPr>
        <w:t xml:space="preserve">SOC DC s GO činil 0,59 – 0,73 oproti </w:t>
      </w:r>
      <w:r w:rsidR="004B6E90" w:rsidRPr="00C5253A">
        <w:rPr>
          <w:rFonts w:cstheme="minorHAnsi"/>
          <w:b/>
          <w:sz w:val="28"/>
          <w:szCs w:val="28"/>
          <w:highlight w:val="yellow"/>
          <w:u w:val="single"/>
        </w:rPr>
        <w:t xml:space="preserve">použití </w:t>
      </w:r>
      <w:r w:rsidR="000663D0" w:rsidRPr="00C5253A">
        <w:rPr>
          <w:rFonts w:cstheme="minorHAnsi"/>
          <w:b/>
          <w:sz w:val="28"/>
          <w:szCs w:val="28"/>
          <w:highlight w:val="yellow"/>
          <w:u w:val="single"/>
        </w:rPr>
        <w:t>SOC DC</w:t>
      </w:r>
      <w:r w:rsidR="000663D0" w:rsidRPr="00C5253A">
        <w:rPr>
          <w:rFonts w:cstheme="minorHAnsi"/>
          <w:b/>
          <w:sz w:val="28"/>
          <w:szCs w:val="28"/>
          <w:u w:val="single"/>
        </w:rPr>
        <w:t>.</w:t>
      </w:r>
      <w:r w:rsidR="000663D0">
        <w:rPr>
          <w:rFonts w:cstheme="minorHAnsi"/>
        </w:rPr>
        <w:t xml:space="preserve"> Dle [6] byla provedena FE analýza zvlášť pro podskupinu pacientů s vyloučením těch s nepříznivou (</w:t>
      </w:r>
      <w:proofErr w:type="spellStart"/>
      <w:r w:rsidR="000663D0">
        <w:rPr>
          <w:rFonts w:cstheme="minorHAnsi"/>
        </w:rPr>
        <w:t>unfavourable</w:t>
      </w:r>
      <w:proofErr w:type="spellEnd"/>
      <w:r w:rsidR="000663D0">
        <w:rPr>
          <w:rFonts w:cstheme="minorHAnsi"/>
        </w:rPr>
        <w:t>) cytogenetikou (viz výše graf EFS podskupin)</w:t>
      </w:r>
      <w:r w:rsidR="004A60CB">
        <w:rPr>
          <w:rFonts w:cstheme="minorHAnsi"/>
        </w:rPr>
        <w:t xml:space="preserve"> – tady přírůstek QALY činil 0,99.</w:t>
      </w:r>
      <w:r w:rsidR="001F2AAC">
        <w:rPr>
          <w:rFonts w:cstheme="minorHAnsi"/>
        </w:rPr>
        <w:t xml:space="preserve"> </w:t>
      </w:r>
      <w:r w:rsidR="00C5458B" w:rsidRPr="00DA1875">
        <w:rPr>
          <w:rFonts w:cstheme="minorHAnsi"/>
          <w:b/>
          <w:sz w:val="28"/>
          <w:szCs w:val="28"/>
          <w:highlight w:val="yellow"/>
          <w:u w:val="single"/>
        </w:rPr>
        <w:t>Přidání GO do terapie je účinnější a přináší větší přínos (v podobě kvality života), ale náklady na tuto léčbu jsou také vyšší. Proto rozhodnutí o nákladové efektivitě či neefektivitě</w:t>
      </w:r>
      <w:r w:rsidR="009629B4">
        <w:rPr>
          <w:rFonts w:cstheme="minorHAnsi"/>
          <w:b/>
          <w:sz w:val="28"/>
          <w:szCs w:val="28"/>
          <w:highlight w:val="yellow"/>
          <w:u w:val="single"/>
        </w:rPr>
        <w:t xml:space="preserve"> (tj. hodnota ICER)</w:t>
      </w:r>
      <w:r w:rsidR="0089104E" w:rsidRPr="00DA1875">
        <w:rPr>
          <w:rFonts w:cstheme="minorHAnsi"/>
          <w:b/>
          <w:sz w:val="28"/>
          <w:szCs w:val="28"/>
          <w:highlight w:val="yellow"/>
          <w:u w:val="single"/>
        </w:rPr>
        <w:t xml:space="preserve"> záleží na nastavení výši ceny, za kterou jsme ochotni vyšší přínos připlatit (tzv. hranice ochoty platit – WTP).</w:t>
      </w:r>
    </w:p>
    <w:p w:rsidR="0047701F" w:rsidRDefault="001F2AAC" w:rsidP="00E55B7A">
      <w:pPr>
        <w:jc w:val="both"/>
        <w:rPr>
          <w:rFonts w:cstheme="minorHAnsi"/>
        </w:rPr>
      </w:pPr>
      <w:r w:rsidRPr="0048576B">
        <w:rPr>
          <w:rFonts w:cstheme="minorHAnsi"/>
          <w:b/>
          <w:sz w:val="28"/>
          <w:szCs w:val="28"/>
          <w:highlight w:val="yellow"/>
        </w:rPr>
        <w:t xml:space="preserve">SUKL v [1] publikuje FE analýzu pro cílovou populaci pacientů starších 15let s dříve neléčenou de novo CD-33 pozitivní primární AML s příznivým nebo středním cytogenetickým rizikem s výjimkou akutní </w:t>
      </w:r>
      <w:proofErr w:type="spellStart"/>
      <w:r w:rsidRPr="0048576B">
        <w:rPr>
          <w:rFonts w:cstheme="minorHAnsi"/>
          <w:b/>
          <w:sz w:val="28"/>
          <w:szCs w:val="28"/>
          <w:highlight w:val="yellow"/>
        </w:rPr>
        <w:t>promyelotoxické</w:t>
      </w:r>
      <w:proofErr w:type="spellEnd"/>
      <w:r w:rsidRPr="0048576B">
        <w:rPr>
          <w:rFonts w:cstheme="minorHAnsi"/>
          <w:b/>
          <w:sz w:val="28"/>
          <w:szCs w:val="28"/>
          <w:highlight w:val="yellow"/>
        </w:rPr>
        <w:t xml:space="preserve"> leukémie </w:t>
      </w:r>
      <w:r w:rsidR="008902F9" w:rsidRPr="0048576B">
        <w:rPr>
          <w:rFonts w:cstheme="minorHAnsi"/>
          <w:b/>
          <w:sz w:val="28"/>
          <w:szCs w:val="28"/>
          <w:highlight w:val="yellow"/>
        </w:rPr>
        <w:t>–</w:t>
      </w:r>
      <w:r w:rsidRPr="0048576B">
        <w:rPr>
          <w:rFonts w:cstheme="minorHAnsi"/>
          <w:b/>
          <w:sz w:val="28"/>
          <w:szCs w:val="28"/>
          <w:highlight w:val="yellow"/>
        </w:rPr>
        <w:t xml:space="preserve"> </w:t>
      </w:r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>ICER</w:t>
      </w:r>
      <w:r w:rsidR="001C372D" w:rsidRPr="00DD55D7">
        <w:rPr>
          <w:rFonts w:cstheme="minorHAnsi"/>
          <w:b/>
          <w:sz w:val="28"/>
          <w:szCs w:val="28"/>
          <w:highlight w:val="yellow"/>
          <w:u w:val="single"/>
        </w:rPr>
        <w:t xml:space="preserve"> (SOC DC s GO vůči SOC DC)</w:t>
      </w:r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 xml:space="preserve"> </w:t>
      </w:r>
      <w:proofErr w:type="gramStart"/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>činil  802.405</w:t>
      </w:r>
      <w:proofErr w:type="gramEnd"/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 xml:space="preserve"> Kč /QALY (tzn. GO je nákladově efektivní z pohledu plátce zdravotního pojištění v ČR - výsledek analýzy nákladové efektivity leží pod hranicí ochoty platit</w:t>
      </w:r>
      <w:r w:rsidR="00DD55D7">
        <w:rPr>
          <w:rFonts w:cstheme="minorHAnsi"/>
          <w:b/>
          <w:sz w:val="28"/>
          <w:szCs w:val="28"/>
          <w:highlight w:val="yellow"/>
          <w:u w:val="single"/>
        </w:rPr>
        <w:t xml:space="preserve">, která je v ČR </w:t>
      </w:r>
      <w:proofErr w:type="spellStart"/>
      <w:r w:rsidR="00DD55D7">
        <w:rPr>
          <w:rFonts w:cstheme="minorHAnsi"/>
          <w:b/>
          <w:sz w:val="28"/>
          <w:szCs w:val="28"/>
          <w:highlight w:val="yellow"/>
          <w:u w:val="single"/>
        </w:rPr>
        <w:t>SUKLem</w:t>
      </w:r>
      <w:proofErr w:type="spellEnd"/>
      <w:r w:rsidR="00DD55D7">
        <w:rPr>
          <w:rFonts w:cstheme="minorHAnsi"/>
          <w:b/>
          <w:sz w:val="28"/>
          <w:szCs w:val="28"/>
          <w:highlight w:val="yellow"/>
          <w:u w:val="single"/>
        </w:rPr>
        <w:t xml:space="preserve"> stanovená</w:t>
      </w:r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 xml:space="preserve"> ve výši 1,2 mil. </w:t>
      </w:r>
      <w:proofErr w:type="spellStart"/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>Kč</w:t>
      </w:r>
      <w:proofErr w:type="spellEnd"/>
      <w:r w:rsidR="008902F9" w:rsidRPr="00DD55D7">
        <w:rPr>
          <w:rFonts w:cstheme="minorHAnsi"/>
          <w:b/>
          <w:sz w:val="28"/>
          <w:szCs w:val="28"/>
          <w:highlight w:val="yellow"/>
          <w:u w:val="single"/>
        </w:rPr>
        <w:t>/QALY).</w:t>
      </w:r>
      <w:r w:rsidR="008902F9" w:rsidRPr="0048576B">
        <w:rPr>
          <w:rFonts w:cstheme="minorHAnsi"/>
          <w:b/>
          <w:sz w:val="28"/>
          <w:szCs w:val="28"/>
          <w:highlight w:val="yellow"/>
        </w:rPr>
        <w:t xml:space="preserve">  ICER ve výše uvedené hodnotě vychází při následujících </w:t>
      </w:r>
      <w:r w:rsidR="009F5155">
        <w:rPr>
          <w:rFonts w:cstheme="minorHAnsi"/>
          <w:b/>
          <w:sz w:val="28"/>
          <w:szCs w:val="28"/>
          <w:highlight w:val="yellow"/>
        </w:rPr>
        <w:t xml:space="preserve">počítaných </w:t>
      </w:r>
      <w:r w:rsidR="008902F9" w:rsidRPr="0048576B">
        <w:rPr>
          <w:rFonts w:cstheme="minorHAnsi"/>
          <w:b/>
          <w:sz w:val="28"/>
          <w:szCs w:val="28"/>
          <w:highlight w:val="yellow"/>
        </w:rPr>
        <w:t xml:space="preserve">nákladech: transplantace – 1.040.868,43 Kč, </w:t>
      </w:r>
      <w:proofErr w:type="spellStart"/>
      <w:r w:rsidR="008902F9" w:rsidRPr="0048576B">
        <w:rPr>
          <w:rFonts w:cstheme="minorHAnsi"/>
          <w:b/>
          <w:sz w:val="28"/>
          <w:szCs w:val="28"/>
          <w:highlight w:val="yellow"/>
        </w:rPr>
        <w:t>Mylotarg</w:t>
      </w:r>
      <w:proofErr w:type="spellEnd"/>
      <w:r w:rsidR="008902F9" w:rsidRPr="0048576B">
        <w:rPr>
          <w:rFonts w:cstheme="minorHAnsi"/>
          <w:b/>
          <w:sz w:val="28"/>
          <w:szCs w:val="28"/>
          <w:highlight w:val="yellow"/>
        </w:rPr>
        <w:t xml:space="preserve"> – </w:t>
      </w:r>
      <w:r w:rsidR="008902F9" w:rsidRPr="0048576B">
        <w:rPr>
          <w:rFonts w:cstheme="minorHAnsi"/>
          <w:b/>
          <w:sz w:val="28"/>
          <w:szCs w:val="28"/>
          <w:highlight w:val="yellow"/>
        </w:rPr>
        <w:lastRenderedPageBreak/>
        <w:t>193.625,70 Kč/balení</w:t>
      </w:r>
      <w:r w:rsidR="006C2589" w:rsidRPr="0048576B">
        <w:rPr>
          <w:rFonts w:cstheme="minorHAnsi"/>
          <w:b/>
          <w:sz w:val="28"/>
          <w:szCs w:val="28"/>
          <w:highlight w:val="yellow"/>
        </w:rPr>
        <w:t xml:space="preserve">. </w:t>
      </w:r>
      <w:r w:rsidR="007928E7" w:rsidRPr="0048576B">
        <w:rPr>
          <w:rFonts w:cstheme="minorHAnsi"/>
          <w:b/>
          <w:sz w:val="28"/>
          <w:szCs w:val="28"/>
          <w:highlight w:val="yellow"/>
        </w:rPr>
        <w:t xml:space="preserve"> Ve FN Olomouc by cena </w:t>
      </w:r>
      <w:proofErr w:type="spellStart"/>
      <w:r w:rsidR="007928E7" w:rsidRPr="0048576B">
        <w:rPr>
          <w:rFonts w:cstheme="minorHAnsi"/>
          <w:b/>
          <w:sz w:val="28"/>
          <w:szCs w:val="28"/>
          <w:highlight w:val="yellow"/>
        </w:rPr>
        <w:t>Mylotargu</w:t>
      </w:r>
      <w:proofErr w:type="spellEnd"/>
      <w:r w:rsidR="007928E7" w:rsidRPr="0048576B">
        <w:rPr>
          <w:rFonts w:cstheme="minorHAnsi"/>
          <w:b/>
          <w:sz w:val="28"/>
          <w:szCs w:val="28"/>
          <w:highlight w:val="yellow"/>
        </w:rPr>
        <w:t xml:space="preserve"> za balení měla činit cca 156.111 Kč vč.</w:t>
      </w:r>
      <w:r w:rsidR="0048576B">
        <w:rPr>
          <w:rFonts w:cstheme="minorHAnsi"/>
          <w:b/>
          <w:sz w:val="28"/>
          <w:szCs w:val="28"/>
          <w:highlight w:val="yellow"/>
        </w:rPr>
        <w:t xml:space="preserve"> </w:t>
      </w:r>
      <w:r w:rsidR="007928E7" w:rsidRPr="0048576B">
        <w:rPr>
          <w:rFonts w:cstheme="minorHAnsi"/>
          <w:b/>
          <w:sz w:val="28"/>
          <w:szCs w:val="28"/>
          <w:highlight w:val="yellow"/>
        </w:rPr>
        <w:t xml:space="preserve">DPH (úhrada dle </w:t>
      </w:r>
      <w:proofErr w:type="spellStart"/>
      <w:r w:rsidR="007928E7" w:rsidRPr="0048576B">
        <w:rPr>
          <w:rFonts w:cstheme="minorHAnsi"/>
          <w:b/>
          <w:sz w:val="28"/>
          <w:szCs w:val="28"/>
          <w:highlight w:val="yellow"/>
        </w:rPr>
        <w:t>SUKLu</w:t>
      </w:r>
      <w:proofErr w:type="spellEnd"/>
      <w:r w:rsidR="007928E7" w:rsidRPr="0048576B">
        <w:rPr>
          <w:rFonts w:cstheme="minorHAnsi"/>
          <w:b/>
          <w:sz w:val="28"/>
          <w:szCs w:val="28"/>
          <w:highlight w:val="yellow"/>
        </w:rPr>
        <w:t xml:space="preserve"> činí 163.251,55 Kč) – tzn. výsledný ICER by byl v podmínkách FNOL o něco nižší</w:t>
      </w:r>
      <w:r w:rsidR="008902F9" w:rsidRPr="0048576B">
        <w:rPr>
          <w:rFonts w:cstheme="minorHAnsi"/>
          <w:b/>
          <w:sz w:val="28"/>
          <w:szCs w:val="28"/>
        </w:rPr>
        <w:t xml:space="preserve"> </w:t>
      </w:r>
      <w:r w:rsidR="000F603A">
        <w:rPr>
          <w:rFonts w:cstheme="minorHAnsi"/>
        </w:rPr>
        <w:t>(p</w:t>
      </w:r>
      <w:r w:rsidR="001C372D">
        <w:rPr>
          <w:rFonts w:cstheme="minorHAnsi"/>
        </w:rPr>
        <w:t xml:space="preserve">ozn.: </w:t>
      </w:r>
      <w:r w:rsidR="00DF029D">
        <w:rPr>
          <w:rFonts w:cstheme="minorHAnsi"/>
        </w:rPr>
        <w:t xml:space="preserve">ICER </w:t>
      </w:r>
      <w:r w:rsidR="001C372D">
        <w:rPr>
          <w:rFonts w:cstheme="minorHAnsi"/>
        </w:rPr>
        <w:t>802.405 Kč za QALY znamená, že při použití GO s SOC DC vynaložíme navíc 802.405 Kč, abychom získali pro pacienta navíc 1 rok života v plné kv</w:t>
      </w:r>
      <w:r w:rsidR="000F603A">
        <w:rPr>
          <w:rFonts w:cstheme="minorHAnsi"/>
        </w:rPr>
        <w:t>alitě oproti použití jen SOC DC</w:t>
      </w:r>
      <w:r w:rsidR="00DF029D">
        <w:rPr>
          <w:rFonts w:cstheme="minorHAnsi"/>
        </w:rPr>
        <w:t>, dle [1] n</w:t>
      </w:r>
      <w:r w:rsidR="00DF029D" w:rsidRPr="00DF029D">
        <w:rPr>
          <w:rFonts w:cstheme="minorHAnsi"/>
        </w:rPr>
        <w:t>ejvětší vliv na výsledek</w:t>
      </w:r>
      <w:r w:rsidR="00DF029D">
        <w:rPr>
          <w:rFonts w:cstheme="minorHAnsi"/>
        </w:rPr>
        <w:t xml:space="preserve"> ICER</w:t>
      </w:r>
      <w:r w:rsidR="00DF029D" w:rsidRPr="00DF029D">
        <w:rPr>
          <w:rFonts w:cstheme="minorHAnsi"/>
        </w:rPr>
        <w:t xml:space="preserve"> měly</w:t>
      </w:r>
      <w:r w:rsidR="00B66B5F">
        <w:rPr>
          <w:rFonts w:cstheme="minorHAnsi"/>
        </w:rPr>
        <w:t xml:space="preserve"> následující</w:t>
      </w:r>
      <w:r w:rsidR="00DF029D" w:rsidRPr="00DF029D">
        <w:rPr>
          <w:rFonts w:cstheme="minorHAnsi"/>
        </w:rPr>
        <w:t xml:space="preserve"> parametry</w:t>
      </w:r>
      <w:r w:rsidR="00802654">
        <w:rPr>
          <w:rFonts w:cstheme="minorHAnsi"/>
        </w:rPr>
        <w:t>:</w:t>
      </w:r>
      <w:r w:rsidR="00DF029D" w:rsidRPr="00DF029D">
        <w:rPr>
          <w:rFonts w:cstheme="minorHAnsi"/>
        </w:rPr>
        <w:t xml:space="preserve"> průměrná doba do HSCT</w:t>
      </w:r>
      <w:r w:rsidR="00BF092F">
        <w:rPr>
          <w:rFonts w:cstheme="minorHAnsi"/>
        </w:rPr>
        <w:t xml:space="preserve"> (transplantace kostní dřeně)</w:t>
      </w:r>
      <w:r w:rsidR="00DF029D" w:rsidRPr="00DF029D">
        <w:rPr>
          <w:rFonts w:cstheme="minorHAnsi"/>
        </w:rPr>
        <w:t xml:space="preserve">, pravděpodobnost HSCT po </w:t>
      </w:r>
      <w:proofErr w:type="spellStart"/>
      <w:r w:rsidR="00DF029D" w:rsidRPr="00DF029D">
        <w:rPr>
          <w:rFonts w:cstheme="minorHAnsi"/>
        </w:rPr>
        <w:t>relapsu</w:t>
      </w:r>
      <w:proofErr w:type="spellEnd"/>
      <w:r w:rsidR="00DF029D" w:rsidRPr="00DF029D">
        <w:rPr>
          <w:rFonts w:cstheme="minorHAnsi"/>
        </w:rPr>
        <w:t xml:space="preserve"> a náklady na HSCT</w:t>
      </w:r>
      <w:r w:rsidR="00DF029D">
        <w:rPr>
          <w:rFonts w:cstheme="minorHAnsi"/>
        </w:rPr>
        <w:t xml:space="preserve"> – např. při nákladech na transplantaci ve výši cca 3,2 mil. Kč vychází ICER 579.480 Kč /QALY</w:t>
      </w:r>
      <w:r w:rsidR="005C3646">
        <w:rPr>
          <w:rFonts w:cstheme="minorHAnsi"/>
        </w:rPr>
        <w:t xml:space="preserve">, tj. čím nižší bude cena </w:t>
      </w:r>
      <w:proofErr w:type="spellStart"/>
      <w:r w:rsidR="005C3646">
        <w:rPr>
          <w:rFonts w:cstheme="minorHAnsi"/>
        </w:rPr>
        <w:t>Mylotargu</w:t>
      </w:r>
      <w:proofErr w:type="spellEnd"/>
      <w:r w:rsidR="005C3646">
        <w:rPr>
          <w:rFonts w:cstheme="minorHAnsi"/>
        </w:rPr>
        <w:t xml:space="preserve"> a/nebo čím vyšší budou náklady za transplantaci, tím nižší bude výsledný ICER a tím bude GO nákladově efektivnější</w:t>
      </w:r>
      <w:r w:rsidR="009F5155">
        <w:rPr>
          <w:rFonts w:cstheme="minorHAnsi"/>
        </w:rPr>
        <w:t>, dle výsledků publikovaných v [3] lze také předpokládat, že výsledný ICER bude nižší u populace pacientů s příznivým cytogenetickým rizikem</w:t>
      </w:r>
      <w:r w:rsidR="00B66B5F">
        <w:rPr>
          <w:rFonts w:cstheme="minorHAnsi"/>
        </w:rPr>
        <w:t xml:space="preserve">, ale FE analýza pro tuto </w:t>
      </w:r>
      <w:proofErr w:type="spellStart"/>
      <w:r w:rsidR="00B66B5F">
        <w:rPr>
          <w:rFonts w:cstheme="minorHAnsi"/>
        </w:rPr>
        <w:t>subpopulaci</w:t>
      </w:r>
      <w:proofErr w:type="spellEnd"/>
      <w:r w:rsidR="00B66B5F">
        <w:rPr>
          <w:rFonts w:cstheme="minorHAnsi"/>
        </w:rPr>
        <w:t xml:space="preserve"> nebyla prováděna</w:t>
      </w:r>
      <w:r w:rsidR="000F603A">
        <w:rPr>
          <w:rFonts w:cstheme="minorHAnsi"/>
        </w:rPr>
        <w:t>).</w:t>
      </w:r>
    </w:p>
    <w:p w:rsidR="00120BBC" w:rsidRPr="001C372D" w:rsidRDefault="00120BBC" w:rsidP="00E55B7A">
      <w:pPr>
        <w:jc w:val="both"/>
        <w:rPr>
          <w:rFonts w:cstheme="minorHAnsi"/>
        </w:rPr>
      </w:pPr>
    </w:p>
    <w:p w:rsidR="00535327" w:rsidRDefault="00810121" w:rsidP="009B7A13">
      <w:pPr>
        <w:jc w:val="both"/>
      </w:pPr>
      <w:r>
        <w:t xml:space="preserve">Vypracoval Mgr. Jaroslav Duda dne </w:t>
      </w:r>
      <w:proofErr w:type="gramStart"/>
      <w:r>
        <w:t>25.5.2020</w:t>
      </w:r>
      <w:proofErr w:type="gramEnd"/>
    </w:p>
    <w:p w:rsidR="00E72955" w:rsidRDefault="00E72955" w:rsidP="009B7A13">
      <w:pPr>
        <w:jc w:val="both"/>
      </w:pPr>
    </w:p>
    <w:p w:rsidR="00015AB4" w:rsidRPr="003614CC" w:rsidRDefault="00015AB4" w:rsidP="00015AB4">
      <w:pPr>
        <w:spacing w:after="0"/>
        <w:jc w:val="both"/>
        <w:rPr>
          <w:sz w:val="20"/>
          <w:szCs w:val="20"/>
        </w:rPr>
      </w:pPr>
      <w:r w:rsidRPr="003614CC">
        <w:rPr>
          <w:sz w:val="20"/>
          <w:szCs w:val="20"/>
        </w:rPr>
        <w:t>Použité zdroje:</w:t>
      </w:r>
    </w:p>
    <w:p w:rsidR="00CA026E" w:rsidRPr="003614CC" w:rsidRDefault="00CA026E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3614CC">
        <w:rPr>
          <w:sz w:val="20"/>
          <w:szCs w:val="20"/>
        </w:rPr>
        <w:t xml:space="preserve">Rozhodnutí SUKL k přípravku </w:t>
      </w:r>
      <w:proofErr w:type="spellStart"/>
      <w:r w:rsidRPr="003614CC">
        <w:rPr>
          <w:sz w:val="20"/>
          <w:szCs w:val="20"/>
        </w:rPr>
        <w:t>Mylotarg</w:t>
      </w:r>
      <w:proofErr w:type="spellEnd"/>
      <w:r w:rsidRPr="003614CC">
        <w:rPr>
          <w:sz w:val="20"/>
          <w:szCs w:val="20"/>
        </w:rPr>
        <w:t xml:space="preserve"> ze dne </w:t>
      </w:r>
      <w:proofErr w:type="gramStart"/>
      <w:r w:rsidRPr="003614CC">
        <w:rPr>
          <w:sz w:val="20"/>
          <w:szCs w:val="20"/>
        </w:rPr>
        <w:t>4.5.2020</w:t>
      </w:r>
      <w:proofErr w:type="gramEnd"/>
      <w:r w:rsidRPr="003614CC">
        <w:rPr>
          <w:sz w:val="20"/>
          <w:szCs w:val="20"/>
        </w:rPr>
        <w:t>.</w:t>
      </w:r>
    </w:p>
    <w:p w:rsidR="00CA026E" w:rsidRPr="003614CC" w:rsidRDefault="002A3EAE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3614CC">
        <w:rPr>
          <w:sz w:val="20"/>
          <w:szCs w:val="20"/>
        </w:rPr>
        <w:t>p</w:t>
      </w:r>
      <w:r w:rsidR="00037534" w:rsidRPr="003614CC">
        <w:rPr>
          <w:sz w:val="20"/>
          <w:szCs w:val="20"/>
        </w:rPr>
        <w:t>CODR</w:t>
      </w:r>
      <w:proofErr w:type="spellEnd"/>
      <w:r w:rsidR="00037534" w:rsidRPr="003614CC">
        <w:rPr>
          <w:sz w:val="20"/>
          <w:szCs w:val="20"/>
        </w:rPr>
        <w:t xml:space="preserve"> </w:t>
      </w:r>
      <w:proofErr w:type="spellStart"/>
      <w:r w:rsidR="00037534" w:rsidRPr="003614CC">
        <w:rPr>
          <w:sz w:val="20"/>
          <w:szCs w:val="20"/>
        </w:rPr>
        <w:t>Final</w:t>
      </w:r>
      <w:proofErr w:type="spellEnd"/>
      <w:r w:rsidR="00037534" w:rsidRPr="003614CC">
        <w:rPr>
          <w:sz w:val="20"/>
          <w:szCs w:val="20"/>
        </w:rPr>
        <w:t xml:space="preserve"> </w:t>
      </w:r>
      <w:proofErr w:type="spellStart"/>
      <w:r w:rsidR="00037534" w:rsidRPr="003614CC">
        <w:rPr>
          <w:sz w:val="20"/>
          <w:szCs w:val="20"/>
        </w:rPr>
        <w:t>Clinical</w:t>
      </w:r>
      <w:proofErr w:type="spellEnd"/>
      <w:r w:rsidR="00037534" w:rsidRPr="003614CC">
        <w:rPr>
          <w:sz w:val="20"/>
          <w:szCs w:val="20"/>
        </w:rPr>
        <w:t xml:space="preserve"> </w:t>
      </w:r>
      <w:proofErr w:type="spellStart"/>
      <w:r w:rsidR="00037534" w:rsidRPr="003614CC">
        <w:rPr>
          <w:sz w:val="20"/>
          <w:szCs w:val="20"/>
        </w:rPr>
        <w:t>Guidance</w:t>
      </w:r>
      <w:proofErr w:type="spellEnd"/>
      <w:r w:rsidR="00037534" w:rsidRPr="003614CC">
        <w:rPr>
          <w:sz w:val="20"/>
          <w:szCs w:val="20"/>
        </w:rPr>
        <w:t xml:space="preserve"> Report - </w:t>
      </w:r>
      <w:proofErr w:type="spellStart"/>
      <w:r w:rsidR="005E4A35" w:rsidRPr="003614CC">
        <w:rPr>
          <w:sz w:val="20"/>
          <w:szCs w:val="20"/>
        </w:rPr>
        <w:t>Gemtuzumab</w:t>
      </w:r>
      <w:proofErr w:type="spellEnd"/>
      <w:r w:rsidR="005E4A35" w:rsidRPr="003614CC">
        <w:rPr>
          <w:sz w:val="20"/>
          <w:szCs w:val="20"/>
        </w:rPr>
        <w:t xml:space="preserve"> </w:t>
      </w:r>
      <w:proofErr w:type="spellStart"/>
      <w:r w:rsidR="005E4A35" w:rsidRPr="003614CC">
        <w:rPr>
          <w:sz w:val="20"/>
          <w:szCs w:val="20"/>
        </w:rPr>
        <w:t>Ozogamicin</w:t>
      </w:r>
      <w:proofErr w:type="spellEnd"/>
      <w:r w:rsidR="005E4A35" w:rsidRPr="003614CC">
        <w:rPr>
          <w:sz w:val="20"/>
          <w:szCs w:val="20"/>
        </w:rPr>
        <w:t xml:space="preserve"> (</w:t>
      </w:r>
      <w:proofErr w:type="spellStart"/>
      <w:r w:rsidR="005E4A35" w:rsidRPr="003614CC">
        <w:rPr>
          <w:sz w:val="20"/>
          <w:szCs w:val="20"/>
        </w:rPr>
        <w:t>Mylotarg</w:t>
      </w:r>
      <w:proofErr w:type="spellEnd"/>
      <w:r w:rsidR="005E4A35" w:rsidRPr="003614CC">
        <w:rPr>
          <w:sz w:val="20"/>
          <w:szCs w:val="20"/>
        </w:rPr>
        <w:t xml:space="preserve">) </w:t>
      </w:r>
      <w:proofErr w:type="spellStart"/>
      <w:r w:rsidR="005E4A35" w:rsidRPr="003614CC">
        <w:rPr>
          <w:sz w:val="20"/>
          <w:szCs w:val="20"/>
        </w:rPr>
        <w:t>for</w:t>
      </w:r>
      <w:proofErr w:type="spellEnd"/>
      <w:r w:rsidR="005E4A35" w:rsidRPr="003614CC">
        <w:rPr>
          <w:sz w:val="20"/>
          <w:szCs w:val="20"/>
        </w:rPr>
        <w:t xml:space="preserve"> </w:t>
      </w:r>
      <w:proofErr w:type="spellStart"/>
      <w:r w:rsidR="005E4A35" w:rsidRPr="003614CC">
        <w:rPr>
          <w:sz w:val="20"/>
          <w:szCs w:val="20"/>
        </w:rPr>
        <w:t>Acute</w:t>
      </w:r>
      <w:proofErr w:type="spellEnd"/>
      <w:r w:rsidR="005E4A35" w:rsidRPr="003614CC">
        <w:rPr>
          <w:sz w:val="20"/>
          <w:szCs w:val="20"/>
        </w:rPr>
        <w:t xml:space="preserve"> </w:t>
      </w:r>
      <w:proofErr w:type="spellStart"/>
      <w:r w:rsidR="005E4A35" w:rsidRPr="003614CC">
        <w:rPr>
          <w:sz w:val="20"/>
          <w:szCs w:val="20"/>
        </w:rPr>
        <w:t>Myeloid</w:t>
      </w:r>
      <w:proofErr w:type="spellEnd"/>
      <w:r w:rsidR="005E4A35" w:rsidRPr="003614CC">
        <w:rPr>
          <w:sz w:val="20"/>
          <w:szCs w:val="20"/>
        </w:rPr>
        <w:t xml:space="preserve"> Leukemie. </w:t>
      </w:r>
      <w:r w:rsidR="005E4A35" w:rsidRPr="003614CC">
        <w:rPr>
          <w:i/>
          <w:sz w:val="20"/>
          <w:szCs w:val="20"/>
        </w:rPr>
        <w:t>Pan-</w:t>
      </w:r>
      <w:proofErr w:type="spellStart"/>
      <w:r w:rsidR="005E4A35" w:rsidRPr="003614CC">
        <w:rPr>
          <w:i/>
          <w:sz w:val="20"/>
          <w:szCs w:val="20"/>
        </w:rPr>
        <w:t>Canadian</w:t>
      </w:r>
      <w:proofErr w:type="spellEnd"/>
      <w:r w:rsidR="005E4A35" w:rsidRPr="003614CC">
        <w:rPr>
          <w:i/>
          <w:sz w:val="20"/>
          <w:szCs w:val="20"/>
        </w:rPr>
        <w:t xml:space="preserve"> </w:t>
      </w:r>
      <w:proofErr w:type="spellStart"/>
      <w:r w:rsidR="005E4A35" w:rsidRPr="003614CC">
        <w:rPr>
          <w:i/>
          <w:sz w:val="20"/>
          <w:szCs w:val="20"/>
        </w:rPr>
        <w:t>Oncology</w:t>
      </w:r>
      <w:proofErr w:type="spellEnd"/>
      <w:r w:rsidR="005E4A35" w:rsidRPr="003614CC">
        <w:rPr>
          <w:i/>
          <w:sz w:val="20"/>
          <w:szCs w:val="20"/>
        </w:rPr>
        <w:t xml:space="preserve"> </w:t>
      </w:r>
      <w:proofErr w:type="spellStart"/>
      <w:r w:rsidR="005E4A35" w:rsidRPr="003614CC">
        <w:rPr>
          <w:i/>
          <w:sz w:val="20"/>
          <w:szCs w:val="20"/>
        </w:rPr>
        <w:t>Drug</w:t>
      </w:r>
      <w:proofErr w:type="spellEnd"/>
      <w:r w:rsidR="005E4A35" w:rsidRPr="003614CC">
        <w:rPr>
          <w:i/>
          <w:sz w:val="20"/>
          <w:szCs w:val="20"/>
        </w:rPr>
        <w:t xml:space="preserve"> </w:t>
      </w:r>
      <w:proofErr w:type="spellStart"/>
      <w:r w:rsidR="005E4A35" w:rsidRPr="003614CC">
        <w:rPr>
          <w:i/>
          <w:sz w:val="20"/>
          <w:szCs w:val="20"/>
        </w:rPr>
        <w:t>Review</w:t>
      </w:r>
      <w:proofErr w:type="spellEnd"/>
      <w:r w:rsidR="005E4A35" w:rsidRPr="003614CC">
        <w:rPr>
          <w:i/>
          <w:sz w:val="20"/>
          <w:szCs w:val="20"/>
        </w:rPr>
        <w:t>.</w:t>
      </w:r>
      <w:r w:rsidR="005E4A35" w:rsidRPr="003614CC">
        <w:rPr>
          <w:sz w:val="20"/>
          <w:szCs w:val="20"/>
        </w:rPr>
        <w:t xml:space="preserve"> 2. </w:t>
      </w:r>
      <w:proofErr w:type="spellStart"/>
      <w:r w:rsidR="005E4A35" w:rsidRPr="003614CC">
        <w:rPr>
          <w:sz w:val="20"/>
          <w:szCs w:val="20"/>
        </w:rPr>
        <w:t>April</w:t>
      </w:r>
      <w:proofErr w:type="spellEnd"/>
      <w:r w:rsidR="005E4A35" w:rsidRPr="003614CC">
        <w:rPr>
          <w:sz w:val="20"/>
          <w:szCs w:val="20"/>
        </w:rPr>
        <w:t>, 2020</w:t>
      </w:r>
      <w:r w:rsidR="00D8112C" w:rsidRPr="003614CC">
        <w:rPr>
          <w:sz w:val="20"/>
          <w:szCs w:val="20"/>
        </w:rPr>
        <w:t>.</w:t>
      </w:r>
    </w:p>
    <w:p w:rsidR="00D8112C" w:rsidRPr="003614CC" w:rsidRDefault="00D8112C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3614CC">
        <w:rPr>
          <w:sz w:val="20"/>
          <w:szCs w:val="20"/>
        </w:rPr>
        <w:t>Hills</w:t>
      </w:r>
      <w:proofErr w:type="spellEnd"/>
      <w:r w:rsidRPr="003614CC">
        <w:rPr>
          <w:sz w:val="20"/>
          <w:szCs w:val="20"/>
        </w:rPr>
        <w:t xml:space="preserve"> </w:t>
      </w:r>
      <w:proofErr w:type="gramStart"/>
      <w:r w:rsidRPr="003614CC">
        <w:rPr>
          <w:sz w:val="20"/>
          <w:szCs w:val="20"/>
        </w:rPr>
        <w:t xml:space="preserve">k.R </w:t>
      </w:r>
      <w:proofErr w:type="spellStart"/>
      <w:r w:rsidRPr="003614CC">
        <w:rPr>
          <w:sz w:val="20"/>
          <w:szCs w:val="20"/>
        </w:rPr>
        <w:t>et</w:t>
      </w:r>
      <w:proofErr w:type="spellEnd"/>
      <w:proofErr w:type="gram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al</w:t>
      </w:r>
      <w:proofErr w:type="spellEnd"/>
      <w:r w:rsidRPr="003614CC">
        <w:rPr>
          <w:sz w:val="20"/>
          <w:szCs w:val="20"/>
        </w:rPr>
        <w:t xml:space="preserve">. </w:t>
      </w:r>
      <w:proofErr w:type="spellStart"/>
      <w:r w:rsidRPr="003614CC">
        <w:rPr>
          <w:sz w:val="20"/>
          <w:szCs w:val="20"/>
        </w:rPr>
        <w:t>Addition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gemtuzumab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ozogamicin</w:t>
      </w:r>
      <w:proofErr w:type="spellEnd"/>
      <w:r w:rsidRPr="003614CC">
        <w:rPr>
          <w:sz w:val="20"/>
          <w:szCs w:val="20"/>
        </w:rPr>
        <w:t xml:space="preserve"> to </w:t>
      </w:r>
      <w:proofErr w:type="spellStart"/>
      <w:r w:rsidRPr="003614CC">
        <w:rPr>
          <w:sz w:val="20"/>
          <w:szCs w:val="20"/>
        </w:rPr>
        <w:t>induction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chemotherapy</w:t>
      </w:r>
      <w:proofErr w:type="spellEnd"/>
      <w:r w:rsidRPr="003614CC">
        <w:rPr>
          <w:sz w:val="20"/>
          <w:szCs w:val="20"/>
        </w:rPr>
        <w:t xml:space="preserve"> in </w:t>
      </w:r>
      <w:proofErr w:type="spellStart"/>
      <w:r w:rsidRPr="003614CC">
        <w:rPr>
          <w:sz w:val="20"/>
          <w:szCs w:val="20"/>
        </w:rPr>
        <w:t>adult</w:t>
      </w:r>
      <w:proofErr w:type="spellEnd"/>
      <w:r w:rsidRPr="003614CC">
        <w:rPr>
          <w:sz w:val="20"/>
          <w:szCs w:val="20"/>
        </w:rPr>
        <w:t xml:space="preserve"> patiens </w:t>
      </w:r>
      <w:proofErr w:type="spellStart"/>
      <w:r w:rsidRPr="003614CC">
        <w:rPr>
          <w:sz w:val="20"/>
          <w:szCs w:val="20"/>
        </w:rPr>
        <w:t>with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acute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myeloid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leukaemia</w:t>
      </w:r>
      <w:proofErr w:type="spellEnd"/>
      <w:r w:rsidRPr="003614CC">
        <w:rPr>
          <w:sz w:val="20"/>
          <w:szCs w:val="20"/>
        </w:rPr>
        <w:t>: a meta-</w:t>
      </w:r>
      <w:proofErr w:type="spellStart"/>
      <w:r w:rsidRPr="003614CC">
        <w:rPr>
          <w:sz w:val="20"/>
          <w:szCs w:val="20"/>
        </w:rPr>
        <w:t>analysis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individual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patient</w:t>
      </w:r>
      <w:proofErr w:type="spellEnd"/>
      <w:r w:rsidRPr="003614CC">
        <w:rPr>
          <w:sz w:val="20"/>
          <w:szCs w:val="20"/>
        </w:rPr>
        <w:t xml:space="preserve"> data </w:t>
      </w:r>
      <w:proofErr w:type="spellStart"/>
      <w:r w:rsidRPr="003614CC">
        <w:rPr>
          <w:sz w:val="20"/>
          <w:szCs w:val="20"/>
        </w:rPr>
        <w:t>from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randomised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controlled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trials</w:t>
      </w:r>
      <w:proofErr w:type="spellEnd"/>
      <w:r w:rsidRPr="003614CC">
        <w:rPr>
          <w:i/>
          <w:sz w:val="20"/>
          <w:szCs w:val="20"/>
        </w:rPr>
        <w:t xml:space="preserve">. Lancet </w:t>
      </w:r>
      <w:proofErr w:type="spellStart"/>
      <w:r w:rsidRPr="003614CC">
        <w:rPr>
          <w:i/>
          <w:sz w:val="20"/>
          <w:szCs w:val="20"/>
        </w:rPr>
        <w:t>Oncol</w:t>
      </w:r>
      <w:proofErr w:type="spellEnd"/>
      <w:r w:rsidRPr="003614CC">
        <w:rPr>
          <w:sz w:val="20"/>
          <w:szCs w:val="20"/>
        </w:rPr>
        <w:t xml:space="preserve"> 2014</w:t>
      </w:r>
      <w:r w:rsidRPr="003614CC">
        <w:rPr>
          <w:rFonts w:cstheme="minorHAnsi"/>
          <w:sz w:val="20"/>
          <w:szCs w:val="20"/>
        </w:rPr>
        <w:t>;</w:t>
      </w:r>
      <w:r w:rsidRPr="003614CC">
        <w:rPr>
          <w:sz w:val="20"/>
          <w:szCs w:val="20"/>
        </w:rPr>
        <w:t xml:space="preserve"> 15</w:t>
      </w:r>
      <w:r w:rsidR="007F2917" w:rsidRPr="003614CC">
        <w:rPr>
          <w:sz w:val="20"/>
          <w:szCs w:val="20"/>
        </w:rPr>
        <w:t>(9)</w:t>
      </w:r>
      <w:r w:rsidRPr="003614CC">
        <w:rPr>
          <w:sz w:val="20"/>
          <w:szCs w:val="20"/>
        </w:rPr>
        <w:t>: 986-9</w:t>
      </w:r>
      <w:r w:rsidR="007F2917" w:rsidRPr="003614CC">
        <w:rPr>
          <w:sz w:val="20"/>
          <w:szCs w:val="20"/>
        </w:rPr>
        <w:t>9</w:t>
      </w:r>
      <w:r w:rsidRPr="003614CC">
        <w:rPr>
          <w:sz w:val="20"/>
          <w:szCs w:val="20"/>
        </w:rPr>
        <w:t>6.</w:t>
      </w:r>
    </w:p>
    <w:p w:rsidR="00140216" w:rsidRPr="003614CC" w:rsidRDefault="00140216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3614CC">
        <w:rPr>
          <w:sz w:val="20"/>
          <w:szCs w:val="20"/>
        </w:rPr>
        <w:t xml:space="preserve">Lambert J, </w:t>
      </w:r>
      <w:proofErr w:type="spellStart"/>
      <w:r w:rsidRPr="003614CC">
        <w:rPr>
          <w:sz w:val="20"/>
          <w:szCs w:val="20"/>
        </w:rPr>
        <w:t>Pautas</w:t>
      </w:r>
      <w:proofErr w:type="spellEnd"/>
      <w:r w:rsidRPr="003614CC">
        <w:rPr>
          <w:sz w:val="20"/>
          <w:szCs w:val="20"/>
        </w:rPr>
        <w:t xml:space="preserve"> C, </w:t>
      </w:r>
      <w:proofErr w:type="spellStart"/>
      <w:r w:rsidRPr="003614CC">
        <w:rPr>
          <w:sz w:val="20"/>
          <w:szCs w:val="20"/>
        </w:rPr>
        <w:t>Terre</w:t>
      </w:r>
      <w:proofErr w:type="spellEnd"/>
      <w:r w:rsidRPr="003614CC">
        <w:rPr>
          <w:sz w:val="20"/>
          <w:szCs w:val="20"/>
        </w:rPr>
        <w:t xml:space="preserve"> C, </w:t>
      </w:r>
      <w:proofErr w:type="spellStart"/>
      <w:r w:rsidRPr="003614CC">
        <w:rPr>
          <w:sz w:val="20"/>
          <w:szCs w:val="20"/>
        </w:rPr>
        <w:t>et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al</w:t>
      </w:r>
      <w:proofErr w:type="spellEnd"/>
      <w:r w:rsidRPr="003614CC">
        <w:rPr>
          <w:sz w:val="20"/>
          <w:szCs w:val="20"/>
        </w:rPr>
        <w:t xml:space="preserve">. </w:t>
      </w:r>
      <w:proofErr w:type="spellStart"/>
      <w:r w:rsidRPr="003614CC">
        <w:rPr>
          <w:sz w:val="20"/>
          <w:szCs w:val="20"/>
        </w:rPr>
        <w:t>Gemtuzumab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ozogamicin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for</w:t>
      </w:r>
      <w:proofErr w:type="spellEnd"/>
      <w:r w:rsidRPr="003614CC">
        <w:rPr>
          <w:sz w:val="20"/>
          <w:szCs w:val="20"/>
        </w:rPr>
        <w:t xml:space="preserve"> de novo </w:t>
      </w:r>
      <w:proofErr w:type="spellStart"/>
      <w:r w:rsidRPr="003614CC">
        <w:rPr>
          <w:sz w:val="20"/>
          <w:szCs w:val="20"/>
        </w:rPr>
        <w:t>acute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myeloid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leukemia</w:t>
      </w:r>
      <w:proofErr w:type="spellEnd"/>
      <w:r w:rsidRPr="003614CC">
        <w:rPr>
          <w:sz w:val="20"/>
          <w:szCs w:val="20"/>
        </w:rPr>
        <w:t xml:space="preserve">: </w:t>
      </w:r>
      <w:proofErr w:type="spellStart"/>
      <w:r w:rsidRPr="003614CC">
        <w:rPr>
          <w:sz w:val="20"/>
          <w:szCs w:val="20"/>
        </w:rPr>
        <w:t>final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efficacy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and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safety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updates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from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the</w:t>
      </w:r>
      <w:proofErr w:type="spellEnd"/>
      <w:r w:rsidRPr="003614CC">
        <w:rPr>
          <w:sz w:val="20"/>
          <w:szCs w:val="20"/>
        </w:rPr>
        <w:t xml:space="preserve"> open-</w:t>
      </w:r>
      <w:proofErr w:type="spellStart"/>
      <w:r w:rsidRPr="003614CC">
        <w:rPr>
          <w:sz w:val="20"/>
          <w:szCs w:val="20"/>
        </w:rPr>
        <w:t>label</w:t>
      </w:r>
      <w:proofErr w:type="spellEnd"/>
      <w:r w:rsidRPr="003614CC">
        <w:rPr>
          <w:sz w:val="20"/>
          <w:szCs w:val="20"/>
        </w:rPr>
        <w:t xml:space="preserve">, </w:t>
      </w:r>
      <w:proofErr w:type="spellStart"/>
      <w:r w:rsidRPr="003614CC">
        <w:rPr>
          <w:sz w:val="20"/>
          <w:szCs w:val="20"/>
        </w:rPr>
        <w:t>phase</w:t>
      </w:r>
      <w:proofErr w:type="spellEnd"/>
      <w:r w:rsidRPr="003614CC">
        <w:rPr>
          <w:sz w:val="20"/>
          <w:szCs w:val="20"/>
        </w:rPr>
        <w:t xml:space="preserve"> III ALFA-0701 trial. </w:t>
      </w:r>
      <w:proofErr w:type="spellStart"/>
      <w:r w:rsidRPr="003614CC">
        <w:rPr>
          <w:i/>
          <w:sz w:val="20"/>
          <w:szCs w:val="20"/>
        </w:rPr>
        <w:t>Haematologica</w:t>
      </w:r>
      <w:proofErr w:type="spellEnd"/>
      <w:r w:rsidRPr="003614CC">
        <w:rPr>
          <w:sz w:val="20"/>
          <w:szCs w:val="20"/>
        </w:rPr>
        <w:t>. 2019;104(1):113-119.</w:t>
      </w:r>
    </w:p>
    <w:p w:rsidR="003614CC" w:rsidRDefault="003614CC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3614CC">
        <w:rPr>
          <w:sz w:val="20"/>
          <w:szCs w:val="20"/>
        </w:rPr>
        <w:t>National</w:t>
      </w:r>
      <w:proofErr w:type="spellEnd"/>
      <w:r w:rsidRPr="003614CC">
        <w:rPr>
          <w:sz w:val="20"/>
          <w:szCs w:val="20"/>
        </w:rPr>
        <w:t xml:space="preserve"> Centre </w:t>
      </w:r>
      <w:proofErr w:type="spellStart"/>
      <w:r w:rsidRPr="003614CC">
        <w:rPr>
          <w:sz w:val="20"/>
          <w:szCs w:val="20"/>
        </w:rPr>
        <w:t>for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Pharmacoeconomics</w:t>
      </w:r>
      <w:proofErr w:type="spellEnd"/>
      <w:r w:rsidRPr="003614CC">
        <w:rPr>
          <w:sz w:val="20"/>
          <w:szCs w:val="20"/>
        </w:rPr>
        <w:t xml:space="preserve">. </w:t>
      </w:r>
      <w:proofErr w:type="spellStart"/>
      <w:r w:rsidRPr="003614CC">
        <w:rPr>
          <w:sz w:val="20"/>
          <w:szCs w:val="20"/>
        </w:rPr>
        <w:t>Cost</w:t>
      </w:r>
      <w:proofErr w:type="spellEnd"/>
      <w:r w:rsidRPr="003614CC">
        <w:rPr>
          <w:sz w:val="20"/>
          <w:szCs w:val="20"/>
        </w:rPr>
        <w:t>-</w:t>
      </w:r>
      <w:proofErr w:type="spellStart"/>
      <w:r w:rsidRPr="003614CC">
        <w:rPr>
          <w:sz w:val="20"/>
          <w:szCs w:val="20"/>
        </w:rPr>
        <w:t>effectiveness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gemtuzumab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ozogamicin</w:t>
      </w:r>
      <w:proofErr w:type="spellEnd"/>
      <w:r w:rsidRPr="003614CC">
        <w:rPr>
          <w:sz w:val="20"/>
          <w:szCs w:val="20"/>
        </w:rPr>
        <w:t xml:space="preserve"> (</w:t>
      </w:r>
      <w:proofErr w:type="spellStart"/>
      <w:proofErr w:type="gramStart"/>
      <w:r w:rsidRPr="003614CC">
        <w:rPr>
          <w:sz w:val="20"/>
          <w:szCs w:val="20"/>
        </w:rPr>
        <w:t>Mylotarg</w:t>
      </w:r>
      <w:proofErr w:type="spellEnd"/>
      <w:r w:rsidRPr="003614CC">
        <w:rPr>
          <w:sz w:val="20"/>
          <w:szCs w:val="20"/>
        </w:rPr>
        <w:t>®) (</w:t>
      </w:r>
      <w:proofErr w:type="spellStart"/>
      <w:r w:rsidRPr="003614CC">
        <w:rPr>
          <w:sz w:val="20"/>
          <w:szCs w:val="20"/>
        </w:rPr>
        <w:t>with</w:t>
      </w:r>
      <w:proofErr w:type="spellEnd"/>
      <w:proofErr w:type="gram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daunorubicin</w:t>
      </w:r>
      <w:proofErr w:type="spellEnd"/>
      <w:r w:rsidRPr="003614CC">
        <w:rPr>
          <w:sz w:val="20"/>
          <w:szCs w:val="20"/>
        </w:rPr>
        <w:t xml:space="preserve"> &amp;</w:t>
      </w:r>
      <w:proofErr w:type="spellStart"/>
      <w:r w:rsidRPr="003614CC">
        <w:rPr>
          <w:sz w:val="20"/>
          <w:szCs w:val="20"/>
        </w:rPr>
        <w:t>cytarabine</w:t>
      </w:r>
      <w:proofErr w:type="spellEnd"/>
      <w:r w:rsidRPr="003614CC">
        <w:rPr>
          <w:sz w:val="20"/>
          <w:szCs w:val="20"/>
        </w:rPr>
        <w:t xml:space="preserve">) </w:t>
      </w:r>
      <w:proofErr w:type="spellStart"/>
      <w:r w:rsidRPr="003614CC">
        <w:rPr>
          <w:sz w:val="20"/>
          <w:szCs w:val="20"/>
        </w:rPr>
        <w:t>for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the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treatment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patients</w:t>
      </w:r>
      <w:proofErr w:type="spellEnd"/>
      <w:r w:rsidRPr="003614CC">
        <w:rPr>
          <w:sz w:val="20"/>
          <w:szCs w:val="20"/>
        </w:rPr>
        <w:t xml:space="preserve"> ≥ 15 </w:t>
      </w:r>
      <w:proofErr w:type="spellStart"/>
      <w:r w:rsidRPr="003614CC">
        <w:rPr>
          <w:sz w:val="20"/>
          <w:szCs w:val="20"/>
        </w:rPr>
        <w:t>years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with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previously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untreated</w:t>
      </w:r>
      <w:proofErr w:type="spellEnd"/>
      <w:r w:rsidRPr="003614CC">
        <w:rPr>
          <w:sz w:val="20"/>
          <w:szCs w:val="20"/>
        </w:rPr>
        <w:t xml:space="preserve">, de novo CD33-positive </w:t>
      </w:r>
      <w:proofErr w:type="spellStart"/>
      <w:r w:rsidRPr="003614CC">
        <w:rPr>
          <w:sz w:val="20"/>
          <w:szCs w:val="20"/>
        </w:rPr>
        <w:t>acute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myeloid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leukaemia</w:t>
      </w:r>
      <w:proofErr w:type="spellEnd"/>
      <w:r w:rsidRPr="003614CC">
        <w:rPr>
          <w:sz w:val="20"/>
          <w:szCs w:val="20"/>
        </w:rPr>
        <w:t xml:space="preserve">, </w:t>
      </w:r>
      <w:proofErr w:type="spellStart"/>
      <w:r w:rsidRPr="003614CC">
        <w:rPr>
          <w:sz w:val="20"/>
          <w:szCs w:val="20"/>
        </w:rPr>
        <w:t>except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acute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promyelocytic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leukaemia</w:t>
      </w:r>
      <w:proofErr w:type="spellEnd"/>
      <w:r w:rsidRPr="003614CC">
        <w:rPr>
          <w:sz w:val="20"/>
          <w:szCs w:val="20"/>
        </w:rPr>
        <w:t xml:space="preserve">. </w:t>
      </w:r>
      <w:proofErr w:type="spellStart"/>
      <w:r w:rsidRPr="003614CC">
        <w:rPr>
          <w:sz w:val="20"/>
          <w:szCs w:val="20"/>
        </w:rPr>
        <w:t>July</w:t>
      </w:r>
      <w:proofErr w:type="spellEnd"/>
      <w:r w:rsidRPr="003614CC">
        <w:rPr>
          <w:sz w:val="20"/>
          <w:szCs w:val="20"/>
        </w:rPr>
        <w:t xml:space="preserve"> 2019.</w:t>
      </w:r>
    </w:p>
    <w:p w:rsidR="003614CC" w:rsidRDefault="003614CC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3614CC">
        <w:rPr>
          <w:sz w:val="20"/>
          <w:szCs w:val="20"/>
        </w:rPr>
        <w:t>Mokgokong</w:t>
      </w:r>
      <w:proofErr w:type="spellEnd"/>
      <w:r w:rsidRPr="003614CC">
        <w:rPr>
          <w:sz w:val="20"/>
          <w:szCs w:val="20"/>
        </w:rPr>
        <w:t xml:space="preserve"> R, </w:t>
      </w:r>
      <w:proofErr w:type="spellStart"/>
      <w:r w:rsidRPr="003614CC">
        <w:rPr>
          <w:sz w:val="20"/>
          <w:szCs w:val="20"/>
        </w:rPr>
        <w:t>Mamolo</w:t>
      </w:r>
      <w:proofErr w:type="spellEnd"/>
      <w:r w:rsidRPr="003614CC">
        <w:rPr>
          <w:sz w:val="20"/>
          <w:szCs w:val="20"/>
        </w:rPr>
        <w:t xml:space="preserve"> C, </w:t>
      </w:r>
      <w:proofErr w:type="spellStart"/>
      <w:r w:rsidRPr="003614CC">
        <w:rPr>
          <w:sz w:val="20"/>
          <w:szCs w:val="20"/>
        </w:rPr>
        <w:t>Cappelleri</w:t>
      </w:r>
      <w:proofErr w:type="spellEnd"/>
      <w:r w:rsidRPr="003614CC">
        <w:rPr>
          <w:sz w:val="20"/>
          <w:szCs w:val="20"/>
        </w:rPr>
        <w:t xml:space="preserve"> J, </w:t>
      </w:r>
      <w:proofErr w:type="spellStart"/>
      <w:r w:rsidRPr="003614CC">
        <w:rPr>
          <w:sz w:val="20"/>
          <w:szCs w:val="20"/>
        </w:rPr>
        <w:t>Knight</w:t>
      </w:r>
      <w:proofErr w:type="spellEnd"/>
      <w:r w:rsidRPr="003614CC">
        <w:rPr>
          <w:sz w:val="20"/>
          <w:szCs w:val="20"/>
        </w:rPr>
        <w:t xml:space="preserve"> C, </w:t>
      </w:r>
      <w:proofErr w:type="spellStart"/>
      <w:r w:rsidRPr="003614CC">
        <w:rPr>
          <w:sz w:val="20"/>
          <w:szCs w:val="20"/>
        </w:rPr>
        <w:t>Brockbank</w:t>
      </w:r>
      <w:proofErr w:type="spellEnd"/>
      <w:r w:rsidRPr="003614CC">
        <w:rPr>
          <w:sz w:val="20"/>
          <w:szCs w:val="20"/>
        </w:rPr>
        <w:t xml:space="preserve"> J, </w:t>
      </w:r>
      <w:proofErr w:type="spellStart"/>
      <w:r w:rsidRPr="003614CC">
        <w:rPr>
          <w:sz w:val="20"/>
          <w:szCs w:val="20"/>
        </w:rPr>
        <w:t>Cawson</w:t>
      </w:r>
      <w:proofErr w:type="spellEnd"/>
      <w:r w:rsidRPr="003614CC">
        <w:rPr>
          <w:sz w:val="20"/>
          <w:szCs w:val="20"/>
        </w:rPr>
        <w:t xml:space="preserve"> M, </w:t>
      </w:r>
      <w:proofErr w:type="spellStart"/>
      <w:r w:rsidRPr="003614CC">
        <w:rPr>
          <w:sz w:val="20"/>
          <w:szCs w:val="20"/>
        </w:rPr>
        <w:t>Dombre</w:t>
      </w:r>
      <w:proofErr w:type="spellEnd"/>
      <w:r w:rsidRPr="003614CC">
        <w:rPr>
          <w:sz w:val="20"/>
          <w:szCs w:val="20"/>
        </w:rPr>
        <w:t xml:space="preserve"> H, </w:t>
      </w:r>
      <w:proofErr w:type="spellStart"/>
      <w:r w:rsidRPr="003614CC">
        <w:rPr>
          <w:sz w:val="20"/>
          <w:szCs w:val="20"/>
        </w:rPr>
        <w:t>Castaigne</w:t>
      </w:r>
      <w:proofErr w:type="spellEnd"/>
      <w:r w:rsidRPr="003614CC">
        <w:rPr>
          <w:sz w:val="20"/>
          <w:szCs w:val="20"/>
        </w:rPr>
        <w:t xml:space="preserve"> S. </w:t>
      </w:r>
      <w:proofErr w:type="spellStart"/>
      <w:r w:rsidRPr="003614CC">
        <w:rPr>
          <w:sz w:val="20"/>
          <w:szCs w:val="20"/>
        </w:rPr>
        <w:t>Cost</w:t>
      </w:r>
      <w:proofErr w:type="spellEnd"/>
      <w:r w:rsidRPr="003614CC">
        <w:rPr>
          <w:sz w:val="20"/>
          <w:szCs w:val="20"/>
        </w:rPr>
        <w:t>-</w:t>
      </w:r>
      <w:proofErr w:type="spellStart"/>
      <w:r w:rsidRPr="003614CC">
        <w:rPr>
          <w:sz w:val="20"/>
          <w:szCs w:val="20"/>
        </w:rPr>
        <w:t>effectiveness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gemtuzumab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ozogamicin</w:t>
      </w:r>
      <w:proofErr w:type="spellEnd"/>
      <w:r w:rsidRPr="003614CC">
        <w:rPr>
          <w:sz w:val="20"/>
          <w:szCs w:val="20"/>
        </w:rPr>
        <w:t xml:space="preserve"> in </w:t>
      </w:r>
      <w:proofErr w:type="spellStart"/>
      <w:r w:rsidRPr="003614CC">
        <w:rPr>
          <w:sz w:val="20"/>
          <w:szCs w:val="20"/>
        </w:rPr>
        <w:t>combination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with</w:t>
      </w:r>
      <w:proofErr w:type="spellEnd"/>
      <w:r w:rsidRPr="003614CC">
        <w:rPr>
          <w:sz w:val="20"/>
          <w:szCs w:val="20"/>
        </w:rPr>
        <w:t xml:space="preserve"> standard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gramStart"/>
      <w:r w:rsidRPr="003614CC">
        <w:rPr>
          <w:sz w:val="20"/>
          <w:szCs w:val="20"/>
        </w:rPr>
        <w:t>care</w:t>
      </w:r>
      <w:proofErr w:type="gram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chemotherapy</w:t>
      </w:r>
      <w:proofErr w:type="spellEnd"/>
      <w:r w:rsidRPr="003614CC">
        <w:rPr>
          <w:sz w:val="20"/>
          <w:szCs w:val="20"/>
        </w:rPr>
        <w:t xml:space="preserve"> (</w:t>
      </w:r>
      <w:proofErr w:type="spellStart"/>
      <w:r w:rsidRPr="003614CC">
        <w:rPr>
          <w:sz w:val="20"/>
          <w:szCs w:val="20"/>
        </w:rPr>
        <w:t>daunorubicin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and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cytarabine</w:t>
      </w:r>
      <w:proofErr w:type="spellEnd"/>
      <w:r w:rsidRPr="003614CC">
        <w:rPr>
          <w:sz w:val="20"/>
          <w:szCs w:val="20"/>
        </w:rPr>
        <w:t xml:space="preserve">) </w:t>
      </w:r>
      <w:proofErr w:type="spellStart"/>
      <w:r w:rsidRPr="003614CC">
        <w:rPr>
          <w:sz w:val="20"/>
          <w:szCs w:val="20"/>
        </w:rPr>
        <w:t>for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first</w:t>
      </w:r>
      <w:proofErr w:type="spellEnd"/>
      <w:r w:rsidRPr="003614CC">
        <w:rPr>
          <w:sz w:val="20"/>
          <w:szCs w:val="20"/>
        </w:rPr>
        <w:t xml:space="preserve">-line </w:t>
      </w:r>
      <w:proofErr w:type="spellStart"/>
      <w:r w:rsidRPr="003614CC">
        <w:rPr>
          <w:sz w:val="20"/>
          <w:szCs w:val="20"/>
        </w:rPr>
        <w:t>treatment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of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acute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myeloid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leukaemia</w:t>
      </w:r>
      <w:proofErr w:type="spellEnd"/>
      <w:r w:rsidRPr="003614CC">
        <w:rPr>
          <w:sz w:val="20"/>
          <w:szCs w:val="20"/>
        </w:rPr>
        <w:t xml:space="preserve">. Poster </w:t>
      </w:r>
      <w:proofErr w:type="spellStart"/>
      <w:r w:rsidRPr="003614CC">
        <w:rPr>
          <w:sz w:val="20"/>
          <w:szCs w:val="20"/>
        </w:rPr>
        <w:t>presented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at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the</w:t>
      </w:r>
      <w:proofErr w:type="spellEnd"/>
      <w:r w:rsidRPr="003614CC">
        <w:rPr>
          <w:sz w:val="20"/>
          <w:szCs w:val="20"/>
        </w:rPr>
        <w:t xml:space="preserve"> 2019 </w:t>
      </w:r>
      <w:proofErr w:type="spellStart"/>
      <w:r w:rsidRPr="003614CC">
        <w:rPr>
          <w:sz w:val="20"/>
          <w:szCs w:val="20"/>
        </w:rPr>
        <w:t>British</w:t>
      </w:r>
      <w:proofErr w:type="spellEnd"/>
      <w:r w:rsidRPr="003614CC">
        <w:rPr>
          <w:sz w:val="20"/>
          <w:szCs w:val="20"/>
        </w:rPr>
        <w:t xml:space="preserve"> Society </w:t>
      </w:r>
      <w:proofErr w:type="spellStart"/>
      <w:r w:rsidRPr="003614CC">
        <w:rPr>
          <w:sz w:val="20"/>
          <w:szCs w:val="20"/>
        </w:rPr>
        <w:t>for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Haematology</w:t>
      </w:r>
      <w:proofErr w:type="spellEnd"/>
      <w:r w:rsidRPr="003614CC">
        <w:rPr>
          <w:sz w:val="20"/>
          <w:szCs w:val="20"/>
        </w:rPr>
        <w:t xml:space="preserve"> Meeting; </w:t>
      </w:r>
      <w:proofErr w:type="spellStart"/>
      <w:r w:rsidRPr="003614CC">
        <w:rPr>
          <w:sz w:val="20"/>
          <w:szCs w:val="20"/>
        </w:rPr>
        <w:t>April</w:t>
      </w:r>
      <w:proofErr w:type="spellEnd"/>
      <w:r w:rsidRPr="003614CC">
        <w:rPr>
          <w:sz w:val="20"/>
          <w:szCs w:val="20"/>
        </w:rPr>
        <w:t xml:space="preserve"> 1, 2019. Glasgow, </w:t>
      </w:r>
      <w:proofErr w:type="spellStart"/>
      <w:r w:rsidRPr="003614CC">
        <w:rPr>
          <w:sz w:val="20"/>
          <w:szCs w:val="20"/>
        </w:rPr>
        <w:t>Scotland</w:t>
      </w:r>
      <w:proofErr w:type="spellEnd"/>
      <w:r w:rsidRPr="003614CC">
        <w:rPr>
          <w:sz w:val="20"/>
          <w:szCs w:val="20"/>
        </w:rPr>
        <w:t>.</w:t>
      </w:r>
    </w:p>
    <w:p w:rsidR="003614CC" w:rsidRPr="003614CC" w:rsidRDefault="003614CC" w:rsidP="00CA026E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 w:rsidRPr="003614CC">
        <w:rPr>
          <w:sz w:val="20"/>
          <w:szCs w:val="20"/>
        </w:rPr>
        <w:t>pCODR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Final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Economic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Guidance</w:t>
      </w:r>
      <w:proofErr w:type="spellEnd"/>
      <w:r w:rsidRPr="003614CC">
        <w:rPr>
          <w:sz w:val="20"/>
          <w:szCs w:val="20"/>
        </w:rPr>
        <w:t xml:space="preserve"> Report - </w:t>
      </w:r>
      <w:proofErr w:type="spellStart"/>
      <w:r w:rsidRPr="003614CC">
        <w:rPr>
          <w:sz w:val="20"/>
          <w:szCs w:val="20"/>
        </w:rPr>
        <w:t>Gemtuzumab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Ozogamicin</w:t>
      </w:r>
      <w:proofErr w:type="spellEnd"/>
      <w:r w:rsidRPr="003614CC">
        <w:rPr>
          <w:sz w:val="20"/>
          <w:szCs w:val="20"/>
        </w:rPr>
        <w:t xml:space="preserve"> (</w:t>
      </w:r>
      <w:proofErr w:type="spellStart"/>
      <w:r w:rsidRPr="003614CC">
        <w:rPr>
          <w:sz w:val="20"/>
          <w:szCs w:val="20"/>
        </w:rPr>
        <w:t>Mylotarg</w:t>
      </w:r>
      <w:proofErr w:type="spellEnd"/>
      <w:r w:rsidRPr="003614CC">
        <w:rPr>
          <w:sz w:val="20"/>
          <w:szCs w:val="20"/>
        </w:rPr>
        <w:t xml:space="preserve">) </w:t>
      </w:r>
      <w:proofErr w:type="spellStart"/>
      <w:r w:rsidRPr="003614CC">
        <w:rPr>
          <w:sz w:val="20"/>
          <w:szCs w:val="20"/>
        </w:rPr>
        <w:t>for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Acute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Myeloid</w:t>
      </w:r>
      <w:proofErr w:type="spellEnd"/>
      <w:r w:rsidRPr="003614CC">
        <w:rPr>
          <w:sz w:val="20"/>
          <w:szCs w:val="20"/>
        </w:rPr>
        <w:t xml:space="preserve"> </w:t>
      </w:r>
      <w:proofErr w:type="spellStart"/>
      <w:r w:rsidRPr="003614CC">
        <w:rPr>
          <w:sz w:val="20"/>
          <w:szCs w:val="20"/>
        </w:rPr>
        <w:t>Leukemia</w:t>
      </w:r>
      <w:proofErr w:type="spellEnd"/>
      <w:r>
        <w:rPr>
          <w:sz w:val="20"/>
          <w:szCs w:val="20"/>
        </w:rPr>
        <w:t xml:space="preserve">. </w:t>
      </w:r>
      <w:r w:rsidRPr="003614CC">
        <w:rPr>
          <w:i/>
          <w:sz w:val="20"/>
          <w:szCs w:val="20"/>
        </w:rPr>
        <w:t>Pan-</w:t>
      </w:r>
      <w:proofErr w:type="spellStart"/>
      <w:r w:rsidRPr="003614CC">
        <w:rPr>
          <w:i/>
          <w:sz w:val="20"/>
          <w:szCs w:val="20"/>
        </w:rPr>
        <w:t>Canadian</w:t>
      </w:r>
      <w:proofErr w:type="spellEnd"/>
      <w:r w:rsidRPr="003614CC">
        <w:rPr>
          <w:i/>
          <w:sz w:val="20"/>
          <w:szCs w:val="20"/>
        </w:rPr>
        <w:t xml:space="preserve"> </w:t>
      </w:r>
      <w:proofErr w:type="spellStart"/>
      <w:r w:rsidRPr="003614CC">
        <w:rPr>
          <w:i/>
          <w:sz w:val="20"/>
          <w:szCs w:val="20"/>
        </w:rPr>
        <w:t>Oncology</w:t>
      </w:r>
      <w:proofErr w:type="spellEnd"/>
      <w:r w:rsidRPr="003614CC">
        <w:rPr>
          <w:i/>
          <w:sz w:val="20"/>
          <w:szCs w:val="20"/>
        </w:rPr>
        <w:t xml:space="preserve"> </w:t>
      </w:r>
      <w:proofErr w:type="spellStart"/>
      <w:r w:rsidRPr="003614CC">
        <w:rPr>
          <w:i/>
          <w:sz w:val="20"/>
          <w:szCs w:val="20"/>
        </w:rPr>
        <w:t>Drug</w:t>
      </w:r>
      <w:proofErr w:type="spellEnd"/>
      <w:r w:rsidRPr="003614CC">
        <w:rPr>
          <w:i/>
          <w:sz w:val="20"/>
          <w:szCs w:val="20"/>
        </w:rPr>
        <w:t xml:space="preserve"> </w:t>
      </w:r>
      <w:proofErr w:type="spellStart"/>
      <w:r w:rsidRPr="003614CC">
        <w:rPr>
          <w:i/>
          <w:sz w:val="20"/>
          <w:szCs w:val="20"/>
        </w:rPr>
        <w:t>Review</w:t>
      </w:r>
      <w:proofErr w:type="spellEnd"/>
      <w:r w:rsidRPr="003614CC">
        <w:rPr>
          <w:i/>
          <w:sz w:val="20"/>
          <w:szCs w:val="20"/>
        </w:rPr>
        <w:t>.</w:t>
      </w:r>
      <w:r w:rsidRPr="003614CC">
        <w:rPr>
          <w:sz w:val="20"/>
          <w:szCs w:val="20"/>
        </w:rPr>
        <w:t xml:space="preserve"> 2. </w:t>
      </w:r>
      <w:proofErr w:type="spellStart"/>
      <w:r w:rsidRPr="003614CC">
        <w:rPr>
          <w:sz w:val="20"/>
          <w:szCs w:val="20"/>
        </w:rPr>
        <w:t>April</w:t>
      </w:r>
      <w:proofErr w:type="spellEnd"/>
      <w:r w:rsidRPr="003614CC">
        <w:rPr>
          <w:sz w:val="20"/>
          <w:szCs w:val="20"/>
        </w:rPr>
        <w:t>, 2020</w:t>
      </w:r>
      <w:r>
        <w:rPr>
          <w:sz w:val="20"/>
          <w:szCs w:val="20"/>
        </w:rPr>
        <w:t>.</w:t>
      </w:r>
    </w:p>
    <w:sectPr w:rsidR="003614CC" w:rsidRPr="003614CC" w:rsidSect="000C37A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1DE"/>
    <w:multiLevelType w:val="hybridMultilevel"/>
    <w:tmpl w:val="08EE147A"/>
    <w:lvl w:ilvl="0" w:tplc="83D06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F7989"/>
    <w:multiLevelType w:val="hybridMultilevel"/>
    <w:tmpl w:val="663CA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769D"/>
    <w:rsid w:val="00015AB4"/>
    <w:rsid w:val="00023F7F"/>
    <w:rsid w:val="00037534"/>
    <w:rsid w:val="000663D0"/>
    <w:rsid w:val="00077CF3"/>
    <w:rsid w:val="00085CC9"/>
    <w:rsid w:val="000B37F7"/>
    <w:rsid w:val="000C37AD"/>
    <w:rsid w:val="000C7237"/>
    <w:rsid w:val="000F603A"/>
    <w:rsid w:val="00120BBC"/>
    <w:rsid w:val="001231F9"/>
    <w:rsid w:val="00140216"/>
    <w:rsid w:val="001660B2"/>
    <w:rsid w:val="00167648"/>
    <w:rsid w:val="00175880"/>
    <w:rsid w:val="0018499B"/>
    <w:rsid w:val="001C372D"/>
    <w:rsid w:val="001E3F77"/>
    <w:rsid w:val="001F2AAC"/>
    <w:rsid w:val="00215EA8"/>
    <w:rsid w:val="00226FED"/>
    <w:rsid w:val="002A3EAE"/>
    <w:rsid w:val="002A70FA"/>
    <w:rsid w:val="002C3C8B"/>
    <w:rsid w:val="002C69CB"/>
    <w:rsid w:val="002E64C7"/>
    <w:rsid w:val="003614CC"/>
    <w:rsid w:val="00361C4B"/>
    <w:rsid w:val="003B2B03"/>
    <w:rsid w:val="003C6CBD"/>
    <w:rsid w:val="003D0E11"/>
    <w:rsid w:val="003D2AB0"/>
    <w:rsid w:val="00437BD5"/>
    <w:rsid w:val="00467692"/>
    <w:rsid w:val="0047701F"/>
    <w:rsid w:val="0048576B"/>
    <w:rsid w:val="0049101A"/>
    <w:rsid w:val="004A60CB"/>
    <w:rsid w:val="004B6E90"/>
    <w:rsid w:val="004F0CD9"/>
    <w:rsid w:val="005109C0"/>
    <w:rsid w:val="00535327"/>
    <w:rsid w:val="005C3646"/>
    <w:rsid w:val="005D07E6"/>
    <w:rsid w:val="005E21A0"/>
    <w:rsid w:val="005E4A35"/>
    <w:rsid w:val="00654C1B"/>
    <w:rsid w:val="006B1B8D"/>
    <w:rsid w:val="006C2589"/>
    <w:rsid w:val="006D07BB"/>
    <w:rsid w:val="007214CB"/>
    <w:rsid w:val="00737783"/>
    <w:rsid w:val="007928E7"/>
    <w:rsid w:val="007A4FAF"/>
    <w:rsid w:val="007F2917"/>
    <w:rsid w:val="00802654"/>
    <w:rsid w:val="00804B50"/>
    <w:rsid w:val="00810121"/>
    <w:rsid w:val="008902F9"/>
    <w:rsid w:val="0089104E"/>
    <w:rsid w:val="009629B4"/>
    <w:rsid w:val="0097075E"/>
    <w:rsid w:val="0099076A"/>
    <w:rsid w:val="009B4ABA"/>
    <w:rsid w:val="009B7A13"/>
    <w:rsid w:val="009C4B33"/>
    <w:rsid w:val="009F5155"/>
    <w:rsid w:val="00A30CD8"/>
    <w:rsid w:val="00AE5E9E"/>
    <w:rsid w:val="00AE618B"/>
    <w:rsid w:val="00AF4605"/>
    <w:rsid w:val="00B11C25"/>
    <w:rsid w:val="00B64AFC"/>
    <w:rsid w:val="00B66B5F"/>
    <w:rsid w:val="00BA769D"/>
    <w:rsid w:val="00BC0F47"/>
    <w:rsid w:val="00BE3A47"/>
    <w:rsid w:val="00BF092F"/>
    <w:rsid w:val="00C5253A"/>
    <w:rsid w:val="00C5458B"/>
    <w:rsid w:val="00C77911"/>
    <w:rsid w:val="00CA026E"/>
    <w:rsid w:val="00D4745F"/>
    <w:rsid w:val="00D8112C"/>
    <w:rsid w:val="00D91F50"/>
    <w:rsid w:val="00DA182D"/>
    <w:rsid w:val="00DA1875"/>
    <w:rsid w:val="00DD5299"/>
    <w:rsid w:val="00DD55D7"/>
    <w:rsid w:val="00DF029D"/>
    <w:rsid w:val="00E36375"/>
    <w:rsid w:val="00E55B7A"/>
    <w:rsid w:val="00E6404A"/>
    <w:rsid w:val="00E72955"/>
    <w:rsid w:val="00EC2D9C"/>
    <w:rsid w:val="00F62534"/>
    <w:rsid w:val="00F845B0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A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1484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153</cp:revision>
  <dcterms:created xsi:type="dcterms:W3CDTF">2020-05-25T07:29:00Z</dcterms:created>
  <dcterms:modified xsi:type="dcterms:W3CDTF">2020-05-26T07:02:00Z</dcterms:modified>
</cp:coreProperties>
</file>