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1214D8" w:rsidP="001A2E10">
      <w:pPr>
        <w:spacing w:after="0"/>
        <w:jc w:val="center"/>
      </w:pPr>
      <w:r>
        <w:t>A</w:t>
      </w:r>
      <w:r w:rsidR="005B0E93">
        <w:t>nalýza</w:t>
      </w:r>
      <w:r>
        <w:t xml:space="preserve"> dopadu do rozpočtu</w:t>
      </w:r>
      <w:r w:rsidR="005B0E93">
        <w:t xml:space="preserve"> pro léčivý přípravek</w:t>
      </w:r>
    </w:p>
    <w:p w:rsidR="005B0E93" w:rsidRDefault="005B0E93" w:rsidP="005776B1">
      <w:pPr>
        <w:spacing w:after="0"/>
      </w:pPr>
    </w:p>
    <w:p w:rsidR="005B0E93" w:rsidRPr="001A2E10" w:rsidRDefault="00B002C1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PADCEV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9110A0" w:rsidRDefault="001A2E10" w:rsidP="001A2E10">
      <w:pPr>
        <w:spacing w:after="0"/>
        <w:jc w:val="center"/>
        <w:rPr>
          <w:rFonts w:cstheme="minorHAnsi"/>
          <w:b/>
          <w:sz w:val="28"/>
          <w:szCs w:val="28"/>
        </w:rPr>
      </w:pPr>
      <w:r w:rsidRPr="00D55D18">
        <w:rPr>
          <w:rFonts w:cstheme="minorHAnsi"/>
          <w:b/>
          <w:sz w:val="28"/>
          <w:szCs w:val="28"/>
        </w:rPr>
        <w:t>k</w:t>
      </w:r>
      <w:r w:rsidR="008E1C77" w:rsidRPr="00D55D18">
        <w:rPr>
          <w:rFonts w:cstheme="minorHAnsi"/>
          <w:b/>
          <w:sz w:val="28"/>
          <w:szCs w:val="28"/>
        </w:rPr>
        <w:t> </w:t>
      </w:r>
      <w:r w:rsidR="005B0E93" w:rsidRPr="00D55D18">
        <w:rPr>
          <w:rFonts w:cstheme="minorHAnsi"/>
          <w:b/>
          <w:sz w:val="28"/>
          <w:szCs w:val="28"/>
        </w:rPr>
        <w:t>léčbě</w:t>
      </w:r>
      <w:r w:rsidR="008E1C77" w:rsidRPr="00D55D18">
        <w:rPr>
          <w:rFonts w:cstheme="minorHAnsi"/>
          <w:b/>
          <w:sz w:val="28"/>
          <w:szCs w:val="28"/>
        </w:rPr>
        <w:t xml:space="preserve"> (</w:t>
      </w:r>
      <w:proofErr w:type="spellStart"/>
      <w:r w:rsidR="008E1C77" w:rsidRPr="00D55D18">
        <w:rPr>
          <w:rFonts w:cstheme="minorHAnsi"/>
          <w:b/>
          <w:sz w:val="28"/>
          <w:szCs w:val="28"/>
        </w:rPr>
        <w:t>monoterapii</w:t>
      </w:r>
      <w:proofErr w:type="spellEnd"/>
      <w:r w:rsidR="008E1C77" w:rsidRPr="00D55D18">
        <w:rPr>
          <w:rFonts w:cstheme="minorHAnsi"/>
          <w:b/>
          <w:sz w:val="28"/>
          <w:szCs w:val="28"/>
        </w:rPr>
        <w:t>)</w:t>
      </w:r>
      <w:r w:rsidR="005B0E93" w:rsidRPr="00D55D18">
        <w:rPr>
          <w:rFonts w:cstheme="minorHAnsi"/>
          <w:b/>
          <w:sz w:val="28"/>
          <w:szCs w:val="28"/>
        </w:rPr>
        <w:t xml:space="preserve"> dospělých </w:t>
      </w:r>
      <w:r w:rsidR="009110A0" w:rsidRPr="009110A0">
        <w:rPr>
          <w:rFonts w:cstheme="minorHAnsi"/>
          <w:b/>
          <w:sz w:val="28"/>
          <w:szCs w:val="28"/>
        </w:rPr>
        <w:t xml:space="preserve">pacientů s lokálně pokročilým nebo metastazujícím </w:t>
      </w:r>
      <w:proofErr w:type="spellStart"/>
      <w:r w:rsidR="009110A0" w:rsidRPr="009110A0">
        <w:rPr>
          <w:rFonts w:cstheme="minorHAnsi"/>
          <w:b/>
          <w:sz w:val="28"/>
          <w:szCs w:val="28"/>
        </w:rPr>
        <w:t>uroteliálním</w:t>
      </w:r>
      <w:proofErr w:type="spellEnd"/>
      <w:r w:rsidR="009110A0" w:rsidRPr="009110A0">
        <w:rPr>
          <w:rFonts w:cstheme="minorHAnsi"/>
          <w:b/>
          <w:sz w:val="28"/>
          <w:szCs w:val="28"/>
        </w:rPr>
        <w:t xml:space="preserve"> karcinomem, kteří dříve podstoupili chemoterapii obsahující platinu a </w:t>
      </w:r>
      <w:r w:rsidR="003E371A">
        <w:rPr>
          <w:rFonts w:cstheme="minorHAnsi"/>
          <w:b/>
          <w:sz w:val="28"/>
          <w:szCs w:val="28"/>
        </w:rPr>
        <w:t xml:space="preserve">PD-1 </w:t>
      </w:r>
      <w:r w:rsidR="009110A0" w:rsidRPr="009110A0">
        <w:rPr>
          <w:rFonts w:cstheme="minorHAnsi"/>
          <w:b/>
          <w:sz w:val="28"/>
          <w:szCs w:val="28"/>
        </w:rPr>
        <w:t xml:space="preserve">inhibitor nebo </w:t>
      </w:r>
      <w:r w:rsidR="008201F1">
        <w:rPr>
          <w:rFonts w:cstheme="minorHAnsi"/>
          <w:b/>
          <w:sz w:val="28"/>
          <w:szCs w:val="28"/>
        </w:rPr>
        <w:t>PD-L1 inhibitor</w:t>
      </w:r>
    </w:p>
    <w:p w:rsidR="00BE00A0" w:rsidRDefault="00BE00A0" w:rsidP="005776B1">
      <w:pPr>
        <w:spacing w:after="0"/>
        <w:rPr>
          <w:rFonts w:cstheme="minorHAnsi"/>
          <w:b/>
        </w:rPr>
      </w:pPr>
    </w:p>
    <w:p w:rsidR="00492317" w:rsidRDefault="00492317" w:rsidP="005776B1">
      <w:pPr>
        <w:spacing w:after="0"/>
        <w:rPr>
          <w:rFonts w:cstheme="minorHAnsi"/>
          <w:b/>
        </w:rPr>
      </w:pPr>
    </w:p>
    <w:p w:rsidR="00032017" w:rsidRDefault="00032017" w:rsidP="005776B1">
      <w:pPr>
        <w:spacing w:after="0"/>
        <w:rPr>
          <w:rFonts w:cstheme="minorHAnsi"/>
          <w:b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Celý název </w:t>
      </w:r>
      <w:proofErr w:type="gramStart"/>
      <w:r w:rsidRPr="002B2964">
        <w:rPr>
          <w:rFonts w:cstheme="minorHAnsi"/>
          <w:b/>
          <w:u w:val="single"/>
        </w:rPr>
        <w:t>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proofErr w:type="gramEnd"/>
      <w:r w:rsidR="00B002C1">
        <w:rPr>
          <w:rFonts w:cstheme="minorHAnsi"/>
        </w:rPr>
        <w:t>PADCEV</w:t>
      </w:r>
      <w:r w:rsidR="006B05BF">
        <w:rPr>
          <w:rFonts w:cstheme="minorHAnsi"/>
        </w:rPr>
        <w:t xml:space="preserve"> 20mg</w:t>
      </w:r>
      <w:r w:rsidR="00B002C1">
        <w:rPr>
          <w:rFonts w:cstheme="minorHAnsi"/>
        </w:rPr>
        <w:t xml:space="preserve"> či 30mg prášek pro konce</w:t>
      </w:r>
      <w:r w:rsidR="002E4C94">
        <w:rPr>
          <w:rFonts w:cstheme="minorHAnsi"/>
        </w:rPr>
        <w:t>n</w:t>
      </w:r>
      <w:r w:rsidR="00B002C1">
        <w:rPr>
          <w:rFonts w:cstheme="minorHAnsi"/>
        </w:rPr>
        <w:t>trát pro infuzní roztok</w:t>
      </w:r>
    </w:p>
    <w:p w:rsidR="001976FA" w:rsidRDefault="001976FA" w:rsidP="005776B1">
      <w:pPr>
        <w:spacing w:after="0"/>
        <w:rPr>
          <w:rFonts w:cstheme="minorHAnsi"/>
        </w:rPr>
      </w:pPr>
    </w:p>
    <w:p w:rsidR="00492317" w:rsidRDefault="00492317" w:rsidP="002B5329">
      <w:pPr>
        <w:spacing w:after="0"/>
        <w:jc w:val="both"/>
        <w:rPr>
          <w:rFonts w:cstheme="minorHAnsi"/>
          <w:b/>
          <w:u w:val="single"/>
        </w:rPr>
      </w:pPr>
    </w:p>
    <w:p w:rsidR="002B5329" w:rsidRPr="002B5329" w:rsidRDefault="002B5329" w:rsidP="002B5329">
      <w:pPr>
        <w:spacing w:after="0"/>
        <w:jc w:val="both"/>
        <w:rPr>
          <w:rFonts w:cstheme="minorHAnsi"/>
        </w:rPr>
      </w:pPr>
      <w:r w:rsidRPr="002B5329">
        <w:rPr>
          <w:rFonts w:cstheme="minorHAnsi"/>
          <w:b/>
          <w:u w:val="single"/>
        </w:rPr>
        <w:t>Účinná látka</w:t>
      </w:r>
      <w:r w:rsidRPr="002B5329">
        <w:rPr>
          <w:rFonts w:cstheme="minorHAnsi"/>
          <w:b/>
          <w:u w:val="single"/>
          <w:vertAlign w:val="superscript"/>
        </w:rPr>
        <w:t>2</w:t>
      </w:r>
      <w:r w:rsidRPr="002B5329"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</w:t>
      </w:r>
      <w:proofErr w:type="spellStart"/>
      <w:r w:rsidRPr="002B5329">
        <w:rPr>
          <w:rFonts w:cstheme="minorHAnsi"/>
        </w:rPr>
        <w:t>enfortumab</w:t>
      </w:r>
      <w:proofErr w:type="spellEnd"/>
      <w:r w:rsidRPr="002B5329">
        <w:rPr>
          <w:rFonts w:cstheme="minorHAnsi"/>
        </w:rPr>
        <w:t xml:space="preserve"> </w:t>
      </w:r>
      <w:proofErr w:type="spellStart"/>
      <w:r w:rsidRPr="002B5329">
        <w:rPr>
          <w:rFonts w:cstheme="minorHAnsi"/>
        </w:rPr>
        <w:t>vedotin</w:t>
      </w:r>
      <w:proofErr w:type="spellEnd"/>
      <w:r w:rsidRPr="002B5329">
        <w:rPr>
          <w:rFonts w:cstheme="minorHAnsi"/>
        </w:rPr>
        <w:t xml:space="preserve"> – jedná se o konjugát monoklonální protilátky a léku-cytostatika (tzv. ADC) cílící na nektin-4, adhezní protein nacházející se na povrchu </w:t>
      </w:r>
      <w:proofErr w:type="spellStart"/>
      <w:r w:rsidRPr="002B5329">
        <w:rPr>
          <w:rFonts w:cstheme="minorHAnsi"/>
        </w:rPr>
        <w:t>uroteliálních</w:t>
      </w:r>
      <w:proofErr w:type="spellEnd"/>
      <w:r w:rsidRPr="002B5329">
        <w:rPr>
          <w:rFonts w:cstheme="minorHAnsi"/>
        </w:rPr>
        <w:t xml:space="preserve"> rakovinných buněk, skládá se z humanizované monoklonální protilátky IgG1-kappa konjugované s látkou narušující mikrotubuly, MMAE, pomocí proteázou štěpitelného valin-citrulin </w:t>
      </w:r>
      <w:proofErr w:type="spellStart"/>
      <w:r w:rsidRPr="002B5329">
        <w:rPr>
          <w:rFonts w:cstheme="minorHAnsi"/>
        </w:rPr>
        <w:t>maleimidokaproylového</w:t>
      </w:r>
      <w:proofErr w:type="spellEnd"/>
      <w:r w:rsidRPr="002B5329">
        <w:rPr>
          <w:rFonts w:cstheme="minorHAnsi"/>
        </w:rPr>
        <w:t xml:space="preserve"> linkeru</w:t>
      </w:r>
    </w:p>
    <w:p w:rsidR="00494D07" w:rsidRDefault="00494D07" w:rsidP="002B5329">
      <w:pPr>
        <w:spacing w:after="0"/>
        <w:jc w:val="both"/>
        <w:rPr>
          <w:rFonts w:cstheme="minorHAnsi"/>
        </w:rPr>
      </w:pPr>
    </w:p>
    <w:p w:rsidR="00492317" w:rsidRPr="002B5329" w:rsidRDefault="00492317" w:rsidP="002B5329">
      <w:pPr>
        <w:spacing w:after="0"/>
        <w:jc w:val="both"/>
        <w:rPr>
          <w:rFonts w:cstheme="minorHAnsi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proofErr w:type="gramStart"/>
      <w:r w:rsidR="00BF2E30" w:rsidRPr="002B2964">
        <w:rPr>
          <w:rFonts w:cstheme="minorHAnsi"/>
          <w:b/>
          <w:u w:val="single"/>
          <w:vertAlign w:val="superscript"/>
        </w:rPr>
        <w:t>2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proofErr w:type="spellStart"/>
      <w:r w:rsidR="006E6657">
        <w:rPr>
          <w:rFonts w:cstheme="minorHAnsi"/>
        </w:rPr>
        <w:t>Astellas</w:t>
      </w:r>
      <w:proofErr w:type="spellEnd"/>
      <w:proofErr w:type="gramEnd"/>
      <w:r w:rsidR="006E6657">
        <w:rPr>
          <w:rFonts w:cstheme="minorHAnsi"/>
        </w:rPr>
        <w:t xml:space="preserve"> </w:t>
      </w:r>
      <w:proofErr w:type="spellStart"/>
      <w:r w:rsidR="006E6657">
        <w:rPr>
          <w:rFonts w:cstheme="minorHAnsi"/>
        </w:rPr>
        <w:t>Pharma</w:t>
      </w:r>
      <w:proofErr w:type="spellEnd"/>
      <w:r w:rsidR="006E6657">
        <w:rPr>
          <w:rFonts w:cstheme="minorHAnsi"/>
        </w:rPr>
        <w:t xml:space="preserve"> </w:t>
      </w:r>
      <w:proofErr w:type="spellStart"/>
      <w:r w:rsidR="006E6657">
        <w:rPr>
          <w:rFonts w:cstheme="minorHAnsi"/>
        </w:rPr>
        <w:t>Europe</w:t>
      </w:r>
      <w:proofErr w:type="spellEnd"/>
      <w:r w:rsidR="006E6657">
        <w:rPr>
          <w:rFonts w:cstheme="minorHAnsi"/>
        </w:rPr>
        <w:t xml:space="preserve"> B.V.</w:t>
      </w:r>
    </w:p>
    <w:p w:rsidR="00EE3F73" w:rsidRDefault="00EE3F73" w:rsidP="00061346">
      <w:pPr>
        <w:spacing w:after="0"/>
        <w:jc w:val="both"/>
        <w:rPr>
          <w:rFonts w:cstheme="minorHAnsi"/>
        </w:rPr>
      </w:pPr>
    </w:p>
    <w:p w:rsidR="00492317" w:rsidRDefault="00492317" w:rsidP="00061346">
      <w:pPr>
        <w:spacing w:after="0"/>
        <w:jc w:val="both"/>
        <w:rPr>
          <w:rFonts w:cstheme="minorHAnsi"/>
        </w:rPr>
      </w:pPr>
    </w:p>
    <w:p w:rsidR="002528F8" w:rsidRDefault="00FC15E9" w:rsidP="00061346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 w:rsidRPr="00D30316">
        <w:rPr>
          <w:rFonts w:cstheme="minorHAnsi"/>
          <w:b/>
          <w:u w:val="single"/>
          <w:vertAlign w:val="superscript"/>
        </w:rPr>
        <w:t xml:space="preserve">2,3 </w:t>
      </w:r>
      <w:r w:rsidRPr="00D30316">
        <w:rPr>
          <w:rFonts w:cstheme="minorHAnsi"/>
          <w:b/>
          <w:u w:val="single"/>
        </w:rPr>
        <w:t xml:space="preserve">k datu </w:t>
      </w:r>
      <w:r w:rsidR="007415C1">
        <w:rPr>
          <w:rFonts w:cstheme="minorHAnsi"/>
          <w:b/>
          <w:u w:val="single"/>
        </w:rPr>
        <w:t>30</w:t>
      </w:r>
      <w:r w:rsidR="00810F14">
        <w:rPr>
          <w:rFonts w:cstheme="minorHAnsi"/>
          <w:b/>
          <w:u w:val="single"/>
        </w:rPr>
        <w:t>.8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F80052" w:rsidRDefault="0069372A" w:rsidP="00061346">
      <w:pPr>
        <w:spacing w:after="0"/>
        <w:jc w:val="both"/>
        <w:rPr>
          <w:b/>
        </w:rPr>
      </w:pPr>
      <w:r>
        <w:rPr>
          <w:rFonts w:cstheme="minorHAnsi"/>
        </w:rPr>
        <w:t xml:space="preserve">LP je </w:t>
      </w:r>
      <w:r w:rsidR="007415C1">
        <w:rPr>
          <w:rFonts w:cstheme="minorHAnsi"/>
        </w:rPr>
        <w:t xml:space="preserve">standardně </w:t>
      </w:r>
      <w:r w:rsidR="00D1362F">
        <w:rPr>
          <w:rFonts w:cstheme="minorHAnsi"/>
        </w:rPr>
        <w:t>registrován</w:t>
      </w:r>
      <w:r w:rsidR="00537CC9">
        <w:rPr>
          <w:rFonts w:cstheme="minorHAnsi"/>
        </w:rPr>
        <w:t xml:space="preserve"> v EU</w:t>
      </w:r>
      <w:r w:rsidR="00D1362F">
        <w:rPr>
          <w:rFonts w:cstheme="minorHAnsi"/>
        </w:rPr>
        <w:t xml:space="preserve"> </w:t>
      </w:r>
      <w:r w:rsidR="007415C1">
        <w:rPr>
          <w:rFonts w:cstheme="minorHAnsi"/>
        </w:rPr>
        <w:t>centralizovaným postupem</w:t>
      </w:r>
      <w:r w:rsidR="00D1362F">
        <w:rPr>
          <w:rFonts w:cstheme="minorHAnsi"/>
        </w:rPr>
        <w:t xml:space="preserve">, </w:t>
      </w:r>
      <w:r w:rsidR="00634F96" w:rsidRPr="00A126E4">
        <w:rPr>
          <w:rFonts w:cstheme="minorHAnsi"/>
          <w:b/>
        </w:rPr>
        <w:t>správní řízení</w:t>
      </w:r>
      <w:r w:rsidR="00634F96">
        <w:rPr>
          <w:rFonts w:cstheme="minorHAnsi"/>
        </w:rPr>
        <w:t xml:space="preserve"> </w:t>
      </w:r>
      <w:r w:rsidR="002A7CD2">
        <w:rPr>
          <w:rFonts w:cstheme="minorHAnsi"/>
        </w:rPr>
        <w:t xml:space="preserve">ve věci </w:t>
      </w:r>
      <w:r w:rsidR="00634F96" w:rsidRPr="004F31F4">
        <w:rPr>
          <w:rFonts w:cstheme="minorHAnsi"/>
          <w:color w:val="000000"/>
          <w:shd w:val="clear" w:color="auto" w:fill="ECECEC"/>
        </w:rPr>
        <w:t>stanovení maximální ceny a výše a podmínek úhrady</w:t>
      </w:r>
      <w:r w:rsidR="002A7CD2">
        <w:t xml:space="preserve"> </w:t>
      </w:r>
      <w:r w:rsidR="002A7CD2" w:rsidRPr="002A7CD2">
        <w:rPr>
          <w:b/>
        </w:rPr>
        <w:t xml:space="preserve">nebylo k datu </w:t>
      </w:r>
      <w:r w:rsidR="007415C1">
        <w:rPr>
          <w:b/>
        </w:rPr>
        <w:t>30</w:t>
      </w:r>
      <w:r w:rsidR="00810F14">
        <w:rPr>
          <w:b/>
        </w:rPr>
        <w:t>.</w:t>
      </w:r>
      <w:r w:rsidR="002A7CD2" w:rsidRPr="002A7CD2">
        <w:rPr>
          <w:b/>
        </w:rPr>
        <w:t>8.2022 ani zahájeno</w:t>
      </w:r>
      <w:r w:rsidR="002A7CD2">
        <w:t xml:space="preserve">. </w:t>
      </w:r>
      <w:r w:rsidR="00300C6E" w:rsidRPr="00300C6E">
        <w:rPr>
          <w:b/>
        </w:rPr>
        <w:t>Tzn. aktuálně by byla požadována mimořádná úhrada ze zdravotního pojištění dle ustanovení § 16 zákona č. 48/1997 Sb. o veřejném zdravotním pojištění.</w:t>
      </w:r>
    </w:p>
    <w:p w:rsidR="002E4C94" w:rsidRDefault="002E4C94" w:rsidP="00061346">
      <w:pPr>
        <w:spacing w:after="0"/>
        <w:jc w:val="both"/>
        <w:rPr>
          <w:b/>
        </w:rPr>
      </w:pPr>
    </w:p>
    <w:p w:rsidR="007415C1" w:rsidRDefault="007415C1" w:rsidP="00061346">
      <w:pPr>
        <w:spacing w:after="0"/>
        <w:jc w:val="both"/>
        <w:rPr>
          <w:b/>
        </w:rPr>
      </w:pPr>
      <w:r>
        <w:rPr>
          <w:b/>
        </w:rPr>
        <w:t>Ve FN Olomouc je přípravek žádán Onkologickou klinikou pro 1 pacienta v tomto roce.</w:t>
      </w:r>
    </w:p>
    <w:p w:rsidR="00CB665F" w:rsidRDefault="00CB665F" w:rsidP="00061346">
      <w:pPr>
        <w:spacing w:after="0"/>
        <w:jc w:val="both"/>
        <w:rPr>
          <w:b/>
        </w:rPr>
      </w:pPr>
    </w:p>
    <w:p w:rsidR="00492317" w:rsidRDefault="00492317" w:rsidP="00061346">
      <w:pPr>
        <w:spacing w:after="0"/>
        <w:jc w:val="both"/>
        <w:rPr>
          <w:b/>
        </w:rPr>
      </w:pPr>
    </w:p>
    <w:p w:rsidR="003D6912" w:rsidRPr="001245EE" w:rsidRDefault="00737ECB" w:rsidP="00061346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</w:t>
      </w:r>
      <w:r w:rsidR="003D6912" w:rsidRPr="00F5278E">
        <w:rPr>
          <w:rFonts w:cstheme="minorHAnsi"/>
          <w:b/>
          <w:u w:val="single"/>
        </w:rPr>
        <w:t>harakterizac</w:t>
      </w:r>
      <w:r w:rsidRPr="00F5278E">
        <w:rPr>
          <w:rFonts w:cstheme="minorHAnsi"/>
          <w:b/>
          <w:u w:val="single"/>
        </w:rPr>
        <w:t>e</w:t>
      </w:r>
      <w:r w:rsidR="003D6912" w:rsidRPr="00F5278E">
        <w:rPr>
          <w:rFonts w:cstheme="minorHAnsi"/>
          <w:b/>
          <w:u w:val="single"/>
        </w:rPr>
        <w:t xml:space="preserve"> onemocnění</w:t>
      </w:r>
      <w:r w:rsidR="005D276E" w:rsidRPr="005D276E">
        <w:rPr>
          <w:rFonts w:cstheme="minorHAnsi"/>
          <w:b/>
          <w:u w:val="single"/>
          <w:vertAlign w:val="superscript"/>
        </w:rPr>
        <w:t>1</w:t>
      </w:r>
      <w:r w:rsidR="003D6912" w:rsidRPr="001245EE">
        <w:rPr>
          <w:rFonts w:cstheme="minorHAnsi"/>
          <w:b/>
        </w:rPr>
        <w:t xml:space="preserve">:  </w:t>
      </w:r>
    </w:p>
    <w:p w:rsidR="00242F48" w:rsidRPr="00EE4982" w:rsidRDefault="00C71FEA" w:rsidP="00061346">
      <w:pPr>
        <w:spacing w:after="0"/>
        <w:jc w:val="both"/>
        <w:rPr>
          <w:rFonts w:cstheme="minorHAnsi"/>
          <w:color w:val="000000"/>
          <w:shd w:val="clear" w:color="auto" w:fill="F5F5F5"/>
        </w:rPr>
      </w:pPr>
      <w:r w:rsidRPr="00EE4982">
        <w:rPr>
          <w:rFonts w:cstheme="minorHAnsi"/>
          <w:color w:val="000000"/>
          <w:shd w:val="clear" w:color="auto" w:fill="F5F5F5"/>
        </w:rPr>
        <w:t xml:space="preserve">Lokálně pokročilý nebo metastazující </w:t>
      </w:r>
      <w:proofErr w:type="spellStart"/>
      <w:r w:rsidRPr="00EE4982">
        <w:rPr>
          <w:rFonts w:cstheme="minorHAnsi"/>
          <w:color w:val="000000"/>
          <w:shd w:val="clear" w:color="auto" w:fill="F5F5F5"/>
        </w:rPr>
        <w:t>uroteliální</w:t>
      </w:r>
      <w:proofErr w:type="spellEnd"/>
      <w:r w:rsidRPr="00EE4982">
        <w:rPr>
          <w:rFonts w:cstheme="minorHAnsi"/>
          <w:color w:val="000000"/>
          <w:shd w:val="clear" w:color="auto" w:fill="F5F5F5"/>
        </w:rPr>
        <w:t xml:space="preserve"> karcinom je nevyléčitelné onemocnění se špatným dlouhodobým přežitím a představuje vysokou neuspokojenou lékařskou potřebu.</w:t>
      </w:r>
      <w:r w:rsidR="007B1958" w:rsidRPr="00EE4982">
        <w:rPr>
          <w:rFonts w:cstheme="minorHAnsi"/>
          <w:color w:val="000000"/>
          <w:shd w:val="clear" w:color="auto" w:fill="F5F5F5"/>
        </w:rPr>
        <w:t xml:space="preserve"> </w:t>
      </w:r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Neléčený </w:t>
      </w:r>
      <w:r w:rsidR="00EE4982" w:rsidRPr="00EE4982">
        <w:rPr>
          <w:rFonts w:cstheme="minorHAnsi"/>
          <w:color w:val="000000"/>
          <w:shd w:val="clear" w:color="auto" w:fill="F5F5F5"/>
        </w:rPr>
        <w:t xml:space="preserve">metastazující </w:t>
      </w:r>
      <w:proofErr w:type="spellStart"/>
      <w:r w:rsidR="00EE4982" w:rsidRPr="00EE4982">
        <w:rPr>
          <w:rFonts w:cstheme="minorHAnsi"/>
          <w:color w:val="000000"/>
          <w:shd w:val="clear" w:color="auto" w:fill="F5F5F5"/>
        </w:rPr>
        <w:t>uroteliální</w:t>
      </w:r>
      <w:proofErr w:type="spellEnd"/>
      <w:r w:rsidR="00EE4982" w:rsidRPr="00EE4982">
        <w:rPr>
          <w:rFonts w:cstheme="minorHAnsi"/>
          <w:color w:val="000000"/>
          <w:shd w:val="clear" w:color="auto" w:fill="F5F5F5"/>
        </w:rPr>
        <w:t xml:space="preserve"> karcinom </w:t>
      </w:r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je spojen se střední dobou přežití zřídka přesahující </w:t>
      </w:r>
      <w:proofErr w:type="gramStart"/>
      <w:r w:rsidRPr="00EE4982">
        <w:rPr>
          <w:rStyle w:val="q4iawc"/>
          <w:rFonts w:cstheme="minorHAnsi"/>
          <w:color w:val="000000"/>
          <w:shd w:val="clear" w:color="auto" w:fill="F5F5F5"/>
        </w:rPr>
        <w:t>3 - 6</w:t>
      </w:r>
      <w:proofErr w:type="gramEnd"/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 měsíců.</w:t>
      </w:r>
      <w:r w:rsidRPr="00EE4982">
        <w:rPr>
          <w:rFonts w:cstheme="minorHAnsi"/>
          <w:color w:val="000000"/>
          <w:shd w:val="clear" w:color="auto" w:fill="F5F5F5"/>
        </w:rPr>
        <w:t xml:space="preserve"> </w:t>
      </w:r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U pacientů léčených režimem obsahujícím </w:t>
      </w:r>
      <w:proofErr w:type="spellStart"/>
      <w:r w:rsidRPr="00EE4982">
        <w:rPr>
          <w:rStyle w:val="q4iawc"/>
          <w:rFonts w:cstheme="minorHAnsi"/>
          <w:color w:val="000000"/>
          <w:shd w:val="clear" w:color="auto" w:fill="F5F5F5"/>
        </w:rPr>
        <w:t>cisplatinu</w:t>
      </w:r>
      <w:proofErr w:type="spellEnd"/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 jako léčbu 1. linie je medián celkového přežití přibližně </w:t>
      </w:r>
      <w:proofErr w:type="gramStart"/>
      <w:r w:rsidRPr="00EE4982">
        <w:rPr>
          <w:rStyle w:val="q4iawc"/>
          <w:rFonts w:cstheme="minorHAnsi"/>
          <w:color w:val="000000"/>
          <w:shd w:val="clear" w:color="auto" w:fill="F5F5F5"/>
        </w:rPr>
        <w:t>12 - 14</w:t>
      </w:r>
      <w:proofErr w:type="gramEnd"/>
      <w:r w:rsidRPr="00EE4982">
        <w:rPr>
          <w:rStyle w:val="q4iawc"/>
          <w:rFonts w:cstheme="minorHAnsi"/>
          <w:color w:val="000000"/>
          <w:shd w:val="clear" w:color="auto" w:fill="F5F5F5"/>
        </w:rPr>
        <w:t xml:space="preserve"> měsíců a 5letá mortalita přesahuje 85 %.</w:t>
      </w:r>
    </w:p>
    <w:p w:rsidR="007415C1" w:rsidRDefault="007415C1" w:rsidP="00061346">
      <w:pPr>
        <w:spacing w:after="0"/>
        <w:jc w:val="both"/>
        <w:rPr>
          <w:rFonts w:cstheme="minorHAnsi"/>
          <w:b/>
          <w:u w:val="single"/>
        </w:rPr>
      </w:pPr>
    </w:p>
    <w:p w:rsidR="00492317" w:rsidRDefault="00492317" w:rsidP="00061346">
      <w:pPr>
        <w:spacing w:after="0"/>
        <w:jc w:val="both"/>
        <w:rPr>
          <w:rFonts w:cstheme="minorHAnsi"/>
          <w:b/>
          <w:u w:val="single"/>
        </w:rPr>
      </w:pPr>
    </w:p>
    <w:p w:rsidR="00C143A1" w:rsidRPr="003A370A" w:rsidRDefault="00C143A1" w:rsidP="00061346">
      <w:pPr>
        <w:spacing w:after="0"/>
        <w:jc w:val="both"/>
        <w:rPr>
          <w:rFonts w:cstheme="minorHAnsi"/>
          <w:b/>
          <w:u w:val="single"/>
        </w:rPr>
      </w:pPr>
      <w:r w:rsidRPr="003A370A">
        <w:rPr>
          <w:rFonts w:cstheme="minorHAnsi"/>
          <w:b/>
          <w:u w:val="single"/>
        </w:rPr>
        <w:t>Postave</w:t>
      </w:r>
      <w:r w:rsidR="00006D6C" w:rsidRPr="003A370A">
        <w:rPr>
          <w:rFonts w:cstheme="minorHAnsi"/>
          <w:b/>
          <w:u w:val="single"/>
        </w:rPr>
        <w:t>ní léčiva v klinické praxi:</w:t>
      </w:r>
    </w:p>
    <w:p w:rsidR="00242F48" w:rsidRDefault="00886978" w:rsidP="0006134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Dle ESMO </w:t>
      </w:r>
      <w:proofErr w:type="spellStart"/>
      <w:r>
        <w:rPr>
          <w:rFonts w:cstheme="minorHAnsi"/>
        </w:rPr>
        <w:t>guidelinu</w:t>
      </w:r>
      <w:proofErr w:type="spellEnd"/>
      <w:r>
        <w:rPr>
          <w:rFonts w:cstheme="minorHAnsi"/>
        </w:rPr>
        <w:t xml:space="preserve"> z roku 2021</w:t>
      </w:r>
      <w:r w:rsidRPr="00A42BE4">
        <w:rPr>
          <w:rFonts w:cstheme="minorHAnsi"/>
          <w:vertAlign w:val="superscript"/>
        </w:rPr>
        <w:t>4</w:t>
      </w:r>
      <w:r>
        <w:rPr>
          <w:rFonts w:cstheme="minorHAnsi"/>
        </w:rPr>
        <w:t xml:space="preserve"> </w:t>
      </w:r>
      <w:r w:rsidRPr="00A42BE4">
        <w:rPr>
          <w:rFonts w:cstheme="minorHAnsi"/>
          <w:b/>
        </w:rPr>
        <w:t xml:space="preserve">má PADCEV </w:t>
      </w:r>
      <w:r w:rsidR="00A42BE4">
        <w:rPr>
          <w:rFonts w:cstheme="minorHAnsi"/>
          <w:b/>
        </w:rPr>
        <w:t xml:space="preserve">pro 3. linii léčby </w:t>
      </w:r>
      <w:r w:rsidR="00A42BE4" w:rsidRPr="00A42BE4">
        <w:rPr>
          <w:rFonts w:cstheme="minorHAnsi"/>
        </w:rPr>
        <w:t>(tj. po CHT s platinou a po imunoterapii)</w:t>
      </w:r>
      <w:r w:rsidR="00A42BE4">
        <w:rPr>
          <w:rFonts w:cstheme="minorHAnsi"/>
          <w:b/>
        </w:rPr>
        <w:t xml:space="preserve"> </w:t>
      </w:r>
      <w:r w:rsidRPr="00A42BE4">
        <w:rPr>
          <w:rFonts w:cstheme="minorHAnsi"/>
          <w:b/>
        </w:rPr>
        <w:t>nejvyšší sílu doporučení a evidence</w:t>
      </w:r>
      <w:r>
        <w:rPr>
          <w:rFonts w:cstheme="minorHAnsi"/>
        </w:rPr>
        <w:t xml:space="preserve"> (tj</w:t>
      </w:r>
      <w:r w:rsidR="00680AFF">
        <w:rPr>
          <w:rFonts w:cstheme="minorHAnsi"/>
        </w:rPr>
        <w:t xml:space="preserve">. I, A) </w:t>
      </w:r>
      <w:r w:rsidR="00680AFF" w:rsidRPr="00A42BE4">
        <w:rPr>
          <w:rFonts w:cstheme="minorHAnsi"/>
          <w:b/>
        </w:rPr>
        <w:t>s prokázaným významným klinickým benefitem</w:t>
      </w:r>
      <w:r w:rsidR="00680AFF">
        <w:rPr>
          <w:rFonts w:cstheme="minorHAnsi"/>
        </w:rPr>
        <w:t xml:space="preserve"> (ESMO-MCBS skóre je 4), CHT má mnohem nižší sílu doporučení a evidence (IV, C)</w:t>
      </w:r>
      <w:r w:rsidR="008372F9">
        <w:rPr>
          <w:rFonts w:cstheme="minorHAnsi"/>
        </w:rPr>
        <w:t xml:space="preserve"> – z ní má </w:t>
      </w:r>
      <w:r w:rsidR="00A42BE4">
        <w:rPr>
          <w:rFonts w:cstheme="minorHAnsi"/>
        </w:rPr>
        <w:t>(dle Modré knihy</w:t>
      </w:r>
      <w:r w:rsidR="00A42BE4" w:rsidRPr="00A42BE4">
        <w:rPr>
          <w:rFonts w:cstheme="minorHAnsi"/>
          <w:vertAlign w:val="superscript"/>
        </w:rPr>
        <w:t>5</w:t>
      </w:r>
      <w:r w:rsidR="00A42BE4">
        <w:rPr>
          <w:rFonts w:cstheme="minorHAnsi"/>
        </w:rPr>
        <w:t xml:space="preserve">) nejvyšší evidenci a jako jediný (pro indikaci </w:t>
      </w:r>
      <w:proofErr w:type="spellStart"/>
      <w:r w:rsidR="00A42BE4">
        <w:rPr>
          <w:rFonts w:cstheme="minorHAnsi"/>
        </w:rPr>
        <w:t>uroteliálního</w:t>
      </w:r>
      <w:proofErr w:type="spellEnd"/>
      <w:r w:rsidR="00A42BE4">
        <w:rPr>
          <w:rFonts w:cstheme="minorHAnsi"/>
        </w:rPr>
        <w:t xml:space="preserve"> karcinomu) v ČR úhradu jen </w:t>
      </w:r>
      <w:proofErr w:type="spellStart"/>
      <w:r w:rsidR="00A42BE4">
        <w:rPr>
          <w:rFonts w:cstheme="minorHAnsi"/>
        </w:rPr>
        <w:t>Javlor</w:t>
      </w:r>
      <w:proofErr w:type="spellEnd"/>
      <w:r w:rsidR="00A42BE4">
        <w:rPr>
          <w:rFonts w:cstheme="minorHAnsi"/>
        </w:rPr>
        <w:t xml:space="preserve"> (</w:t>
      </w:r>
      <w:proofErr w:type="spellStart"/>
      <w:r w:rsidR="00A42BE4">
        <w:rPr>
          <w:rFonts w:cstheme="minorHAnsi"/>
        </w:rPr>
        <w:t>vinflunin</w:t>
      </w:r>
      <w:proofErr w:type="spellEnd"/>
      <w:r w:rsidR="00A42BE4">
        <w:rPr>
          <w:rFonts w:cstheme="minorHAnsi"/>
        </w:rPr>
        <w:t>).</w:t>
      </w:r>
    </w:p>
    <w:p w:rsidR="00886978" w:rsidRDefault="00886978" w:rsidP="00061346">
      <w:pPr>
        <w:spacing w:after="0"/>
        <w:jc w:val="both"/>
        <w:rPr>
          <w:rFonts w:cstheme="minorHAnsi"/>
          <w:b/>
          <w:u w:val="single"/>
        </w:rPr>
      </w:pPr>
    </w:p>
    <w:p w:rsidR="00492317" w:rsidRDefault="00492317" w:rsidP="00061346">
      <w:pPr>
        <w:spacing w:after="0"/>
        <w:jc w:val="both"/>
        <w:rPr>
          <w:rFonts w:cstheme="minorHAnsi"/>
          <w:b/>
          <w:u w:val="single"/>
        </w:rPr>
      </w:pPr>
    </w:p>
    <w:p w:rsidR="004A22EC" w:rsidRPr="00174D05" w:rsidRDefault="001D1E3D" w:rsidP="00061346">
      <w:pPr>
        <w:spacing w:after="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 xml:space="preserve">Relevantní komparátory: </w:t>
      </w:r>
    </w:p>
    <w:p w:rsidR="00E15C4D" w:rsidRDefault="00492317" w:rsidP="00E15C4D">
      <w:pPr>
        <w:spacing w:after="0"/>
        <w:jc w:val="both"/>
        <w:rPr>
          <w:rFonts w:cstheme="minorHAnsi"/>
        </w:rPr>
      </w:pPr>
      <w:r>
        <w:rPr>
          <w:rFonts w:cstheme="minorHAnsi"/>
        </w:rPr>
        <w:t>Dle podkladové studie 3. fáze EV-301</w:t>
      </w:r>
      <w:r w:rsidRPr="00492317">
        <w:rPr>
          <w:rFonts w:cstheme="minorHAnsi"/>
          <w:vertAlign w:val="superscript"/>
        </w:rPr>
        <w:t>6</w:t>
      </w:r>
      <w:r>
        <w:rPr>
          <w:rFonts w:cstheme="minorHAnsi"/>
        </w:rPr>
        <w:t xml:space="preserve"> a Modré knihy</w:t>
      </w:r>
      <w:r w:rsidRPr="00A42BE4">
        <w:rPr>
          <w:rFonts w:cstheme="minorHAnsi"/>
          <w:vertAlign w:val="superscript"/>
        </w:rPr>
        <w:t>5</w:t>
      </w:r>
      <w:r>
        <w:rPr>
          <w:rFonts w:cstheme="minorHAnsi"/>
        </w:rPr>
        <w:t xml:space="preserve"> byly jako komparátory k PADCEVU vybrány léčivé přípravky s </w:t>
      </w:r>
      <w:proofErr w:type="spellStart"/>
      <w:r>
        <w:rPr>
          <w:rFonts w:cstheme="minorHAnsi"/>
        </w:rPr>
        <w:t>paklitaxelem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docetaxelem</w:t>
      </w:r>
      <w:proofErr w:type="spellEnd"/>
      <w:r>
        <w:rPr>
          <w:rFonts w:cstheme="minorHAnsi"/>
        </w:rPr>
        <w:t xml:space="preserve"> a </w:t>
      </w:r>
      <w:proofErr w:type="spellStart"/>
      <w:r>
        <w:rPr>
          <w:rFonts w:cstheme="minorHAnsi"/>
        </w:rPr>
        <w:t>vinfluninem</w:t>
      </w:r>
      <w:proofErr w:type="spellEnd"/>
      <w:r w:rsidR="00B5239A">
        <w:rPr>
          <w:rFonts w:cstheme="minorHAnsi"/>
        </w:rPr>
        <w:t xml:space="preserve"> – mezi nimi (vůči PADCEVU) nebyl statisticky významný rozdíl v účinnosti (parametr HR OS) dle výsledků studie EV-301</w:t>
      </w:r>
      <w:r w:rsidR="00B5239A" w:rsidRPr="00B5239A">
        <w:rPr>
          <w:rFonts w:cstheme="minorHAnsi"/>
          <w:vertAlign w:val="superscript"/>
        </w:rPr>
        <w:t>6</w:t>
      </w:r>
      <w:r w:rsidR="00B5239A">
        <w:rPr>
          <w:rFonts w:cstheme="minorHAnsi"/>
        </w:rPr>
        <w:t>.</w:t>
      </w:r>
    </w:p>
    <w:p w:rsidR="00526BED" w:rsidRPr="008553A8" w:rsidRDefault="00526BED" w:rsidP="00E15C4D">
      <w:pPr>
        <w:spacing w:after="0"/>
        <w:jc w:val="both"/>
        <w:rPr>
          <w:rFonts w:cstheme="minorHAnsi"/>
        </w:rPr>
      </w:pPr>
    </w:p>
    <w:p w:rsidR="00D212F2" w:rsidRPr="00C912E4" w:rsidRDefault="00D212F2" w:rsidP="00061346">
      <w:pPr>
        <w:spacing w:after="0"/>
        <w:jc w:val="both"/>
        <w:rPr>
          <w:rFonts w:cstheme="minorHAnsi"/>
          <w:sz w:val="8"/>
          <w:szCs w:val="8"/>
        </w:rPr>
      </w:pPr>
    </w:p>
    <w:p w:rsidR="00BA144D" w:rsidRPr="00C61EB9" w:rsidRDefault="00BA144D" w:rsidP="00061346">
      <w:pPr>
        <w:spacing w:after="0"/>
        <w:jc w:val="both"/>
        <w:rPr>
          <w:rFonts w:cstheme="minorHAnsi"/>
          <w:b/>
          <w:sz w:val="32"/>
          <w:szCs w:val="32"/>
        </w:rPr>
      </w:pPr>
      <w:r w:rsidRPr="00C61EB9">
        <w:rPr>
          <w:rFonts w:cstheme="minorHAnsi"/>
          <w:b/>
          <w:sz w:val="32"/>
          <w:szCs w:val="32"/>
        </w:rPr>
        <w:t>Výsledky:</w:t>
      </w:r>
    </w:p>
    <w:p w:rsidR="00332119" w:rsidRPr="00BD1ED9" w:rsidRDefault="00332119" w:rsidP="00061346">
      <w:pPr>
        <w:spacing w:after="0"/>
        <w:jc w:val="both"/>
        <w:rPr>
          <w:rFonts w:cstheme="minorHAnsi"/>
          <w:sz w:val="10"/>
          <w:szCs w:val="10"/>
        </w:rPr>
      </w:pPr>
    </w:p>
    <w:p w:rsidR="00F93615" w:rsidRDefault="00A04F13" w:rsidP="00F936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Náklady</w:t>
      </w:r>
      <w:r w:rsidR="00F93615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F98" w:rsidRDefault="00C817CE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7045" cy="3242945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A9" w:rsidRDefault="00CE75A9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E18C6" w:rsidRPr="00BD1ED9" w:rsidRDefault="002E18C6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2772A" w:rsidRDefault="0032772A" w:rsidP="0032772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Náklady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vs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7CE">
        <w:rPr>
          <w:rFonts w:ascii="Times New Roman" w:hAnsi="Times New Roman" w:cs="Times New Roman"/>
          <w:b/>
          <w:sz w:val="24"/>
          <w:szCs w:val="24"/>
          <w:u w:val="single"/>
        </w:rPr>
        <w:t>ú</w:t>
      </w:r>
      <w:r w:rsidRPr="00BA144D">
        <w:rPr>
          <w:rFonts w:ascii="Times New Roman" w:hAnsi="Times New Roman" w:cs="Times New Roman"/>
          <w:b/>
          <w:sz w:val="24"/>
          <w:szCs w:val="24"/>
          <w:u w:val="single"/>
        </w:rPr>
        <w:t>činnost a bezpečnost:</w:t>
      </w:r>
    </w:p>
    <w:p w:rsidR="00C817CE" w:rsidRPr="00B50334" w:rsidRDefault="00C817CE" w:rsidP="0032772A">
      <w:pPr>
        <w:spacing w:after="0"/>
        <w:jc w:val="both"/>
        <w:rPr>
          <w:rFonts w:cstheme="minorHAnsi"/>
          <w:sz w:val="10"/>
          <w:szCs w:val="10"/>
        </w:rPr>
      </w:pPr>
    </w:p>
    <w:p w:rsidR="00147CCB" w:rsidRDefault="009C4119" w:rsidP="00F93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inline distT="0" distB="0" distL="0" distR="0">
            <wp:extent cx="6837045" cy="364680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72A" w:rsidRPr="00560697" w:rsidRDefault="00BD1ED9" w:rsidP="00F93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104195</wp:posOffset>
                </wp:positionV>
                <wp:extent cx="6869927" cy="1121134"/>
                <wp:effectExtent l="19050" t="19050" r="26670" b="222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927" cy="1121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ED9" w:rsidRPr="00BF4D8A" w:rsidRDefault="00BD1ED9" w:rsidP="00BF4D8A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D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Závěr:</w:t>
                            </w:r>
                          </w:p>
                          <w:p w:rsidR="00BD1ED9" w:rsidRPr="00BF4D8A" w:rsidRDefault="00BD1ED9" w:rsidP="00BF4D8A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Při požadovaném 1 pacientovi </w:t>
                            </w:r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 FNOL 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 tomto roce bude dopad do rozpočtu mezi 0,9 – 1,2 miliony Kč (pokud bude pacient léčen PADCEVEM místo CHT </w:t>
                            </w:r>
                            <w:proofErr w:type="spellStart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Pacl</w:t>
                            </w:r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taxel</w:t>
                            </w:r>
                            <w:proofErr w:type="spellEnd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Kabi</w:t>
                            </w:r>
                            <w:proofErr w:type="spellEnd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proofErr w:type="spellStart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Docatexal</w:t>
                            </w:r>
                            <w:proofErr w:type="spellEnd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Kabi</w:t>
                            </w:r>
                            <w:proofErr w:type="spellEnd"/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a mezi 0,6 – 0,9 miliony Kč (pokud bude </w:t>
                            </w:r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pacient léčen PADCEVEM místo CHT přípravkem </w:t>
                            </w:r>
                            <w:proofErr w:type="spellStart"/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>Javlor</w:t>
                            </w:r>
                            <w:proofErr w:type="spellEnd"/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) – modelace je pro tělesné hmotnosti pacienta </w:t>
                            </w:r>
                            <w:proofErr w:type="gramStart"/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>60 – 80</w:t>
                            </w:r>
                            <w:proofErr w:type="gramEnd"/>
                            <w:r w:rsid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>kg (s rostoucí tělesnou hmotností pacienta bude dopad do rozpočtu vyšší).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89.75pt;margin-top:8.2pt;width:540.95pt;height:8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" fillcolor="white [3201]" strokeweight="3pt">
                <v:textbox>
                  <w:txbxContent>
                    <w:p w:rsidR="00BD1ED9" w:rsidRPr="00BF4D8A" w:rsidRDefault="00BD1ED9" w:rsidP="00BF4D8A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F4D8A">
                        <w:rPr>
                          <w:b/>
                          <w:sz w:val="24"/>
                          <w:szCs w:val="24"/>
                          <w:u w:val="single"/>
                        </w:rPr>
                        <w:t>Závěr:</w:t>
                      </w:r>
                    </w:p>
                    <w:p w:rsidR="00BD1ED9" w:rsidRPr="00BF4D8A" w:rsidRDefault="00BD1ED9" w:rsidP="00BF4D8A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Při požadovaném 1 pacientovi </w:t>
                      </w:r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 xml:space="preserve">ve FNOL 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v tomto roce bude dopad do rozpočtu mezi 0,9 – 1,2 miliony Kč (pokud bude pacient léčen PADCEVEM místo CHT </w:t>
                      </w:r>
                      <w:proofErr w:type="spellStart"/>
                      <w:r w:rsidRPr="00BF4D8A">
                        <w:rPr>
                          <w:b/>
                          <w:sz w:val="24"/>
                          <w:szCs w:val="24"/>
                        </w:rPr>
                        <w:t>Pacl</w:t>
                      </w:r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>i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>taxel</w:t>
                      </w:r>
                      <w:proofErr w:type="spellEnd"/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4D8A">
                        <w:rPr>
                          <w:b/>
                          <w:sz w:val="24"/>
                          <w:szCs w:val="24"/>
                        </w:rPr>
                        <w:t>Kabi</w:t>
                      </w:r>
                      <w:proofErr w:type="spellEnd"/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/ </w:t>
                      </w:r>
                      <w:proofErr w:type="spellStart"/>
                      <w:r w:rsidRPr="00BF4D8A">
                        <w:rPr>
                          <w:b/>
                          <w:sz w:val="24"/>
                          <w:szCs w:val="24"/>
                        </w:rPr>
                        <w:t>Docatexal</w:t>
                      </w:r>
                      <w:proofErr w:type="spellEnd"/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F4D8A">
                        <w:rPr>
                          <w:b/>
                          <w:sz w:val="24"/>
                          <w:szCs w:val="24"/>
                        </w:rPr>
                        <w:t>Kabi</w:t>
                      </w:r>
                      <w:proofErr w:type="spellEnd"/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) a mezi 0,6 – 0,9 miliony Kč (pokud bude </w:t>
                      </w:r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 xml:space="preserve">pacient léčen PADCEVEM místo CHT přípravkem </w:t>
                      </w:r>
                      <w:proofErr w:type="spellStart"/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>Javlor</w:t>
                      </w:r>
                      <w:proofErr w:type="spellEnd"/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 xml:space="preserve">) – modelace je pro tělesné hmotnosti pacienta </w:t>
                      </w:r>
                      <w:proofErr w:type="gramStart"/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>60 – 80</w:t>
                      </w:r>
                      <w:proofErr w:type="gramEnd"/>
                      <w:r w:rsidR="00BF4D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>kg (s rostoucí tělesnou hmotností pacienta bude dopad do rozpočtu vyšší).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968" w:rsidRDefault="00EE078C" w:rsidP="00684A18">
      <w:pPr>
        <w:spacing w:after="0"/>
        <w:jc w:val="both"/>
        <w:rPr>
          <w:rFonts w:cstheme="minorHAnsi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A6968" w:rsidRPr="003A6968" w:rsidRDefault="003A6968" w:rsidP="003A6968">
      <w:pPr>
        <w:spacing w:after="0"/>
        <w:rPr>
          <w:rFonts w:cstheme="minorHAnsi"/>
        </w:rPr>
      </w:pPr>
    </w:p>
    <w:p w:rsidR="00E42CAD" w:rsidRDefault="00886014" w:rsidP="005776B1">
      <w:pPr>
        <w:spacing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</w:t>
      </w:r>
      <w:bookmarkStart w:id="0" w:name="_GoBack"/>
      <w:bookmarkEnd w:id="0"/>
      <w:r w:rsidR="0098743A">
        <w:rPr>
          <w:rFonts w:cstheme="minorHAnsi"/>
        </w:rPr>
        <w:t xml:space="preserve">                                            </w:t>
      </w:r>
      <w:r w:rsidR="00517375">
        <w:rPr>
          <w:rFonts w:cstheme="minorHAnsi"/>
        </w:rPr>
        <w:t>1.9</w:t>
      </w:r>
      <w:r w:rsidR="0098743A">
        <w:rPr>
          <w:rFonts w:cstheme="minorHAnsi"/>
        </w:rPr>
        <w:t>.2022</w:t>
      </w:r>
    </w:p>
    <w:p w:rsid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lastRenderedPageBreak/>
        <w:t>Poznámky a literatura:</w:t>
      </w:r>
    </w:p>
    <w:p w:rsidR="00E37918" w:rsidRPr="00E42CAD" w:rsidRDefault="00E37918" w:rsidP="005776B1">
      <w:pPr>
        <w:spacing w:after="0"/>
        <w:rPr>
          <w:rFonts w:cstheme="minorHAnsi"/>
          <w:u w:val="single"/>
        </w:rPr>
      </w:pPr>
    </w:p>
    <w:p w:rsidR="00F561E0" w:rsidRPr="00357970" w:rsidRDefault="003F3419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Fonts w:cstheme="minorHAnsi"/>
          <w:sz w:val="20"/>
          <w:szCs w:val="20"/>
        </w:rPr>
        <w:t>European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Medicines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Agency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="00C8045D" w:rsidRPr="00357970">
        <w:rPr>
          <w:rFonts w:cstheme="minorHAnsi"/>
          <w:sz w:val="20"/>
          <w:szCs w:val="20"/>
        </w:rPr>
        <w:t>Padcev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Pr="00357970">
        <w:rPr>
          <w:rFonts w:cstheme="minorHAnsi"/>
          <w:sz w:val="20"/>
          <w:szCs w:val="20"/>
        </w:rPr>
        <w:t>Assessment</w:t>
      </w:r>
      <w:proofErr w:type="spellEnd"/>
      <w:r w:rsidRPr="00357970">
        <w:rPr>
          <w:rFonts w:cstheme="minorHAnsi"/>
          <w:sz w:val="20"/>
          <w:szCs w:val="20"/>
        </w:rPr>
        <w:t xml:space="preserve"> report (</w:t>
      </w:r>
      <w:proofErr w:type="spellStart"/>
      <w:r w:rsidRPr="00357970">
        <w:rPr>
          <w:rFonts w:cstheme="minorHAnsi"/>
          <w:sz w:val="20"/>
          <w:szCs w:val="20"/>
        </w:rPr>
        <w:t>procedure</w:t>
      </w:r>
      <w:proofErr w:type="spellEnd"/>
      <w:r w:rsidRPr="00357970">
        <w:rPr>
          <w:rFonts w:cstheme="minorHAnsi"/>
          <w:sz w:val="20"/>
          <w:szCs w:val="20"/>
        </w:rPr>
        <w:t xml:space="preserve"> No. EMEA/H/C/00</w:t>
      </w:r>
      <w:r w:rsidR="00C8045D" w:rsidRPr="00357970">
        <w:rPr>
          <w:rFonts w:cstheme="minorHAnsi"/>
          <w:sz w:val="20"/>
          <w:szCs w:val="20"/>
        </w:rPr>
        <w:t>5392</w:t>
      </w:r>
      <w:r w:rsidRPr="00357970">
        <w:rPr>
          <w:rFonts w:cstheme="minorHAnsi"/>
          <w:sz w:val="20"/>
          <w:szCs w:val="20"/>
        </w:rPr>
        <w:t xml:space="preserve">/0000). </w:t>
      </w:r>
      <w:r w:rsidR="00C8045D" w:rsidRPr="00357970">
        <w:rPr>
          <w:rFonts w:cstheme="minorHAnsi"/>
          <w:sz w:val="20"/>
          <w:szCs w:val="20"/>
        </w:rPr>
        <w:t xml:space="preserve">24 </w:t>
      </w:r>
      <w:proofErr w:type="spellStart"/>
      <w:r w:rsidR="00C8045D" w:rsidRPr="00357970">
        <w:rPr>
          <w:rFonts w:cstheme="minorHAnsi"/>
          <w:sz w:val="20"/>
          <w:szCs w:val="20"/>
        </w:rPr>
        <w:t>February</w:t>
      </w:r>
      <w:proofErr w:type="spellEnd"/>
      <w:r w:rsidRPr="00357970">
        <w:rPr>
          <w:rFonts w:cstheme="minorHAnsi"/>
          <w:sz w:val="20"/>
          <w:szCs w:val="20"/>
        </w:rPr>
        <w:t xml:space="preserve"> 202</w:t>
      </w:r>
      <w:r w:rsidR="00C8045D" w:rsidRPr="00357970">
        <w:rPr>
          <w:rFonts w:cstheme="minorHAnsi"/>
          <w:sz w:val="20"/>
          <w:szCs w:val="20"/>
        </w:rPr>
        <w:t>2</w:t>
      </w:r>
      <w:r w:rsidR="00C62028" w:rsidRPr="00357970">
        <w:rPr>
          <w:sz w:val="20"/>
          <w:szCs w:val="20"/>
        </w:rPr>
        <w:t xml:space="preserve"> </w:t>
      </w:r>
    </w:p>
    <w:p w:rsidR="00F561E0" w:rsidRPr="0035797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357970">
        <w:rPr>
          <w:rFonts w:cstheme="minorHAnsi"/>
          <w:sz w:val="20"/>
          <w:szCs w:val="20"/>
        </w:rPr>
        <w:t>AISLP – 2022.2k, stav k 1.5.2022</w:t>
      </w:r>
    </w:p>
    <w:p w:rsidR="002A7B5D" w:rsidRPr="00357970" w:rsidRDefault="002A7B5D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357970">
        <w:rPr>
          <w:rFonts w:cstheme="minorHAnsi"/>
          <w:sz w:val="20"/>
          <w:szCs w:val="20"/>
        </w:rPr>
        <w:t xml:space="preserve">Vyhledávání správních řízení na </w:t>
      </w:r>
      <w:hyperlink r:id="rId9" w:history="1">
        <w:r w:rsidR="007830F2" w:rsidRPr="00357970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675E90" w:rsidRPr="00357970" w:rsidRDefault="001C0A2D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>Powles</w:t>
      </w:r>
      <w:proofErr w:type="spellEnd"/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T, et al. </w:t>
      </w:r>
      <w:proofErr w:type="spellStart"/>
      <w:r w:rsidRPr="00357970">
        <w:rPr>
          <w:sz w:val="20"/>
          <w:szCs w:val="20"/>
        </w:rPr>
        <w:t>Bladder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cancer</w:t>
      </w:r>
      <w:proofErr w:type="spellEnd"/>
      <w:r w:rsidRPr="00357970">
        <w:rPr>
          <w:sz w:val="20"/>
          <w:szCs w:val="20"/>
        </w:rPr>
        <w:t xml:space="preserve">: ESMO </w:t>
      </w:r>
      <w:proofErr w:type="spellStart"/>
      <w:r w:rsidRPr="00357970">
        <w:rPr>
          <w:sz w:val="20"/>
          <w:szCs w:val="20"/>
        </w:rPr>
        <w:t>Clinical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Practice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Guideline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for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diagnosis</w:t>
      </w:r>
      <w:proofErr w:type="spellEnd"/>
      <w:r w:rsidRPr="00357970">
        <w:rPr>
          <w:sz w:val="20"/>
          <w:szCs w:val="20"/>
        </w:rPr>
        <w:t xml:space="preserve">, </w:t>
      </w:r>
      <w:proofErr w:type="spellStart"/>
      <w:r w:rsidRPr="00357970">
        <w:rPr>
          <w:sz w:val="20"/>
          <w:szCs w:val="20"/>
        </w:rPr>
        <w:t>treatment</w:t>
      </w:r>
      <w:proofErr w:type="spellEnd"/>
      <w:r w:rsidRPr="00357970">
        <w:rPr>
          <w:sz w:val="20"/>
          <w:szCs w:val="20"/>
        </w:rPr>
        <w:t xml:space="preserve"> and </w:t>
      </w:r>
      <w:proofErr w:type="spellStart"/>
      <w:r w:rsidRPr="00357970">
        <w:rPr>
          <w:sz w:val="20"/>
          <w:szCs w:val="20"/>
        </w:rPr>
        <w:t>follow</w:t>
      </w:r>
      <w:proofErr w:type="spellEnd"/>
      <w:r w:rsidRPr="00357970">
        <w:rPr>
          <w:sz w:val="20"/>
          <w:szCs w:val="20"/>
        </w:rPr>
        <w:t xml:space="preserve">-up. </w:t>
      </w:r>
      <w:r w:rsidRPr="001653E8">
        <w:rPr>
          <w:i/>
          <w:sz w:val="20"/>
          <w:szCs w:val="20"/>
        </w:rPr>
        <w:t xml:space="preserve">Ann </w:t>
      </w:r>
      <w:proofErr w:type="spellStart"/>
      <w:r w:rsidRPr="001653E8">
        <w:rPr>
          <w:i/>
          <w:sz w:val="20"/>
          <w:szCs w:val="20"/>
        </w:rPr>
        <w:t>Oncol</w:t>
      </w:r>
      <w:proofErr w:type="spellEnd"/>
      <w:r w:rsidRPr="00357970">
        <w:rPr>
          <w:sz w:val="20"/>
          <w:szCs w:val="20"/>
        </w:rPr>
        <w:t>. 2022 (33), 3: 244-258</w:t>
      </w:r>
    </w:p>
    <w:p w:rsidR="001C0A2D" w:rsidRPr="00357970" w:rsidRDefault="00757A7F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MOU. Modrá kniha České onkologické společnosti </w:t>
      </w:r>
      <w:r w:rsidR="00BA44A5"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>– platnost od 1.3.2022. Brno. 2022. Kapitola 22 – zhoubný novotvar močového měchýře (C67).</w:t>
      </w:r>
    </w:p>
    <w:p w:rsidR="00BA44A5" w:rsidRPr="00357970" w:rsidRDefault="00357970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>Powles</w:t>
      </w:r>
      <w:proofErr w:type="spellEnd"/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T, et al. </w:t>
      </w:r>
      <w:proofErr w:type="spellStart"/>
      <w:r w:rsidRPr="00357970">
        <w:rPr>
          <w:rStyle w:val="Hypertextovodkaz"/>
          <w:rFonts w:cstheme="minorHAnsi"/>
          <w:color w:val="auto"/>
          <w:sz w:val="20"/>
          <w:szCs w:val="20"/>
          <w:u w:val="none"/>
        </w:rPr>
        <w:t>E</w:t>
      </w:r>
      <w:r w:rsidRPr="00357970">
        <w:rPr>
          <w:sz w:val="20"/>
          <w:szCs w:val="20"/>
        </w:rPr>
        <w:t>nfortumab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Vedotin</w:t>
      </w:r>
      <w:proofErr w:type="spellEnd"/>
      <w:r w:rsidRPr="00357970">
        <w:rPr>
          <w:sz w:val="20"/>
          <w:szCs w:val="20"/>
        </w:rPr>
        <w:t xml:space="preserve"> in </w:t>
      </w:r>
      <w:proofErr w:type="spellStart"/>
      <w:r w:rsidRPr="00357970">
        <w:rPr>
          <w:sz w:val="20"/>
          <w:szCs w:val="20"/>
        </w:rPr>
        <w:t>Previously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Treated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Advanced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Urothelial</w:t>
      </w:r>
      <w:proofErr w:type="spellEnd"/>
      <w:r w:rsidRPr="00357970">
        <w:rPr>
          <w:sz w:val="20"/>
          <w:szCs w:val="20"/>
        </w:rPr>
        <w:t xml:space="preserve"> </w:t>
      </w:r>
      <w:proofErr w:type="spellStart"/>
      <w:r w:rsidRPr="00357970">
        <w:rPr>
          <w:sz w:val="20"/>
          <w:szCs w:val="20"/>
        </w:rPr>
        <w:t>Carcinoma</w:t>
      </w:r>
      <w:proofErr w:type="spellEnd"/>
      <w:r w:rsidRPr="00357970">
        <w:rPr>
          <w:sz w:val="20"/>
          <w:szCs w:val="20"/>
        </w:rPr>
        <w:t xml:space="preserve">. </w:t>
      </w:r>
      <w:r w:rsidRPr="001653E8">
        <w:rPr>
          <w:i/>
          <w:sz w:val="20"/>
          <w:szCs w:val="20"/>
        </w:rPr>
        <w:t xml:space="preserve">N </w:t>
      </w:r>
      <w:proofErr w:type="spellStart"/>
      <w:r w:rsidRPr="001653E8">
        <w:rPr>
          <w:i/>
          <w:sz w:val="20"/>
          <w:szCs w:val="20"/>
        </w:rPr>
        <w:t>Engl</w:t>
      </w:r>
      <w:proofErr w:type="spellEnd"/>
      <w:r w:rsidRPr="001653E8">
        <w:rPr>
          <w:i/>
          <w:sz w:val="20"/>
          <w:szCs w:val="20"/>
        </w:rPr>
        <w:t xml:space="preserve"> J Med</w:t>
      </w:r>
      <w:r w:rsidRPr="00357970">
        <w:rPr>
          <w:sz w:val="20"/>
          <w:szCs w:val="20"/>
        </w:rPr>
        <w:t xml:space="preserve"> 2021;</w:t>
      </w:r>
      <w:r w:rsidR="001653E8">
        <w:rPr>
          <w:sz w:val="20"/>
          <w:szCs w:val="20"/>
        </w:rPr>
        <w:t xml:space="preserve"> </w:t>
      </w:r>
      <w:r w:rsidRPr="00357970">
        <w:rPr>
          <w:sz w:val="20"/>
          <w:szCs w:val="20"/>
        </w:rPr>
        <w:t>384:</w:t>
      </w:r>
      <w:r w:rsidR="001653E8">
        <w:rPr>
          <w:sz w:val="20"/>
          <w:szCs w:val="20"/>
        </w:rPr>
        <w:t xml:space="preserve"> </w:t>
      </w:r>
      <w:r w:rsidRPr="00357970">
        <w:rPr>
          <w:sz w:val="20"/>
          <w:szCs w:val="20"/>
        </w:rPr>
        <w:t>1125-35.</w:t>
      </w:r>
    </w:p>
    <w:p w:rsidR="00357970" w:rsidRDefault="00A31143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CADTH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Reimbursement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Review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Enfortumab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Vedotin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Padcev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). 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Canadian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Journal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of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>Health</w:t>
      </w:r>
      <w:proofErr w:type="spellEnd"/>
      <w:r w:rsidR="00C95474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Technologies 2022 (2), 5: 1-154</w:t>
      </w: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 w:rsidRPr="00143A50">
        <w:rPr>
          <w:rStyle w:val="Hypertextovodkaz"/>
          <w:rFonts w:cstheme="minorHAnsi"/>
          <w:b/>
          <w:color w:val="auto"/>
          <w:sz w:val="24"/>
          <w:szCs w:val="24"/>
        </w:rPr>
        <w:t>Přílohy:</w:t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7045" cy="3391535"/>
            <wp:effectExtent l="0" t="0" r="190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43A50" w:rsidRP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7045" cy="247713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A50" w:rsidRPr="00143A50" w:rsidSect="00CB665F"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6C0" w:rsidRDefault="00FA76C0" w:rsidP="001312F1">
      <w:pPr>
        <w:spacing w:after="0" w:line="240" w:lineRule="auto"/>
      </w:pPr>
      <w:r>
        <w:separator/>
      </w:r>
    </w:p>
  </w:endnote>
  <w:endnote w:type="continuationSeparator" w:id="0">
    <w:p w:rsidR="00FA76C0" w:rsidRDefault="00FA76C0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D921CC" w:rsidRDefault="00D921C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21CC" w:rsidRDefault="00D921C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6FCF" w:rsidRPr="00A86FCF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D921CC" w:rsidRDefault="00D921C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6FCF" w:rsidRPr="00A86FCF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6C0" w:rsidRDefault="00FA76C0" w:rsidP="001312F1">
      <w:pPr>
        <w:spacing w:after="0" w:line="240" w:lineRule="auto"/>
      </w:pPr>
      <w:r>
        <w:separator/>
      </w:r>
    </w:p>
  </w:footnote>
  <w:footnote w:type="continuationSeparator" w:id="0">
    <w:p w:rsidR="00FA76C0" w:rsidRDefault="00FA76C0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1"/>
    <w:rsid w:val="00006D6C"/>
    <w:rsid w:val="000075A7"/>
    <w:rsid w:val="00011482"/>
    <w:rsid w:val="00011B5F"/>
    <w:rsid w:val="00015003"/>
    <w:rsid w:val="00020689"/>
    <w:rsid w:val="000229D9"/>
    <w:rsid w:val="00024574"/>
    <w:rsid w:val="0002621C"/>
    <w:rsid w:val="00032017"/>
    <w:rsid w:val="00034794"/>
    <w:rsid w:val="00040559"/>
    <w:rsid w:val="00045C44"/>
    <w:rsid w:val="00046E64"/>
    <w:rsid w:val="00051675"/>
    <w:rsid w:val="00054923"/>
    <w:rsid w:val="00061346"/>
    <w:rsid w:val="00065DB7"/>
    <w:rsid w:val="0007421A"/>
    <w:rsid w:val="00082844"/>
    <w:rsid w:val="000838C2"/>
    <w:rsid w:val="00086747"/>
    <w:rsid w:val="00090E52"/>
    <w:rsid w:val="000942B5"/>
    <w:rsid w:val="000968BF"/>
    <w:rsid w:val="000A2C2F"/>
    <w:rsid w:val="000A36F7"/>
    <w:rsid w:val="000A7EF0"/>
    <w:rsid w:val="000D2A12"/>
    <w:rsid w:val="000D5F0B"/>
    <w:rsid w:val="000E0B46"/>
    <w:rsid w:val="000E0BDE"/>
    <w:rsid w:val="000E66A0"/>
    <w:rsid w:val="000F0CBB"/>
    <w:rsid w:val="000F1E0D"/>
    <w:rsid w:val="0010021B"/>
    <w:rsid w:val="00105ED5"/>
    <w:rsid w:val="00106B9A"/>
    <w:rsid w:val="00112756"/>
    <w:rsid w:val="00116B5A"/>
    <w:rsid w:val="001205AE"/>
    <w:rsid w:val="001214D8"/>
    <w:rsid w:val="001245EE"/>
    <w:rsid w:val="001312F1"/>
    <w:rsid w:val="00135489"/>
    <w:rsid w:val="0013698D"/>
    <w:rsid w:val="0013740D"/>
    <w:rsid w:val="00137D82"/>
    <w:rsid w:val="00143A50"/>
    <w:rsid w:val="00147CCB"/>
    <w:rsid w:val="00162EB6"/>
    <w:rsid w:val="001653E8"/>
    <w:rsid w:val="0017179D"/>
    <w:rsid w:val="00174D05"/>
    <w:rsid w:val="0017631E"/>
    <w:rsid w:val="00181019"/>
    <w:rsid w:val="00181B68"/>
    <w:rsid w:val="00183EB4"/>
    <w:rsid w:val="001903EE"/>
    <w:rsid w:val="00190B90"/>
    <w:rsid w:val="001976FA"/>
    <w:rsid w:val="00197C50"/>
    <w:rsid w:val="001A2E10"/>
    <w:rsid w:val="001C0A2D"/>
    <w:rsid w:val="001C30AA"/>
    <w:rsid w:val="001C5114"/>
    <w:rsid w:val="001C7672"/>
    <w:rsid w:val="001C7C71"/>
    <w:rsid w:val="001D0332"/>
    <w:rsid w:val="001D1E3D"/>
    <w:rsid w:val="001D31CF"/>
    <w:rsid w:val="001D4D9A"/>
    <w:rsid w:val="001E1790"/>
    <w:rsid w:val="001E3B7E"/>
    <w:rsid w:val="001F103C"/>
    <w:rsid w:val="00202820"/>
    <w:rsid w:val="002043D1"/>
    <w:rsid w:val="00205789"/>
    <w:rsid w:val="00221177"/>
    <w:rsid w:val="0023021C"/>
    <w:rsid w:val="00233241"/>
    <w:rsid w:val="0023684C"/>
    <w:rsid w:val="00242F48"/>
    <w:rsid w:val="00244EFF"/>
    <w:rsid w:val="00247906"/>
    <w:rsid w:val="0025183E"/>
    <w:rsid w:val="002528F8"/>
    <w:rsid w:val="00254E91"/>
    <w:rsid w:val="0025725E"/>
    <w:rsid w:val="00266F65"/>
    <w:rsid w:val="00272E4D"/>
    <w:rsid w:val="0027515A"/>
    <w:rsid w:val="00276189"/>
    <w:rsid w:val="00277198"/>
    <w:rsid w:val="002900C4"/>
    <w:rsid w:val="0029077A"/>
    <w:rsid w:val="00292218"/>
    <w:rsid w:val="00294B7E"/>
    <w:rsid w:val="00295012"/>
    <w:rsid w:val="002A3DB9"/>
    <w:rsid w:val="002A7B5D"/>
    <w:rsid w:val="002A7CD2"/>
    <w:rsid w:val="002B091A"/>
    <w:rsid w:val="002B1816"/>
    <w:rsid w:val="002B2964"/>
    <w:rsid w:val="002B31E8"/>
    <w:rsid w:val="002B3A44"/>
    <w:rsid w:val="002B5329"/>
    <w:rsid w:val="002C4487"/>
    <w:rsid w:val="002D1F31"/>
    <w:rsid w:val="002E0407"/>
    <w:rsid w:val="002E18C6"/>
    <w:rsid w:val="002E4C94"/>
    <w:rsid w:val="002E4D24"/>
    <w:rsid w:val="002E5659"/>
    <w:rsid w:val="002F5DAA"/>
    <w:rsid w:val="00300C6E"/>
    <w:rsid w:val="00302D82"/>
    <w:rsid w:val="00310A67"/>
    <w:rsid w:val="00312BF3"/>
    <w:rsid w:val="00317567"/>
    <w:rsid w:val="003207B0"/>
    <w:rsid w:val="00321079"/>
    <w:rsid w:val="0032772A"/>
    <w:rsid w:val="00332119"/>
    <w:rsid w:val="00334272"/>
    <w:rsid w:val="003344D0"/>
    <w:rsid w:val="00336914"/>
    <w:rsid w:val="003415A5"/>
    <w:rsid w:val="00352A01"/>
    <w:rsid w:val="00356BA2"/>
    <w:rsid w:val="00357970"/>
    <w:rsid w:val="003763F3"/>
    <w:rsid w:val="00383434"/>
    <w:rsid w:val="003A2242"/>
    <w:rsid w:val="003A370A"/>
    <w:rsid w:val="003A4E65"/>
    <w:rsid w:val="003A6968"/>
    <w:rsid w:val="003C0993"/>
    <w:rsid w:val="003C2293"/>
    <w:rsid w:val="003C3EB0"/>
    <w:rsid w:val="003C536E"/>
    <w:rsid w:val="003C5401"/>
    <w:rsid w:val="003D47FA"/>
    <w:rsid w:val="003D4FCA"/>
    <w:rsid w:val="003D59FD"/>
    <w:rsid w:val="003D6912"/>
    <w:rsid w:val="003E127A"/>
    <w:rsid w:val="003E1DFE"/>
    <w:rsid w:val="003E2628"/>
    <w:rsid w:val="003E371A"/>
    <w:rsid w:val="003F204B"/>
    <w:rsid w:val="003F3419"/>
    <w:rsid w:val="004022CC"/>
    <w:rsid w:val="00402505"/>
    <w:rsid w:val="00403521"/>
    <w:rsid w:val="0040525B"/>
    <w:rsid w:val="00421667"/>
    <w:rsid w:val="00421FDC"/>
    <w:rsid w:val="0043067D"/>
    <w:rsid w:val="00430FC0"/>
    <w:rsid w:val="004319A4"/>
    <w:rsid w:val="00433914"/>
    <w:rsid w:val="00443771"/>
    <w:rsid w:val="004471DB"/>
    <w:rsid w:val="00461BCB"/>
    <w:rsid w:val="00463EBC"/>
    <w:rsid w:val="00465303"/>
    <w:rsid w:val="00467274"/>
    <w:rsid w:val="00470502"/>
    <w:rsid w:val="00471996"/>
    <w:rsid w:val="00483432"/>
    <w:rsid w:val="004839B0"/>
    <w:rsid w:val="00492317"/>
    <w:rsid w:val="00494D07"/>
    <w:rsid w:val="0049615E"/>
    <w:rsid w:val="00496A68"/>
    <w:rsid w:val="004A22EC"/>
    <w:rsid w:val="004A53D6"/>
    <w:rsid w:val="004B189A"/>
    <w:rsid w:val="004B50D7"/>
    <w:rsid w:val="004B7F5D"/>
    <w:rsid w:val="004C3404"/>
    <w:rsid w:val="004E4CAC"/>
    <w:rsid w:val="004E4E1A"/>
    <w:rsid w:val="004E6B14"/>
    <w:rsid w:val="004E6BB9"/>
    <w:rsid w:val="004E7601"/>
    <w:rsid w:val="004F31F4"/>
    <w:rsid w:val="004F3618"/>
    <w:rsid w:val="004F3F5F"/>
    <w:rsid w:val="004F5FD6"/>
    <w:rsid w:val="00501D09"/>
    <w:rsid w:val="005043E2"/>
    <w:rsid w:val="00505B12"/>
    <w:rsid w:val="00506EF0"/>
    <w:rsid w:val="00517375"/>
    <w:rsid w:val="00526BED"/>
    <w:rsid w:val="00527216"/>
    <w:rsid w:val="00531C36"/>
    <w:rsid w:val="00537CC9"/>
    <w:rsid w:val="005456DC"/>
    <w:rsid w:val="00546B6C"/>
    <w:rsid w:val="00560697"/>
    <w:rsid w:val="0056152F"/>
    <w:rsid w:val="0056478B"/>
    <w:rsid w:val="00576348"/>
    <w:rsid w:val="005776B1"/>
    <w:rsid w:val="00583E44"/>
    <w:rsid w:val="00590A4E"/>
    <w:rsid w:val="005965EA"/>
    <w:rsid w:val="005A0D45"/>
    <w:rsid w:val="005B0E93"/>
    <w:rsid w:val="005B2DB9"/>
    <w:rsid w:val="005B5695"/>
    <w:rsid w:val="005B59E9"/>
    <w:rsid w:val="005C1757"/>
    <w:rsid w:val="005C2078"/>
    <w:rsid w:val="005C5C01"/>
    <w:rsid w:val="005C6F10"/>
    <w:rsid w:val="005D1EC7"/>
    <w:rsid w:val="005D276E"/>
    <w:rsid w:val="005D3366"/>
    <w:rsid w:val="005E60F7"/>
    <w:rsid w:val="005E635D"/>
    <w:rsid w:val="005E665A"/>
    <w:rsid w:val="005F1B9D"/>
    <w:rsid w:val="005F6CB8"/>
    <w:rsid w:val="006062F8"/>
    <w:rsid w:val="006076A7"/>
    <w:rsid w:val="00626E83"/>
    <w:rsid w:val="0063135B"/>
    <w:rsid w:val="00633EC5"/>
    <w:rsid w:val="00634F96"/>
    <w:rsid w:val="00640086"/>
    <w:rsid w:val="00643BF7"/>
    <w:rsid w:val="006632AA"/>
    <w:rsid w:val="00663DD2"/>
    <w:rsid w:val="0066575F"/>
    <w:rsid w:val="00666105"/>
    <w:rsid w:val="00666258"/>
    <w:rsid w:val="00666EE0"/>
    <w:rsid w:val="00673614"/>
    <w:rsid w:val="00674109"/>
    <w:rsid w:val="006758E8"/>
    <w:rsid w:val="00675E90"/>
    <w:rsid w:val="00680AFF"/>
    <w:rsid w:val="006810B7"/>
    <w:rsid w:val="00684A18"/>
    <w:rsid w:val="006869A6"/>
    <w:rsid w:val="006906F9"/>
    <w:rsid w:val="0069372A"/>
    <w:rsid w:val="006A652F"/>
    <w:rsid w:val="006B0472"/>
    <w:rsid w:val="006B05BF"/>
    <w:rsid w:val="006B1775"/>
    <w:rsid w:val="006B2DBA"/>
    <w:rsid w:val="006C4812"/>
    <w:rsid w:val="006C6B59"/>
    <w:rsid w:val="006D162C"/>
    <w:rsid w:val="006D6A6F"/>
    <w:rsid w:val="006E6657"/>
    <w:rsid w:val="006F19F8"/>
    <w:rsid w:val="006F3B77"/>
    <w:rsid w:val="006F55AE"/>
    <w:rsid w:val="006F634D"/>
    <w:rsid w:val="00700C9B"/>
    <w:rsid w:val="00703B19"/>
    <w:rsid w:val="00715FE5"/>
    <w:rsid w:val="00730594"/>
    <w:rsid w:val="00732C39"/>
    <w:rsid w:val="00735E49"/>
    <w:rsid w:val="00736235"/>
    <w:rsid w:val="00737E92"/>
    <w:rsid w:val="00737ECB"/>
    <w:rsid w:val="007415C1"/>
    <w:rsid w:val="00743512"/>
    <w:rsid w:val="00757A7F"/>
    <w:rsid w:val="00757EA2"/>
    <w:rsid w:val="0076676E"/>
    <w:rsid w:val="00773A3A"/>
    <w:rsid w:val="0077475D"/>
    <w:rsid w:val="00781FC4"/>
    <w:rsid w:val="007830F2"/>
    <w:rsid w:val="0079522D"/>
    <w:rsid w:val="007957B7"/>
    <w:rsid w:val="007A02CE"/>
    <w:rsid w:val="007B1410"/>
    <w:rsid w:val="007B1958"/>
    <w:rsid w:val="007B2798"/>
    <w:rsid w:val="007B3E7E"/>
    <w:rsid w:val="007B73F7"/>
    <w:rsid w:val="007B77CE"/>
    <w:rsid w:val="007C6148"/>
    <w:rsid w:val="007C6637"/>
    <w:rsid w:val="007C6ED9"/>
    <w:rsid w:val="007C79C2"/>
    <w:rsid w:val="007D25C4"/>
    <w:rsid w:val="007D59A8"/>
    <w:rsid w:val="007E0BE0"/>
    <w:rsid w:val="007E7C21"/>
    <w:rsid w:val="007F086D"/>
    <w:rsid w:val="007F6982"/>
    <w:rsid w:val="00802B2A"/>
    <w:rsid w:val="0080451D"/>
    <w:rsid w:val="008051C7"/>
    <w:rsid w:val="008101C8"/>
    <w:rsid w:val="00810F14"/>
    <w:rsid w:val="00812133"/>
    <w:rsid w:val="0081327F"/>
    <w:rsid w:val="008154DA"/>
    <w:rsid w:val="00815826"/>
    <w:rsid w:val="00817A3E"/>
    <w:rsid w:val="008201F1"/>
    <w:rsid w:val="0082503B"/>
    <w:rsid w:val="00825A59"/>
    <w:rsid w:val="00832981"/>
    <w:rsid w:val="0083311D"/>
    <w:rsid w:val="00835503"/>
    <w:rsid w:val="008372F9"/>
    <w:rsid w:val="00852708"/>
    <w:rsid w:val="008553A8"/>
    <w:rsid w:val="00855407"/>
    <w:rsid w:val="008613B4"/>
    <w:rsid w:val="00861772"/>
    <w:rsid w:val="008774BA"/>
    <w:rsid w:val="0088030A"/>
    <w:rsid w:val="0088376F"/>
    <w:rsid w:val="00886014"/>
    <w:rsid w:val="00886978"/>
    <w:rsid w:val="00890A50"/>
    <w:rsid w:val="008A2014"/>
    <w:rsid w:val="008A3E12"/>
    <w:rsid w:val="008A670F"/>
    <w:rsid w:val="008B608E"/>
    <w:rsid w:val="008B669C"/>
    <w:rsid w:val="008C1C4D"/>
    <w:rsid w:val="008C2490"/>
    <w:rsid w:val="008C7E35"/>
    <w:rsid w:val="008C7FE6"/>
    <w:rsid w:val="008D1057"/>
    <w:rsid w:val="008D2996"/>
    <w:rsid w:val="008D2E48"/>
    <w:rsid w:val="008D4199"/>
    <w:rsid w:val="008E033A"/>
    <w:rsid w:val="008E1C77"/>
    <w:rsid w:val="008E7269"/>
    <w:rsid w:val="008E74F0"/>
    <w:rsid w:val="00902E62"/>
    <w:rsid w:val="00903177"/>
    <w:rsid w:val="009110A0"/>
    <w:rsid w:val="00920DC7"/>
    <w:rsid w:val="009236BD"/>
    <w:rsid w:val="00924C37"/>
    <w:rsid w:val="009275DF"/>
    <w:rsid w:val="00935D8C"/>
    <w:rsid w:val="00936693"/>
    <w:rsid w:val="00944658"/>
    <w:rsid w:val="0094735C"/>
    <w:rsid w:val="009626B3"/>
    <w:rsid w:val="00970474"/>
    <w:rsid w:val="00971317"/>
    <w:rsid w:val="00973B2F"/>
    <w:rsid w:val="00973C01"/>
    <w:rsid w:val="00974B6A"/>
    <w:rsid w:val="00977D7C"/>
    <w:rsid w:val="0098009E"/>
    <w:rsid w:val="0098182A"/>
    <w:rsid w:val="00981D18"/>
    <w:rsid w:val="009821E9"/>
    <w:rsid w:val="00984A69"/>
    <w:rsid w:val="00985954"/>
    <w:rsid w:val="0098743A"/>
    <w:rsid w:val="00990F1F"/>
    <w:rsid w:val="00992383"/>
    <w:rsid w:val="00996B7B"/>
    <w:rsid w:val="009A09A2"/>
    <w:rsid w:val="009A187F"/>
    <w:rsid w:val="009A1F9F"/>
    <w:rsid w:val="009A54D5"/>
    <w:rsid w:val="009A7B34"/>
    <w:rsid w:val="009C02B4"/>
    <w:rsid w:val="009C4119"/>
    <w:rsid w:val="009D1794"/>
    <w:rsid w:val="009D1B0A"/>
    <w:rsid w:val="009D56FD"/>
    <w:rsid w:val="009E385A"/>
    <w:rsid w:val="009E5039"/>
    <w:rsid w:val="009E670F"/>
    <w:rsid w:val="009E688B"/>
    <w:rsid w:val="009F3D54"/>
    <w:rsid w:val="009F74AA"/>
    <w:rsid w:val="00A0136E"/>
    <w:rsid w:val="00A025A5"/>
    <w:rsid w:val="00A04F13"/>
    <w:rsid w:val="00A05E79"/>
    <w:rsid w:val="00A11415"/>
    <w:rsid w:val="00A126E4"/>
    <w:rsid w:val="00A22DA1"/>
    <w:rsid w:val="00A237D5"/>
    <w:rsid w:val="00A23CEB"/>
    <w:rsid w:val="00A2725A"/>
    <w:rsid w:val="00A27CFE"/>
    <w:rsid w:val="00A30D4E"/>
    <w:rsid w:val="00A31143"/>
    <w:rsid w:val="00A321E9"/>
    <w:rsid w:val="00A426B5"/>
    <w:rsid w:val="00A42BE4"/>
    <w:rsid w:val="00A57B7C"/>
    <w:rsid w:val="00A64D36"/>
    <w:rsid w:val="00A7147D"/>
    <w:rsid w:val="00A74467"/>
    <w:rsid w:val="00A83CF2"/>
    <w:rsid w:val="00A86FCF"/>
    <w:rsid w:val="00A90CAF"/>
    <w:rsid w:val="00A93AA9"/>
    <w:rsid w:val="00AA0F3D"/>
    <w:rsid w:val="00AC41B2"/>
    <w:rsid w:val="00AC6F6F"/>
    <w:rsid w:val="00AD1BFB"/>
    <w:rsid w:val="00AD7C74"/>
    <w:rsid w:val="00AF72BF"/>
    <w:rsid w:val="00AF744E"/>
    <w:rsid w:val="00AF7F56"/>
    <w:rsid w:val="00B002C1"/>
    <w:rsid w:val="00B04A7E"/>
    <w:rsid w:val="00B07C39"/>
    <w:rsid w:val="00B135DE"/>
    <w:rsid w:val="00B13E5C"/>
    <w:rsid w:val="00B171C8"/>
    <w:rsid w:val="00B21177"/>
    <w:rsid w:val="00B26F30"/>
    <w:rsid w:val="00B405F4"/>
    <w:rsid w:val="00B45155"/>
    <w:rsid w:val="00B46499"/>
    <w:rsid w:val="00B50334"/>
    <w:rsid w:val="00B5239A"/>
    <w:rsid w:val="00B53339"/>
    <w:rsid w:val="00B5479B"/>
    <w:rsid w:val="00B56767"/>
    <w:rsid w:val="00B61FCA"/>
    <w:rsid w:val="00B67B3E"/>
    <w:rsid w:val="00B726CA"/>
    <w:rsid w:val="00B91F00"/>
    <w:rsid w:val="00BA144D"/>
    <w:rsid w:val="00BA249F"/>
    <w:rsid w:val="00BA44A5"/>
    <w:rsid w:val="00BA5B3E"/>
    <w:rsid w:val="00BB6FAC"/>
    <w:rsid w:val="00BC2A0C"/>
    <w:rsid w:val="00BD0FEB"/>
    <w:rsid w:val="00BD180A"/>
    <w:rsid w:val="00BD1ED9"/>
    <w:rsid w:val="00BD250B"/>
    <w:rsid w:val="00BE007B"/>
    <w:rsid w:val="00BE00A0"/>
    <w:rsid w:val="00BF2E30"/>
    <w:rsid w:val="00BF308D"/>
    <w:rsid w:val="00BF4D8A"/>
    <w:rsid w:val="00BF5449"/>
    <w:rsid w:val="00C0083E"/>
    <w:rsid w:val="00C029C7"/>
    <w:rsid w:val="00C03C56"/>
    <w:rsid w:val="00C06D79"/>
    <w:rsid w:val="00C136E4"/>
    <w:rsid w:val="00C1421B"/>
    <w:rsid w:val="00C143A1"/>
    <w:rsid w:val="00C17F31"/>
    <w:rsid w:val="00C2147C"/>
    <w:rsid w:val="00C24604"/>
    <w:rsid w:val="00C24D55"/>
    <w:rsid w:val="00C25BE6"/>
    <w:rsid w:val="00C25E7D"/>
    <w:rsid w:val="00C2647C"/>
    <w:rsid w:val="00C27EAD"/>
    <w:rsid w:val="00C34169"/>
    <w:rsid w:val="00C37BF4"/>
    <w:rsid w:val="00C41313"/>
    <w:rsid w:val="00C42B43"/>
    <w:rsid w:val="00C5614D"/>
    <w:rsid w:val="00C61EB9"/>
    <w:rsid w:val="00C62028"/>
    <w:rsid w:val="00C62C02"/>
    <w:rsid w:val="00C70813"/>
    <w:rsid w:val="00C70A6E"/>
    <w:rsid w:val="00C71FEA"/>
    <w:rsid w:val="00C8045D"/>
    <w:rsid w:val="00C808B9"/>
    <w:rsid w:val="00C817CE"/>
    <w:rsid w:val="00C8258A"/>
    <w:rsid w:val="00C83395"/>
    <w:rsid w:val="00C84051"/>
    <w:rsid w:val="00C864DF"/>
    <w:rsid w:val="00C87883"/>
    <w:rsid w:val="00C912E4"/>
    <w:rsid w:val="00C95474"/>
    <w:rsid w:val="00CA06AD"/>
    <w:rsid w:val="00CA3BDF"/>
    <w:rsid w:val="00CA612C"/>
    <w:rsid w:val="00CB0F07"/>
    <w:rsid w:val="00CB5359"/>
    <w:rsid w:val="00CB5670"/>
    <w:rsid w:val="00CB665F"/>
    <w:rsid w:val="00CB7129"/>
    <w:rsid w:val="00CC4B39"/>
    <w:rsid w:val="00CC5B18"/>
    <w:rsid w:val="00CD21F4"/>
    <w:rsid w:val="00CE1F98"/>
    <w:rsid w:val="00CE75A9"/>
    <w:rsid w:val="00CF4083"/>
    <w:rsid w:val="00CF5AAC"/>
    <w:rsid w:val="00D02C99"/>
    <w:rsid w:val="00D1231C"/>
    <w:rsid w:val="00D1362F"/>
    <w:rsid w:val="00D15E15"/>
    <w:rsid w:val="00D212F2"/>
    <w:rsid w:val="00D30316"/>
    <w:rsid w:val="00D36ACF"/>
    <w:rsid w:val="00D41F5B"/>
    <w:rsid w:val="00D51F4C"/>
    <w:rsid w:val="00D54076"/>
    <w:rsid w:val="00D55D18"/>
    <w:rsid w:val="00D742F0"/>
    <w:rsid w:val="00D90280"/>
    <w:rsid w:val="00D921CC"/>
    <w:rsid w:val="00D924E1"/>
    <w:rsid w:val="00D9474E"/>
    <w:rsid w:val="00DA486B"/>
    <w:rsid w:val="00DB05FB"/>
    <w:rsid w:val="00DB2002"/>
    <w:rsid w:val="00DB7EDC"/>
    <w:rsid w:val="00DC0A0C"/>
    <w:rsid w:val="00DE5C1E"/>
    <w:rsid w:val="00DE6983"/>
    <w:rsid w:val="00DF404A"/>
    <w:rsid w:val="00DF4964"/>
    <w:rsid w:val="00E04C2A"/>
    <w:rsid w:val="00E1342C"/>
    <w:rsid w:val="00E15C4D"/>
    <w:rsid w:val="00E160C4"/>
    <w:rsid w:val="00E16E69"/>
    <w:rsid w:val="00E17EAD"/>
    <w:rsid w:val="00E20471"/>
    <w:rsid w:val="00E2529F"/>
    <w:rsid w:val="00E30075"/>
    <w:rsid w:val="00E3167E"/>
    <w:rsid w:val="00E325E0"/>
    <w:rsid w:val="00E3389D"/>
    <w:rsid w:val="00E37918"/>
    <w:rsid w:val="00E42CAD"/>
    <w:rsid w:val="00E44E7F"/>
    <w:rsid w:val="00E504FA"/>
    <w:rsid w:val="00E56341"/>
    <w:rsid w:val="00E56EBE"/>
    <w:rsid w:val="00E57CA4"/>
    <w:rsid w:val="00E6150A"/>
    <w:rsid w:val="00E806F6"/>
    <w:rsid w:val="00E84E62"/>
    <w:rsid w:val="00E8563E"/>
    <w:rsid w:val="00E86860"/>
    <w:rsid w:val="00E87488"/>
    <w:rsid w:val="00E9133D"/>
    <w:rsid w:val="00E9737F"/>
    <w:rsid w:val="00EA549D"/>
    <w:rsid w:val="00EB0A02"/>
    <w:rsid w:val="00EB1E18"/>
    <w:rsid w:val="00EB7B2D"/>
    <w:rsid w:val="00EC0356"/>
    <w:rsid w:val="00EC0C2E"/>
    <w:rsid w:val="00EC4F6F"/>
    <w:rsid w:val="00ED142F"/>
    <w:rsid w:val="00ED5512"/>
    <w:rsid w:val="00ED5AD9"/>
    <w:rsid w:val="00ED678F"/>
    <w:rsid w:val="00EE078C"/>
    <w:rsid w:val="00EE0D6C"/>
    <w:rsid w:val="00EE3F73"/>
    <w:rsid w:val="00EE4982"/>
    <w:rsid w:val="00EF29F4"/>
    <w:rsid w:val="00EF3E9E"/>
    <w:rsid w:val="00F02C82"/>
    <w:rsid w:val="00F0681D"/>
    <w:rsid w:val="00F12E02"/>
    <w:rsid w:val="00F17A61"/>
    <w:rsid w:val="00F25373"/>
    <w:rsid w:val="00F27355"/>
    <w:rsid w:val="00F36FBD"/>
    <w:rsid w:val="00F42BA8"/>
    <w:rsid w:val="00F42C95"/>
    <w:rsid w:val="00F46B2E"/>
    <w:rsid w:val="00F47E05"/>
    <w:rsid w:val="00F5278E"/>
    <w:rsid w:val="00F55484"/>
    <w:rsid w:val="00F561E0"/>
    <w:rsid w:val="00F608C1"/>
    <w:rsid w:val="00F703A1"/>
    <w:rsid w:val="00F721CC"/>
    <w:rsid w:val="00F75624"/>
    <w:rsid w:val="00F77893"/>
    <w:rsid w:val="00F80052"/>
    <w:rsid w:val="00F93615"/>
    <w:rsid w:val="00F9509E"/>
    <w:rsid w:val="00FA128D"/>
    <w:rsid w:val="00FA76C0"/>
    <w:rsid w:val="00FA77A8"/>
    <w:rsid w:val="00FB073F"/>
    <w:rsid w:val="00FB56CD"/>
    <w:rsid w:val="00FB5A7B"/>
    <w:rsid w:val="00FB64F3"/>
    <w:rsid w:val="00FC15E9"/>
    <w:rsid w:val="00FD0B1A"/>
    <w:rsid w:val="00FD1768"/>
    <w:rsid w:val="00FD491A"/>
    <w:rsid w:val="00FE4DEB"/>
    <w:rsid w:val="00FE61D0"/>
    <w:rsid w:val="00FF274F"/>
    <w:rsid w:val="00FF337C"/>
    <w:rsid w:val="00FF598F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E4B23"/>
  <w15:docId w15:val="{6A64269F-C879-486B-BA45-6DFD30A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uk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42</cp:revision>
  <dcterms:created xsi:type="dcterms:W3CDTF">2022-08-30T16:14:00Z</dcterms:created>
  <dcterms:modified xsi:type="dcterms:W3CDTF">2022-09-01T18:59:00Z</dcterms:modified>
</cp:coreProperties>
</file>