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E7" w:rsidRDefault="004638C3" w:rsidP="00497F5F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Jak je uvedeno v žádosti </w:t>
      </w:r>
      <w:r w:rsidR="000045AB">
        <w:rPr>
          <w:rFonts w:cstheme="minorHAnsi"/>
          <w:sz w:val="20"/>
          <w:szCs w:val="20"/>
        </w:rPr>
        <w:t xml:space="preserve">k </w:t>
      </w:r>
      <w:r w:rsidR="002E3604" w:rsidRPr="000A2FB3">
        <w:rPr>
          <w:rFonts w:cstheme="minorHAnsi"/>
          <w:b/>
          <w:sz w:val="20"/>
          <w:szCs w:val="20"/>
          <w:u w:val="single"/>
        </w:rPr>
        <w:t>Prevymis</w:t>
      </w:r>
      <w:r w:rsidR="000045AB" w:rsidRPr="000A2FB3">
        <w:rPr>
          <w:rFonts w:cstheme="minorHAnsi"/>
          <w:b/>
          <w:sz w:val="20"/>
          <w:szCs w:val="20"/>
          <w:u w:val="single"/>
        </w:rPr>
        <w:t>u</w:t>
      </w:r>
      <w:r w:rsidR="00055AC7" w:rsidRPr="000A2FB3">
        <w:rPr>
          <w:rFonts w:cstheme="minorHAnsi"/>
          <w:b/>
          <w:sz w:val="20"/>
          <w:szCs w:val="20"/>
          <w:u w:val="single"/>
        </w:rPr>
        <w:t xml:space="preserve"> (letermovir)</w:t>
      </w:r>
      <w:r w:rsidR="00C9209E">
        <w:rPr>
          <w:rFonts w:cstheme="minorHAnsi"/>
          <w:sz w:val="20"/>
          <w:szCs w:val="20"/>
        </w:rPr>
        <w:t>,</w:t>
      </w:r>
      <w:r w:rsidR="00055AC7" w:rsidRPr="00055AC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bude </w:t>
      </w:r>
      <w:r w:rsidR="000045AB">
        <w:rPr>
          <w:rFonts w:cstheme="minorHAnsi"/>
          <w:sz w:val="20"/>
          <w:szCs w:val="20"/>
        </w:rPr>
        <w:t xml:space="preserve">tento </w:t>
      </w:r>
      <w:r>
        <w:rPr>
          <w:rFonts w:cstheme="minorHAnsi"/>
          <w:sz w:val="20"/>
          <w:szCs w:val="20"/>
        </w:rPr>
        <w:t>nově profylakticky podáván na HOK jen:</w:t>
      </w:r>
    </w:p>
    <w:p w:rsidR="004638C3" w:rsidRDefault="00B93E44" w:rsidP="00497F5F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4638C3">
        <w:rPr>
          <w:rFonts w:cstheme="minorHAnsi"/>
          <w:sz w:val="20"/>
          <w:szCs w:val="20"/>
        </w:rPr>
        <w:t xml:space="preserve"> nemocných</w:t>
      </w:r>
      <w:r w:rsidR="00B10118">
        <w:rPr>
          <w:rFonts w:cstheme="minorHAnsi"/>
          <w:sz w:val="20"/>
          <w:szCs w:val="20"/>
        </w:rPr>
        <w:t>, u kterých vzhledem k potrans</w:t>
      </w:r>
      <w:r w:rsidR="00C05631">
        <w:rPr>
          <w:rFonts w:cstheme="minorHAnsi"/>
          <w:sz w:val="20"/>
          <w:szCs w:val="20"/>
        </w:rPr>
        <w:t>planta</w:t>
      </w:r>
      <w:r w:rsidR="00B10118">
        <w:rPr>
          <w:rFonts w:cstheme="minorHAnsi"/>
          <w:sz w:val="20"/>
          <w:szCs w:val="20"/>
        </w:rPr>
        <w:t xml:space="preserve">čnímu imunodeficitu dochází k opakovaným reaktivacím CMV infekce a současně jsou KI jinak standardně dostupná účinná </w:t>
      </w:r>
      <w:r w:rsidR="00C9209E">
        <w:rPr>
          <w:rFonts w:cstheme="minorHAnsi"/>
          <w:sz w:val="20"/>
          <w:szCs w:val="20"/>
        </w:rPr>
        <w:t>viro</w:t>
      </w:r>
      <w:r w:rsidR="00B10118">
        <w:rPr>
          <w:rFonts w:cstheme="minorHAnsi"/>
          <w:sz w:val="20"/>
          <w:szCs w:val="20"/>
        </w:rPr>
        <w:t>statika pro jejich toxicit</w:t>
      </w:r>
      <w:r>
        <w:rPr>
          <w:rFonts w:cstheme="minorHAnsi"/>
          <w:sz w:val="20"/>
          <w:szCs w:val="20"/>
        </w:rPr>
        <w:t>u (ganciclovir, valganciclovir),</w:t>
      </w:r>
    </w:p>
    <w:p w:rsidR="00B93E44" w:rsidRDefault="00B93E44" w:rsidP="00B93E44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vyjímečně u pacientů s prokázanou rezistencí na ganciclovir či valganciclovir,</w:t>
      </w:r>
    </w:p>
    <w:p w:rsidR="00B93E44" w:rsidRDefault="00B93E44" w:rsidP="00B93E44">
      <w:pPr>
        <w:spacing w:after="0"/>
        <w:jc w:val="both"/>
        <w:rPr>
          <w:rFonts w:cstheme="minorHAnsi"/>
          <w:sz w:val="20"/>
          <w:szCs w:val="20"/>
        </w:rPr>
      </w:pPr>
      <w:r w:rsidRPr="00B93E44">
        <w:rPr>
          <w:rFonts w:cstheme="minorHAnsi"/>
          <w:sz w:val="20"/>
          <w:szCs w:val="20"/>
        </w:rPr>
        <w:t>protože</w:t>
      </w:r>
      <w:r>
        <w:rPr>
          <w:rFonts w:cstheme="minorHAnsi"/>
          <w:sz w:val="20"/>
          <w:szCs w:val="20"/>
        </w:rPr>
        <w:t xml:space="preserve"> profylaxe ganciclovirem či valganciclovirem se pro potenciální toxicitu (zejména neutropenii) rutinně nepodává. Prevence je řešena jen event. preemptivní</w:t>
      </w:r>
      <w:r w:rsidR="00EC5C3B">
        <w:rPr>
          <w:rFonts w:cstheme="minorHAnsi"/>
          <w:sz w:val="20"/>
          <w:szCs w:val="20"/>
        </w:rPr>
        <w:t xml:space="preserve"> (tj. jen u pacientů s potvrzenou virémií dle hladin CMV-DNA)</w:t>
      </w:r>
      <w:r>
        <w:rPr>
          <w:rFonts w:cstheme="minorHAnsi"/>
          <w:sz w:val="20"/>
          <w:szCs w:val="20"/>
        </w:rPr>
        <w:t xml:space="preserve"> léčbou ganciclovirem či valganciclovirem.</w:t>
      </w:r>
    </w:p>
    <w:p w:rsidR="00543613" w:rsidRDefault="00543613" w:rsidP="00B93E44">
      <w:pPr>
        <w:spacing w:after="0"/>
        <w:jc w:val="both"/>
        <w:rPr>
          <w:rFonts w:cstheme="minorHAnsi"/>
          <w:sz w:val="20"/>
          <w:szCs w:val="20"/>
        </w:rPr>
      </w:pPr>
    </w:p>
    <w:p w:rsidR="00FA219C" w:rsidRDefault="00543613" w:rsidP="00071961">
      <w:pPr>
        <w:pStyle w:val="Normln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0A2FB3">
        <w:rPr>
          <w:rFonts w:asciiTheme="minorHAnsi" w:hAnsiTheme="minorHAnsi" w:cstheme="minorHAnsi"/>
          <w:sz w:val="20"/>
          <w:szCs w:val="20"/>
          <w:u w:val="single"/>
        </w:rPr>
        <w:t>Letermovir má zatím studie u transplantace hematopoetických buněk jen jako primární časná profylaxe (tj. do 100 dní po transplantaci).</w:t>
      </w:r>
      <w:r w:rsidR="00C9209E" w:rsidRPr="00071961">
        <w:rPr>
          <w:rFonts w:asciiTheme="minorHAnsi" w:hAnsiTheme="minorHAnsi" w:cstheme="minorHAnsi"/>
          <w:sz w:val="20"/>
          <w:szCs w:val="20"/>
        </w:rPr>
        <w:t xml:space="preserve"> </w:t>
      </w:r>
      <w:r w:rsidR="00FA219C" w:rsidRPr="00071961">
        <w:rPr>
          <w:rFonts w:asciiTheme="minorHAnsi" w:hAnsiTheme="minorHAnsi" w:cstheme="minorHAnsi"/>
          <w:sz w:val="20"/>
          <w:szCs w:val="20"/>
        </w:rPr>
        <w:t xml:space="preserve"> P.o. valganciclovir (např. Virexan) má data zejména pro preemptivní a primární pozdní profylaktické podávání, i.v. ganciclovir (Cymvene) má data zejména pro preemptivní a primární časné profylaktické podávání - </w:t>
      </w:r>
      <w:r w:rsidR="00071961" w:rsidRPr="00CB160C">
        <w:rPr>
          <w:rFonts w:asciiTheme="minorHAnsi" w:hAnsiTheme="minorHAnsi" w:cstheme="minorHAnsi"/>
          <w:b/>
          <w:sz w:val="20"/>
          <w:szCs w:val="20"/>
        </w:rPr>
        <w:t>v</w:t>
      </w:r>
      <w:r w:rsidR="00FA219C" w:rsidRPr="00CB160C">
        <w:rPr>
          <w:rFonts w:asciiTheme="minorHAnsi" w:hAnsiTheme="minorHAnsi" w:cstheme="minorHAnsi"/>
          <w:b/>
          <w:sz w:val="20"/>
          <w:szCs w:val="20"/>
        </w:rPr>
        <w:t>alganciklovir se po perorálním podání rychle a extenzivně metabolizuje na ganciklovir</w:t>
      </w:r>
      <w:r w:rsidR="00071961" w:rsidRPr="00CB160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FA219C" w:rsidRPr="00CB160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71961" w:rsidRPr="00CB160C">
        <w:rPr>
          <w:rFonts w:asciiTheme="minorHAnsi" w:hAnsiTheme="minorHAnsi" w:cstheme="minorHAnsi"/>
          <w:b/>
          <w:sz w:val="20"/>
          <w:szCs w:val="20"/>
        </w:rPr>
        <w:t>p.o.</w:t>
      </w:r>
      <w:r w:rsidR="00FA219C" w:rsidRPr="00CB160C">
        <w:rPr>
          <w:rFonts w:asciiTheme="minorHAnsi" w:hAnsiTheme="minorHAnsi" w:cstheme="minorHAnsi"/>
          <w:b/>
          <w:sz w:val="20"/>
          <w:szCs w:val="20"/>
        </w:rPr>
        <w:t xml:space="preserve"> valganciklovir v dávce 900 mg podávaný </w:t>
      </w:r>
      <w:r w:rsidR="00071961" w:rsidRPr="00CB160C">
        <w:rPr>
          <w:rFonts w:asciiTheme="minorHAnsi" w:hAnsiTheme="minorHAnsi" w:cstheme="minorHAnsi"/>
          <w:b/>
          <w:sz w:val="20"/>
          <w:szCs w:val="20"/>
        </w:rPr>
        <w:t>2x</w:t>
      </w:r>
      <w:r w:rsidR="00FA219C" w:rsidRPr="00CB160C">
        <w:rPr>
          <w:rFonts w:asciiTheme="minorHAnsi" w:hAnsiTheme="minorHAnsi" w:cstheme="minorHAnsi"/>
          <w:b/>
          <w:sz w:val="20"/>
          <w:szCs w:val="20"/>
        </w:rPr>
        <w:t xml:space="preserve"> denně je léčebně stejně účinný jako </w:t>
      </w:r>
      <w:r w:rsidR="00071961" w:rsidRPr="00CB160C">
        <w:rPr>
          <w:rFonts w:asciiTheme="minorHAnsi" w:hAnsiTheme="minorHAnsi" w:cstheme="minorHAnsi"/>
          <w:b/>
          <w:sz w:val="20"/>
          <w:szCs w:val="20"/>
        </w:rPr>
        <w:t>i.v.</w:t>
      </w:r>
      <w:r w:rsidR="00FA219C" w:rsidRPr="00CB160C">
        <w:rPr>
          <w:rFonts w:asciiTheme="minorHAnsi" w:hAnsiTheme="minorHAnsi" w:cstheme="minorHAnsi"/>
          <w:b/>
          <w:sz w:val="20"/>
          <w:szCs w:val="20"/>
        </w:rPr>
        <w:t xml:space="preserve"> podávaný ganciklovir v dávce 5 mg/kg </w:t>
      </w:r>
      <w:r w:rsidR="00071961" w:rsidRPr="00CB160C">
        <w:rPr>
          <w:rFonts w:asciiTheme="minorHAnsi" w:hAnsiTheme="minorHAnsi" w:cstheme="minorHAnsi"/>
          <w:b/>
          <w:sz w:val="20"/>
          <w:szCs w:val="20"/>
        </w:rPr>
        <w:t>2x</w:t>
      </w:r>
      <w:r w:rsidR="00CB160C" w:rsidRPr="00CB160C">
        <w:rPr>
          <w:rFonts w:asciiTheme="minorHAnsi" w:hAnsiTheme="minorHAnsi" w:cstheme="minorHAnsi"/>
          <w:b/>
          <w:sz w:val="20"/>
          <w:szCs w:val="20"/>
        </w:rPr>
        <w:t xml:space="preserve"> denně, v závažné toxicitě nebyly pozorovány rozdíly</w:t>
      </w:r>
      <w:r w:rsidR="00CB160C">
        <w:rPr>
          <w:rFonts w:asciiTheme="minorHAnsi" w:hAnsiTheme="minorHAnsi" w:cstheme="minorHAnsi"/>
          <w:sz w:val="20"/>
          <w:szCs w:val="20"/>
        </w:rPr>
        <w:t>.</w:t>
      </w:r>
    </w:p>
    <w:p w:rsidR="00391860" w:rsidRPr="00071961" w:rsidRDefault="00391860" w:rsidP="00071961">
      <w:pPr>
        <w:pStyle w:val="Normln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B93E44" w:rsidRDefault="0047438C" w:rsidP="00B93E4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Dle publikované review a metaanalýzy (</w:t>
      </w:r>
      <w:r w:rsidRPr="0047438C">
        <w:rPr>
          <w:rFonts w:cstheme="minorHAnsi"/>
          <w:i/>
          <w:sz w:val="20"/>
          <w:szCs w:val="20"/>
        </w:rPr>
        <w:t>Gagelmann N., et al. Biol Blood Marrow Transplant 24 (2018) 2101-2109</w:t>
      </w:r>
      <w:r>
        <w:rPr>
          <w:rFonts w:cstheme="minorHAnsi"/>
          <w:sz w:val="20"/>
          <w:szCs w:val="20"/>
        </w:rPr>
        <w:t xml:space="preserve">) týkající se profylaktického podávání antivirotik na CMV </w:t>
      </w:r>
      <w:r w:rsidRPr="001A5756">
        <w:rPr>
          <w:rFonts w:cstheme="minorHAnsi"/>
          <w:b/>
          <w:sz w:val="20"/>
          <w:szCs w:val="20"/>
        </w:rPr>
        <w:t>letermovir statisticky významně</w:t>
      </w:r>
      <w:r w:rsidR="00304BA4" w:rsidRPr="001A5756">
        <w:rPr>
          <w:rFonts w:cstheme="minorHAnsi"/>
          <w:b/>
          <w:sz w:val="20"/>
          <w:szCs w:val="20"/>
        </w:rPr>
        <w:t xml:space="preserve"> snižuje riziko CMV infekce </w:t>
      </w:r>
      <w:r w:rsidR="001A5756" w:rsidRPr="001A5756">
        <w:rPr>
          <w:rFonts w:cstheme="minorHAnsi"/>
          <w:b/>
          <w:sz w:val="20"/>
          <w:szCs w:val="20"/>
        </w:rPr>
        <w:t>o 56% oproti placebu</w:t>
      </w:r>
      <w:r w:rsidR="001A5756">
        <w:rPr>
          <w:rFonts w:cstheme="minorHAnsi"/>
          <w:sz w:val="20"/>
          <w:szCs w:val="20"/>
        </w:rPr>
        <w:t xml:space="preserve"> (snížení rizika CMV onemocnění nebylo proti placebu statisticky významné), </w:t>
      </w:r>
      <w:r w:rsidR="001A5756" w:rsidRPr="001A5756">
        <w:rPr>
          <w:rFonts w:cstheme="minorHAnsi"/>
          <w:b/>
          <w:sz w:val="20"/>
          <w:szCs w:val="20"/>
        </w:rPr>
        <w:t>ganciclovir zase statisticky významně snižuje riziko CMV onemocnění o 63% oproti placebu</w:t>
      </w:r>
      <w:r w:rsidR="001A5756">
        <w:rPr>
          <w:rFonts w:cstheme="minorHAnsi"/>
          <w:sz w:val="20"/>
          <w:szCs w:val="20"/>
        </w:rPr>
        <w:t xml:space="preserve"> (snížení rizika CMV infekce nebylo proti placebu statisticky významné). </w:t>
      </w:r>
      <w:r w:rsidR="001A5756" w:rsidRPr="003F1CF8">
        <w:rPr>
          <w:rFonts w:cstheme="minorHAnsi"/>
          <w:b/>
          <w:sz w:val="20"/>
          <w:szCs w:val="20"/>
        </w:rPr>
        <w:t xml:space="preserve">Vzájemné porovnání </w:t>
      </w:r>
      <w:r w:rsidR="003F1CF8">
        <w:rPr>
          <w:rFonts w:cstheme="minorHAnsi"/>
          <w:b/>
          <w:sz w:val="20"/>
          <w:szCs w:val="20"/>
        </w:rPr>
        <w:t xml:space="preserve">účinnosti </w:t>
      </w:r>
      <w:r w:rsidR="001A5756" w:rsidRPr="003F1CF8">
        <w:rPr>
          <w:rFonts w:cstheme="minorHAnsi"/>
          <w:b/>
          <w:sz w:val="20"/>
          <w:szCs w:val="20"/>
        </w:rPr>
        <w:t>mezi ganciclovir</w:t>
      </w:r>
      <w:r w:rsidR="003F1CF8">
        <w:rPr>
          <w:rFonts w:cstheme="minorHAnsi"/>
          <w:b/>
          <w:sz w:val="20"/>
          <w:szCs w:val="20"/>
        </w:rPr>
        <w:t>em</w:t>
      </w:r>
      <w:r w:rsidR="001A5756" w:rsidRPr="003F1CF8">
        <w:rPr>
          <w:rFonts w:cstheme="minorHAnsi"/>
          <w:b/>
          <w:sz w:val="20"/>
          <w:szCs w:val="20"/>
        </w:rPr>
        <w:t xml:space="preserve"> vs. letermovir</w:t>
      </w:r>
      <w:r w:rsidR="003F1CF8">
        <w:rPr>
          <w:rFonts w:cstheme="minorHAnsi"/>
          <w:b/>
          <w:sz w:val="20"/>
          <w:szCs w:val="20"/>
        </w:rPr>
        <w:t>em</w:t>
      </w:r>
      <w:r w:rsidR="001A5756" w:rsidRPr="003F1CF8">
        <w:rPr>
          <w:rFonts w:cstheme="minorHAnsi"/>
          <w:b/>
          <w:sz w:val="20"/>
          <w:szCs w:val="20"/>
        </w:rPr>
        <w:t xml:space="preserve"> </w:t>
      </w:r>
      <w:r w:rsidR="000045AB">
        <w:rPr>
          <w:rFonts w:cstheme="minorHAnsi"/>
          <w:b/>
          <w:sz w:val="20"/>
          <w:szCs w:val="20"/>
        </w:rPr>
        <w:t>nemělo</w:t>
      </w:r>
      <w:r w:rsidR="001A5756" w:rsidRPr="003F1CF8">
        <w:rPr>
          <w:rFonts w:cstheme="minorHAnsi"/>
          <w:b/>
          <w:sz w:val="20"/>
          <w:szCs w:val="20"/>
        </w:rPr>
        <w:t xml:space="preserve"> statisticky významné</w:t>
      </w:r>
      <w:r w:rsidR="000045AB">
        <w:rPr>
          <w:rFonts w:cstheme="minorHAnsi"/>
          <w:b/>
          <w:sz w:val="20"/>
          <w:szCs w:val="20"/>
        </w:rPr>
        <w:t xml:space="preserve"> rozdíly</w:t>
      </w:r>
      <w:r w:rsidR="001A5756">
        <w:rPr>
          <w:rFonts w:cstheme="minorHAnsi"/>
          <w:sz w:val="20"/>
          <w:szCs w:val="20"/>
        </w:rPr>
        <w:t xml:space="preserve"> – CAVE</w:t>
      </w:r>
      <w:r w:rsidR="0077522E">
        <w:rPr>
          <w:rFonts w:cstheme="minorHAnsi"/>
          <w:sz w:val="20"/>
          <w:szCs w:val="20"/>
        </w:rPr>
        <w:t xml:space="preserve"> je</w:t>
      </w:r>
      <w:r w:rsidR="001A5756">
        <w:rPr>
          <w:rFonts w:cstheme="minorHAnsi"/>
          <w:sz w:val="20"/>
          <w:szCs w:val="20"/>
        </w:rPr>
        <w:t xml:space="preserve"> nutné rozlišovat mezi CMV infekcí a CMV onemocněním</w:t>
      </w:r>
      <w:r w:rsidR="003F1CF8">
        <w:rPr>
          <w:rFonts w:cstheme="minorHAnsi"/>
          <w:sz w:val="20"/>
          <w:szCs w:val="20"/>
        </w:rPr>
        <w:t xml:space="preserve"> (CMV onemocnění je CMV infekce s adekvátními symptomy a známkami). V parametru bezpečnosti </w:t>
      </w:r>
      <w:r w:rsidR="003F1CF8" w:rsidRPr="00DA710D">
        <w:rPr>
          <w:rFonts w:cstheme="minorHAnsi"/>
          <w:b/>
          <w:sz w:val="20"/>
          <w:szCs w:val="20"/>
        </w:rPr>
        <w:t xml:space="preserve">letermovir statisticky významně snižuje riziko vážných NÚ o 45% vůči </w:t>
      </w:r>
      <w:r w:rsidR="00DA710D" w:rsidRPr="00DA710D">
        <w:rPr>
          <w:rFonts w:cstheme="minorHAnsi"/>
          <w:b/>
          <w:sz w:val="20"/>
          <w:szCs w:val="20"/>
        </w:rPr>
        <w:t>gancicloviru</w:t>
      </w:r>
      <w:r w:rsidR="00DA710D">
        <w:rPr>
          <w:rFonts w:cstheme="minorHAnsi"/>
          <w:sz w:val="20"/>
          <w:szCs w:val="20"/>
        </w:rPr>
        <w:t xml:space="preserve"> (vážné NÚ byly definovány podobně jako v našem zákoně o léčivech)</w:t>
      </w:r>
      <w:r w:rsidR="00DD413F">
        <w:rPr>
          <w:rFonts w:cstheme="minorHAnsi"/>
          <w:sz w:val="20"/>
          <w:szCs w:val="20"/>
        </w:rPr>
        <w:t xml:space="preserve"> </w:t>
      </w:r>
      <w:r w:rsidR="00391860">
        <w:rPr>
          <w:rFonts w:cstheme="minorHAnsi"/>
          <w:sz w:val="20"/>
          <w:szCs w:val="20"/>
        </w:rPr>
        <w:t>–</w:t>
      </w:r>
      <w:r w:rsidR="00DD413F">
        <w:rPr>
          <w:rFonts w:cstheme="minorHAnsi"/>
          <w:sz w:val="20"/>
          <w:szCs w:val="20"/>
        </w:rPr>
        <w:t xml:space="preserve"> </w:t>
      </w:r>
      <w:r w:rsidR="00391860">
        <w:rPr>
          <w:rFonts w:cstheme="minorHAnsi"/>
          <w:sz w:val="20"/>
          <w:szCs w:val="20"/>
        </w:rPr>
        <w:t>nejčastější NÚ gancicloviru vůči placebu byla neutropenie (27-58% pacientů)</w:t>
      </w:r>
      <w:r w:rsidR="008B3489">
        <w:rPr>
          <w:rFonts w:cstheme="minorHAnsi"/>
          <w:sz w:val="20"/>
          <w:szCs w:val="20"/>
        </w:rPr>
        <w:t>, NÚ letermoviru se celkově statisticky nelišily od placeba (oproti placebu byla vyšší incidence</w:t>
      </w:r>
      <w:r w:rsidR="0077522E">
        <w:rPr>
          <w:rFonts w:cstheme="minorHAnsi"/>
          <w:sz w:val="20"/>
          <w:szCs w:val="20"/>
        </w:rPr>
        <w:t xml:space="preserve"> např.</w:t>
      </w:r>
      <w:r w:rsidR="008B3489">
        <w:rPr>
          <w:rFonts w:cstheme="minorHAnsi"/>
          <w:sz w:val="20"/>
          <w:szCs w:val="20"/>
        </w:rPr>
        <w:t xml:space="preserve"> zvracení (18,5% vs. 13,5%), edémů (14,5% vs. 9,4%), fibrilace či flutter síní (4,6% vs. 1%)). </w:t>
      </w:r>
      <w:r w:rsidR="001A5756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</w:p>
    <w:p w:rsidR="00055AC7" w:rsidRDefault="00B93E44" w:rsidP="00B93E44">
      <w:pPr>
        <w:spacing w:after="0"/>
        <w:jc w:val="both"/>
        <w:rPr>
          <w:rFonts w:cstheme="minorHAnsi"/>
          <w:sz w:val="20"/>
          <w:szCs w:val="20"/>
        </w:rPr>
      </w:pPr>
      <w:r w:rsidRPr="0077522E">
        <w:rPr>
          <w:rFonts w:cstheme="minorHAnsi"/>
          <w:b/>
        </w:rPr>
        <w:t>Vzhledem k </w:t>
      </w:r>
      <w:r w:rsidR="0077522E">
        <w:rPr>
          <w:rFonts w:cstheme="minorHAnsi"/>
          <w:b/>
        </w:rPr>
        <w:t>vysoké</w:t>
      </w:r>
      <w:r w:rsidRPr="0077522E">
        <w:rPr>
          <w:rFonts w:cstheme="minorHAnsi"/>
          <w:b/>
        </w:rPr>
        <w:t xml:space="preserve"> ceně </w:t>
      </w:r>
      <w:r w:rsidR="00366AE1" w:rsidRPr="0077522E">
        <w:rPr>
          <w:rFonts w:cstheme="minorHAnsi"/>
          <w:b/>
        </w:rPr>
        <w:t>Prevymisu</w:t>
      </w:r>
      <w:r w:rsidRPr="0077522E">
        <w:rPr>
          <w:rFonts w:cstheme="minorHAnsi"/>
          <w:b/>
        </w:rPr>
        <w:t xml:space="preserve"> (</w:t>
      </w:r>
      <w:r w:rsidRPr="0077522E">
        <w:rPr>
          <w:rFonts w:cstheme="minorHAnsi"/>
          <w:b/>
          <w:u w:val="single"/>
        </w:rPr>
        <w:t xml:space="preserve">jeden den </w:t>
      </w:r>
      <w:r w:rsidR="00C9209E" w:rsidRPr="0077522E">
        <w:rPr>
          <w:rFonts w:cstheme="minorHAnsi"/>
          <w:b/>
          <w:u w:val="single"/>
        </w:rPr>
        <w:t xml:space="preserve">primární </w:t>
      </w:r>
      <w:r w:rsidRPr="0077522E">
        <w:rPr>
          <w:rFonts w:cstheme="minorHAnsi"/>
          <w:b/>
          <w:u w:val="single"/>
        </w:rPr>
        <w:t>profylaktické léčby letermovirem stojí 8.000 Kč (celkem se podává obvykle 100</w:t>
      </w:r>
      <w:r w:rsidR="00C9209E" w:rsidRPr="0077522E">
        <w:rPr>
          <w:rFonts w:cstheme="minorHAnsi"/>
          <w:b/>
          <w:u w:val="single"/>
        </w:rPr>
        <w:t xml:space="preserve"> </w:t>
      </w:r>
      <w:r w:rsidRPr="0077522E">
        <w:rPr>
          <w:rFonts w:cstheme="minorHAnsi"/>
          <w:b/>
          <w:u w:val="single"/>
        </w:rPr>
        <w:t>dní, tj. celkem cca 800.000 Kč),</w:t>
      </w:r>
      <w:r w:rsidR="00366AE1" w:rsidRPr="0077522E">
        <w:rPr>
          <w:rFonts w:cstheme="minorHAnsi"/>
          <w:b/>
          <w:u w:val="single"/>
        </w:rPr>
        <w:t xml:space="preserve"> ale</w:t>
      </w:r>
      <w:r w:rsidRPr="0077522E">
        <w:rPr>
          <w:rFonts w:cstheme="minorHAnsi"/>
          <w:b/>
          <w:u w:val="single"/>
        </w:rPr>
        <w:t xml:space="preserve"> jeden den preemptivní léčby Virexanem (valganciclovir) stojí 150 Kč (obvykle se podává 14 dní, tj. celkem 2.100 Kč)</w:t>
      </w:r>
      <w:r w:rsidRPr="0077522E">
        <w:rPr>
          <w:rFonts w:cstheme="minorHAnsi"/>
          <w:b/>
        </w:rPr>
        <w:t>) je nutné strik</w:t>
      </w:r>
      <w:r w:rsidR="009728EE">
        <w:rPr>
          <w:rFonts w:cstheme="minorHAnsi"/>
          <w:b/>
        </w:rPr>
        <w:t>t</w:t>
      </w:r>
      <w:r w:rsidRPr="0077522E">
        <w:rPr>
          <w:rFonts w:cstheme="minorHAnsi"/>
          <w:b/>
        </w:rPr>
        <w:t>ně dodržovat vý</w:t>
      </w:r>
      <w:r w:rsidR="00366AE1" w:rsidRPr="0077522E">
        <w:rPr>
          <w:rFonts w:cstheme="minorHAnsi"/>
          <w:b/>
        </w:rPr>
        <w:t xml:space="preserve">še uvedené indikace letermoviru jen pro </w:t>
      </w:r>
      <w:r w:rsidR="009728EE">
        <w:rPr>
          <w:rFonts w:cstheme="minorHAnsi"/>
          <w:b/>
        </w:rPr>
        <w:t xml:space="preserve">ty </w:t>
      </w:r>
      <w:r w:rsidR="00366AE1" w:rsidRPr="0077522E">
        <w:rPr>
          <w:rFonts w:cstheme="minorHAnsi"/>
          <w:b/>
        </w:rPr>
        <w:t>pacienty, kteří nemohou mít preemptivně ganciclovir či valganciclovir</w:t>
      </w:r>
      <w:r w:rsidR="009728EE">
        <w:rPr>
          <w:rFonts w:cstheme="minorHAnsi"/>
          <w:b/>
        </w:rPr>
        <w:t xml:space="preserve"> – pro tyto pacienty je v současnosti Prevymis jediná  dostupná, účinná a relativně bezpečná profylaxe CMV infekce</w:t>
      </w:r>
      <w:r w:rsidR="0077522E">
        <w:rPr>
          <w:rFonts w:cstheme="minorHAnsi"/>
          <w:b/>
        </w:rPr>
        <w:t xml:space="preserve"> ! </w:t>
      </w:r>
      <w:r w:rsidR="00366AE1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Dle SPC Virexanu</w:t>
      </w:r>
      <w:r w:rsidR="00221B45">
        <w:rPr>
          <w:rFonts w:cstheme="minorHAnsi"/>
          <w:sz w:val="20"/>
          <w:szCs w:val="20"/>
        </w:rPr>
        <w:t xml:space="preserve"> např.</w:t>
      </w:r>
      <w:r>
        <w:rPr>
          <w:rFonts w:cstheme="minorHAnsi"/>
          <w:sz w:val="20"/>
          <w:szCs w:val="20"/>
        </w:rPr>
        <w:t xml:space="preserve"> nemá být l</w:t>
      </w:r>
      <w:r w:rsidR="00055AC7" w:rsidRPr="00B93E44">
        <w:rPr>
          <w:rFonts w:cstheme="minorHAnsi"/>
          <w:sz w:val="20"/>
          <w:szCs w:val="20"/>
        </w:rPr>
        <w:t>éčba valganciclovirem zahajována u pacientů, kteří mají absolutní počet neutrofilů nižší než 500 buněk/µl nebo počet trombocytů nižší než 25000/µl, nebo pokud je hladina hemoglobinu nižší než 8 g/dl</w:t>
      </w:r>
      <w:r w:rsidRPr="00B93E44">
        <w:rPr>
          <w:rFonts w:cstheme="minorHAnsi"/>
          <w:sz w:val="20"/>
          <w:szCs w:val="20"/>
        </w:rPr>
        <w:t>.</w:t>
      </w:r>
      <w:r w:rsidR="00221B45">
        <w:rPr>
          <w:rFonts w:cstheme="minorHAnsi"/>
          <w:sz w:val="20"/>
          <w:szCs w:val="20"/>
        </w:rPr>
        <w:t xml:space="preserve">  Při event. zvýšení hladiny CMV-DNA i př</w:t>
      </w:r>
      <w:r w:rsidR="00366AE1">
        <w:rPr>
          <w:rFonts w:cstheme="minorHAnsi"/>
          <w:sz w:val="20"/>
          <w:szCs w:val="20"/>
        </w:rPr>
        <w:t>es profylaktické podávání</w:t>
      </w:r>
      <w:r w:rsidR="00221B45">
        <w:rPr>
          <w:rFonts w:cstheme="minorHAnsi"/>
          <w:sz w:val="20"/>
          <w:szCs w:val="20"/>
        </w:rPr>
        <w:t xml:space="preserve"> letermov</w:t>
      </w:r>
      <w:r w:rsidR="00366AE1">
        <w:rPr>
          <w:rFonts w:cstheme="minorHAnsi"/>
          <w:sz w:val="20"/>
          <w:szCs w:val="20"/>
        </w:rPr>
        <w:t xml:space="preserve">iru </w:t>
      </w:r>
      <w:r w:rsidR="00221B45">
        <w:rPr>
          <w:rFonts w:cstheme="minorHAnsi"/>
          <w:sz w:val="20"/>
          <w:szCs w:val="20"/>
        </w:rPr>
        <w:t xml:space="preserve">by se muselo stejně přejít na preemptivní léčbu ganciclovirem či valganciclovirem (s event. podáváním růstových faktorů při neutropenii), </w:t>
      </w:r>
      <w:r w:rsidR="00B762B0">
        <w:rPr>
          <w:rFonts w:cstheme="minorHAnsi"/>
          <w:sz w:val="20"/>
          <w:szCs w:val="20"/>
        </w:rPr>
        <w:t>při potvrzené rezistenci CMV na ganciclovir či valganciclovir by se podal jako alternativa</w:t>
      </w:r>
      <w:r w:rsidR="009728EE">
        <w:rPr>
          <w:rFonts w:cstheme="minorHAnsi"/>
          <w:sz w:val="20"/>
          <w:szCs w:val="20"/>
        </w:rPr>
        <w:t xml:space="preserve"> </w:t>
      </w:r>
      <w:r w:rsidR="00221B45">
        <w:rPr>
          <w:rFonts w:cstheme="minorHAnsi"/>
          <w:sz w:val="20"/>
          <w:szCs w:val="20"/>
        </w:rPr>
        <w:t xml:space="preserve">preemptivní léčby </w:t>
      </w:r>
      <w:r w:rsidR="00B762B0">
        <w:rPr>
          <w:rFonts w:cstheme="minorHAnsi"/>
          <w:sz w:val="20"/>
          <w:szCs w:val="20"/>
        </w:rPr>
        <w:t>foscarnet či cidofovir- tyto přípravky u nás nejsou registrovány, ale jsou dostupné na mimořádný dovoz</w:t>
      </w:r>
      <w:r w:rsidR="00221B45">
        <w:rPr>
          <w:rFonts w:cstheme="minorHAnsi"/>
          <w:sz w:val="20"/>
          <w:szCs w:val="20"/>
        </w:rPr>
        <w:t>.</w:t>
      </w:r>
    </w:p>
    <w:p w:rsidR="006C6032" w:rsidRDefault="006C6032" w:rsidP="00B93E44">
      <w:pPr>
        <w:spacing w:after="0"/>
        <w:jc w:val="both"/>
        <w:rPr>
          <w:rFonts w:cstheme="minorHAnsi"/>
          <w:sz w:val="20"/>
          <w:szCs w:val="20"/>
        </w:rPr>
      </w:pPr>
    </w:p>
    <w:p w:rsidR="006C6032" w:rsidRDefault="006C6032" w:rsidP="006C6032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6C6032" w:rsidRDefault="006C6032" w:rsidP="006C6032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Mgr. Jaroslav Duda        dne  </w:t>
      </w:r>
      <w:r w:rsidR="00A51836"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3.2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.2020</w:t>
      </w:r>
    </w:p>
    <w:p w:rsidR="006C6032" w:rsidRPr="00B93E44" w:rsidRDefault="006C6032" w:rsidP="00B93E44">
      <w:pPr>
        <w:spacing w:after="0"/>
        <w:jc w:val="both"/>
        <w:rPr>
          <w:rFonts w:cstheme="minorHAnsi"/>
          <w:sz w:val="20"/>
          <w:szCs w:val="20"/>
        </w:rPr>
      </w:pPr>
    </w:p>
    <w:sectPr w:rsidR="006C6032" w:rsidRPr="00B93E44" w:rsidSect="0033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3C4B"/>
    <w:multiLevelType w:val="hybridMultilevel"/>
    <w:tmpl w:val="86341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E3604"/>
    <w:rsid w:val="000045AB"/>
    <w:rsid w:val="00055AC7"/>
    <w:rsid w:val="00071961"/>
    <w:rsid w:val="000A2FB3"/>
    <w:rsid w:val="001A5756"/>
    <w:rsid w:val="001D7B5B"/>
    <w:rsid w:val="00221B45"/>
    <w:rsid w:val="002E3604"/>
    <w:rsid w:val="00304BA4"/>
    <w:rsid w:val="00325254"/>
    <w:rsid w:val="00334EE7"/>
    <w:rsid w:val="00366AE1"/>
    <w:rsid w:val="00391860"/>
    <w:rsid w:val="003F1CF8"/>
    <w:rsid w:val="004638C3"/>
    <w:rsid w:val="0047438C"/>
    <w:rsid w:val="00497F5F"/>
    <w:rsid w:val="00543613"/>
    <w:rsid w:val="00596ACF"/>
    <w:rsid w:val="006C6032"/>
    <w:rsid w:val="0077522E"/>
    <w:rsid w:val="008B3489"/>
    <w:rsid w:val="009728EE"/>
    <w:rsid w:val="00A51836"/>
    <w:rsid w:val="00B10118"/>
    <w:rsid w:val="00B45A39"/>
    <w:rsid w:val="00B762B0"/>
    <w:rsid w:val="00B93E44"/>
    <w:rsid w:val="00C05631"/>
    <w:rsid w:val="00C9209E"/>
    <w:rsid w:val="00CB160C"/>
    <w:rsid w:val="00DA0D3B"/>
    <w:rsid w:val="00DA710D"/>
    <w:rsid w:val="00DD413F"/>
    <w:rsid w:val="00DF3D1A"/>
    <w:rsid w:val="00EC5C3B"/>
    <w:rsid w:val="00F514F8"/>
    <w:rsid w:val="00F864E4"/>
    <w:rsid w:val="00FA219C"/>
    <w:rsid w:val="00FB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8C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A219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3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65978</cp:lastModifiedBy>
  <cp:revision>2</cp:revision>
  <dcterms:created xsi:type="dcterms:W3CDTF">2020-02-04T10:40:00Z</dcterms:created>
  <dcterms:modified xsi:type="dcterms:W3CDTF">2020-02-04T10:40:00Z</dcterms:modified>
</cp:coreProperties>
</file>