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F98" w:rsidRDefault="007D6FF2">
      <w:r>
        <w:t xml:space="preserve"> </w:t>
      </w:r>
      <w:r w:rsidR="00611B55">
        <w:t xml:space="preserve">                                                                                                                                                                   </w:t>
      </w:r>
    </w:p>
    <w:p w:rsidR="00C44F98" w:rsidRPr="00D66EEE" w:rsidRDefault="00611B55">
      <w:pPr>
        <w:spacing w:after="0"/>
        <w:rPr>
          <w:sz w:val="10"/>
          <w:szCs w:val="10"/>
        </w:rPr>
      </w:pPr>
      <w:r>
        <w:t xml:space="preserve"> </w:t>
      </w:r>
    </w:p>
    <w:p w:rsidR="00073CAC" w:rsidRDefault="00611B55" w:rsidP="00073CAC">
      <w:pPr>
        <w:spacing w:after="0"/>
        <w:jc w:val="center"/>
      </w:pPr>
      <w:r>
        <w:t xml:space="preserve"> Farmakoekonomická analýza pro léčivý přípravek </w:t>
      </w:r>
      <w:r w:rsidR="00073CAC">
        <w:t xml:space="preserve">– </w:t>
      </w:r>
      <w:r w:rsidR="00073CAC" w:rsidRPr="00EC3B99">
        <w:rPr>
          <w:highlight w:val="yellow"/>
        </w:rPr>
        <w:t>aktualizace k datu  2</w:t>
      </w:r>
      <w:r w:rsidR="00073CAC">
        <w:rPr>
          <w:highlight w:val="yellow"/>
        </w:rPr>
        <w:t>. 10</w:t>
      </w:r>
      <w:r w:rsidR="00073CAC" w:rsidRPr="00EC3B99">
        <w:rPr>
          <w:highlight w:val="yellow"/>
        </w:rPr>
        <w:t>.</w:t>
      </w:r>
      <w:r w:rsidR="00073CAC">
        <w:rPr>
          <w:highlight w:val="yellow"/>
        </w:rPr>
        <w:t xml:space="preserve"> </w:t>
      </w:r>
      <w:r w:rsidR="00073CAC" w:rsidRPr="00EC3B99">
        <w:rPr>
          <w:highlight w:val="yellow"/>
        </w:rPr>
        <w:t>2023</w:t>
      </w:r>
    </w:p>
    <w:p w:rsidR="00C44F98" w:rsidRDefault="00C44F98">
      <w:pPr>
        <w:spacing w:after="0"/>
        <w:jc w:val="center"/>
      </w:pPr>
    </w:p>
    <w:p w:rsidR="00C44F98" w:rsidRDefault="00C44F98">
      <w:pPr>
        <w:spacing w:after="0"/>
      </w:pPr>
    </w:p>
    <w:p w:rsidR="00C44F98" w:rsidRDefault="00C05EF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VYEPTI</w:t>
      </w:r>
    </w:p>
    <w:p w:rsidR="00C44F98" w:rsidRDefault="00C44F98">
      <w:pPr>
        <w:spacing w:after="0"/>
        <w:rPr>
          <w:sz w:val="10"/>
          <w:szCs w:val="10"/>
        </w:rPr>
      </w:pPr>
    </w:p>
    <w:p w:rsidR="00C44F98" w:rsidRDefault="0085465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pro profylaktickou léčbu </w:t>
      </w:r>
      <w:r w:rsidR="005E32FF" w:rsidRPr="005E32FF">
        <w:rPr>
          <w:rFonts w:cs="Times New Roman"/>
          <w:b/>
          <w:bCs/>
          <w:color w:val="000000"/>
          <w:sz w:val="28"/>
          <w:szCs w:val="28"/>
        </w:rPr>
        <w:t>u pacientů s migrén</w:t>
      </w:r>
      <w:r w:rsidR="00772F48">
        <w:rPr>
          <w:rFonts w:cs="Times New Roman"/>
          <w:b/>
          <w:bCs/>
          <w:color w:val="000000"/>
          <w:sz w:val="28"/>
          <w:szCs w:val="28"/>
        </w:rPr>
        <w:t>ou</w:t>
      </w:r>
      <w:r w:rsidR="005E32FF" w:rsidRPr="005E32FF">
        <w:rPr>
          <w:rFonts w:cs="Times New Roman"/>
          <w:b/>
          <w:bCs/>
          <w:color w:val="000000"/>
          <w:sz w:val="28"/>
          <w:szCs w:val="28"/>
        </w:rPr>
        <w:t xml:space="preserve">, </w:t>
      </w:r>
      <w:r w:rsidR="00772F48">
        <w:rPr>
          <w:rFonts w:cs="Times New Roman"/>
          <w:b/>
          <w:bCs/>
          <w:color w:val="000000"/>
          <w:sz w:val="28"/>
          <w:szCs w:val="28"/>
        </w:rPr>
        <w:t>kteří před jeho</w:t>
      </w:r>
      <w:r w:rsidR="005E32FF" w:rsidRPr="005E32FF">
        <w:rPr>
          <w:rFonts w:cs="Times New Roman"/>
          <w:b/>
          <w:bCs/>
          <w:color w:val="000000"/>
          <w:sz w:val="28"/>
          <w:szCs w:val="28"/>
        </w:rPr>
        <w:t xml:space="preserve"> iniciálním podáním mají v průměru za poslední 3 měsíce více než 4 migrenózní dny/měsíc (MMD), a to po selhání (nedostatečné účinnosti) nebo intoleranci minimálně 2 zástupců rozdílných skupin konvenční profylaktické medikace, z nichž alespoň 1 lék musí být antikonvulzivum (topiramát nebo valproát), pokud k nim pacient není kontraindikován</w:t>
      </w:r>
      <w:r w:rsidR="005E32FF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335881" w:rsidRDefault="0033588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C44F98" w:rsidRDefault="00FA4EF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C44F98" w:rsidRDefault="00611B55">
      <w:pPr>
        <w:spacing w:after="0"/>
        <w:rPr>
          <w:rFonts w:cstheme="minorHAnsi"/>
        </w:rPr>
      </w:pPr>
      <w:r>
        <w:rPr>
          <w:rFonts w:cstheme="minorHAnsi"/>
          <w:b/>
          <w:u w:val="single"/>
        </w:rPr>
        <w:t>Celý název přípravku</w:t>
      </w:r>
      <w:r>
        <w:rPr>
          <w:rFonts w:cstheme="minorHAnsi"/>
        </w:rPr>
        <w:t xml:space="preserve">:   </w:t>
      </w:r>
      <w:r w:rsidR="005E32FF">
        <w:rPr>
          <w:rFonts w:cstheme="minorHAnsi"/>
        </w:rPr>
        <w:t>VYEPTI 1</w:t>
      </w:r>
      <w:r>
        <w:rPr>
          <w:rFonts w:cstheme="minorHAnsi"/>
        </w:rPr>
        <w:t xml:space="preserve">00mg 1x </w:t>
      </w:r>
      <w:r w:rsidR="005E32FF">
        <w:rPr>
          <w:rFonts w:cstheme="minorHAnsi"/>
        </w:rPr>
        <w:t>1</w:t>
      </w:r>
      <w:r>
        <w:rPr>
          <w:rFonts w:cstheme="minorHAnsi"/>
        </w:rPr>
        <w:t>ml - koncentrát pro infuzní roztok</w:t>
      </w:r>
    </w:p>
    <w:p w:rsidR="007C74F4" w:rsidRDefault="007C74F4">
      <w:pPr>
        <w:spacing w:after="0"/>
        <w:rPr>
          <w:rFonts w:cstheme="minorHAnsi"/>
        </w:rPr>
      </w:pPr>
    </w:p>
    <w:p w:rsidR="00073CAC" w:rsidRDefault="00073CAC" w:rsidP="00073CAC">
      <w:pPr>
        <w:spacing w:after="0"/>
        <w:jc w:val="both"/>
        <w:rPr>
          <w:rFonts w:cstheme="minorHAnsi"/>
        </w:rPr>
      </w:pPr>
      <w:r>
        <w:rPr>
          <w:rFonts w:cstheme="minorHAnsi"/>
          <w:b/>
          <w:u w:val="single"/>
        </w:rPr>
        <w:t>Držitel registrace</w:t>
      </w:r>
      <w:r>
        <w:rPr>
          <w:rFonts w:cstheme="minorHAnsi"/>
          <w:b/>
          <w:u w:val="single"/>
          <w:vertAlign w:val="superscript"/>
        </w:rPr>
        <w:t>2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 H.Lundbeck A/S</w:t>
      </w:r>
    </w:p>
    <w:p w:rsidR="00073CAC" w:rsidRDefault="00073CAC" w:rsidP="007C74F4">
      <w:pPr>
        <w:pStyle w:val="Normlnweb"/>
        <w:spacing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3971" w:rsidRDefault="00D83971" w:rsidP="007C74F4">
      <w:pPr>
        <w:pStyle w:val="Normlnweb"/>
        <w:spacing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3CAC" w:rsidRPr="00534136" w:rsidRDefault="00073CAC" w:rsidP="00073CAC">
      <w:pPr>
        <w:pStyle w:val="Default"/>
        <w:jc w:val="both"/>
        <w:rPr>
          <w:rFonts w:asciiTheme="minorHAnsi" w:hAnsiTheme="minorHAnsi"/>
          <w:b/>
        </w:rPr>
      </w:pPr>
      <w:r w:rsidRPr="00534136">
        <w:rPr>
          <w:rFonts w:asciiTheme="minorHAnsi" w:hAnsiTheme="minorHAnsi"/>
          <w:b/>
        </w:rPr>
        <w:t>CAVE! další informace viz původní</w:t>
      </w:r>
      <w:r>
        <w:rPr>
          <w:rFonts w:asciiTheme="minorHAnsi" w:hAnsiTheme="minorHAnsi"/>
          <w:b/>
        </w:rPr>
        <w:t xml:space="preserve"> FE </w:t>
      </w:r>
      <w:r w:rsidRPr="00534136">
        <w:rPr>
          <w:rFonts w:asciiTheme="minorHAnsi" w:hAnsiTheme="minorHAnsi"/>
          <w:b/>
        </w:rPr>
        <w:t>analýza z</w:t>
      </w:r>
      <w:r>
        <w:rPr>
          <w:rFonts w:asciiTheme="minorHAnsi" w:hAnsiTheme="minorHAnsi"/>
          <w:b/>
        </w:rPr>
        <w:t> </w:t>
      </w:r>
      <w:r w:rsidRPr="00534136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6. 9</w:t>
      </w:r>
      <w:r w:rsidRPr="00534136">
        <w:rPr>
          <w:rFonts w:asciiTheme="minorHAnsi" w:hAnsiTheme="minorHAnsi"/>
          <w:b/>
        </w:rPr>
        <w:t>. 2023!</w:t>
      </w:r>
    </w:p>
    <w:p w:rsidR="00073CAC" w:rsidRDefault="00073CAC" w:rsidP="007C74F4">
      <w:pPr>
        <w:pStyle w:val="Normlnweb"/>
        <w:spacing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3CAC" w:rsidRDefault="00F22860" w:rsidP="007C74F4">
      <w:pPr>
        <w:pStyle w:val="Normlnweb"/>
        <w:spacing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D83971" w:rsidRDefault="00611B55" w:rsidP="00D8397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Výsledky BIA</w:t>
      </w:r>
      <w:r w:rsidR="00D83971">
        <w:rPr>
          <w:rFonts w:cstheme="minorHAnsi"/>
          <w:b/>
          <w:sz w:val="32"/>
          <w:szCs w:val="32"/>
          <w:u w:val="single"/>
        </w:rPr>
        <w:t xml:space="preserve"> </w:t>
      </w:r>
      <w:r w:rsidR="00D83971" w:rsidRPr="0054368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 aktualizace k</w:t>
      </w:r>
      <w:r w:rsidR="00F228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 </w:t>
      </w:r>
      <w:r w:rsidR="00D83971" w:rsidRPr="0054368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</w:t>
      </w:r>
      <w:r w:rsidR="00F2286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10</w:t>
      </w:r>
      <w:r w:rsidR="00D83971" w:rsidRPr="0054368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2023</w:t>
      </w:r>
      <w:r w:rsidR="00D83971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44F98" w:rsidRDefault="00C44F98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C44F98" w:rsidRDefault="00D16623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838950" cy="2943225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98" w:rsidRDefault="00691CFB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840855" cy="569595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FB" w:rsidRPr="00691CFB" w:rsidRDefault="00691CFB">
      <w:pPr>
        <w:spacing w:after="0"/>
        <w:jc w:val="both"/>
        <w:rPr>
          <w:rFonts w:cstheme="minorHAnsi"/>
          <w:sz w:val="6"/>
          <w:szCs w:val="6"/>
        </w:rPr>
      </w:pPr>
    </w:p>
    <w:p w:rsidR="00691CFB" w:rsidRDefault="00691CFB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831965" cy="42291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B2" w:rsidRPr="00C0081D" w:rsidRDefault="00D05CB2">
      <w:pPr>
        <w:spacing w:after="0"/>
        <w:jc w:val="both"/>
        <w:rPr>
          <w:rFonts w:cstheme="minorHAnsi"/>
          <w:sz w:val="16"/>
          <w:szCs w:val="16"/>
        </w:rPr>
      </w:pPr>
    </w:p>
    <w:p w:rsidR="004B70D4" w:rsidRPr="002B1D56" w:rsidRDefault="00507583">
      <w:pPr>
        <w:spacing w:after="0"/>
        <w:jc w:val="both"/>
        <w:rPr>
          <w:rFonts w:cstheme="minorHAnsi"/>
          <w:b/>
        </w:rPr>
      </w:pPr>
      <w:r w:rsidRPr="002B1D56">
        <w:rPr>
          <w:rFonts w:cstheme="minorHAnsi"/>
          <w:b/>
        </w:rPr>
        <w:t>V Příloze č. 32 jsou uvedeny náklady na preventivní léčbu LP čtvrté linie (viz Přílohu č. 28) i ve srovnání s LP třetí linie</w:t>
      </w:r>
      <w:r w:rsidR="002B1D56" w:rsidRPr="002B1D56">
        <w:rPr>
          <w:rFonts w:cstheme="minorHAnsi"/>
          <w:b/>
        </w:rPr>
        <w:t xml:space="preserve"> (tj. monoklonální protilátky proti CGRP, viz výsledky výše)</w:t>
      </w:r>
      <w:r w:rsidRPr="002B1D56">
        <w:rPr>
          <w:rFonts w:cstheme="minorHAnsi"/>
          <w:b/>
        </w:rPr>
        <w:t xml:space="preserve"> – CAVE! ačkoliv </w:t>
      </w:r>
      <w:r w:rsidR="002B1D56" w:rsidRPr="002B1D56">
        <w:rPr>
          <w:rFonts w:cstheme="minorHAnsi"/>
          <w:b/>
        </w:rPr>
        <w:t xml:space="preserve">aktuálně dostupné </w:t>
      </w:r>
      <w:r w:rsidRPr="002B1D56">
        <w:rPr>
          <w:rFonts w:cstheme="minorHAnsi"/>
          <w:b/>
        </w:rPr>
        <w:t>LP čtvrté linie nemají dosud úhradu ze zdravotního pojištění</w:t>
      </w:r>
      <w:r w:rsidR="002B1D56" w:rsidRPr="002B1D56">
        <w:rPr>
          <w:rFonts w:cstheme="minorHAnsi"/>
          <w:b/>
        </w:rPr>
        <w:t xml:space="preserve"> jsou dle cen ve FN Olomouc k datu </w:t>
      </w:r>
      <w:r w:rsidR="004F56FB">
        <w:rPr>
          <w:rFonts w:cstheme="minorHAnsi"/>
          <w:b/>
        </w:rPr>
        <w:t>2. 10</w:t>
      </w:r>
      <w:bookmarkStart w:id="0" w:name="_GoBack"/>
      <w:bookmarkEnd w:id="0"/>
      <w:r w:rsidR="002B1D56" w:rsidRPr="002B1D56">
        <w:rPr>
          <w:rFonts w:cstheme="minorHAnsi"/>
          <w:b/>
        </w:rPr>
        <w:t>. 2023 levnější než LP třetí linie, zejména LP BOTOX (i při započtení nákladů na aplikaci)</w:t>
      </w:r>
      <w:r w:rsidR="002B1D56">
        <w:rPr>
          <w:rFonts w:cstheme="minorHAnsi"/>
          <w:b/>
        </w:rPr>
        <w:t>, a to více než 3x!</w:t>
      </w:r>
      <w:r w:rsidR="002B1D56" w:rsidRPr="002B1D56">
        <w:rPr>
          <w:rFonts w:cstheme="minorHAnsi"/>
          <w:b/>
        </w:rPr>
        <w:t xml:space="preserve"> </w:t>
      </w:r>
    </w:p>
    <w:p w:rsidR="004B70D4" w:rsidRDefault="004B70D4">
      <w:pPr>
        <w:spacing w:after="0"/>
        <w:jc w:val="both"/>
        <w:rPr>
          <w:rFonts w:cstheme="minorHAnsi"/>
        </w:rPr>
      </w:pPr>
    </w:p>
    <w:p w:rsidR="004B70D4" w:rsidRDefault="004B70D4">
      <w:pPr>
        <w:spacing w:after="0"/>
        <w:jc w:val="both"/>
        <w:rPr>
          <w:rFonts w:cstheme="minorHAnsi"/>
        </w:rPr>
      </w:pPr>
    </w:p>
    <w:p w:rsidR="004B70D4" w:rsidRDefault="004F56FB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19050" distB="19050" distL="19050" distR="19050" simplePos="0" relativeHeight="251662336" behindDoc="0" locked="0" layoutInCell="0" allowOverlap="1">
                <wp:simplePos x="0" y="0"/>
                <wp:positionH relativeFrom="margin">
                  <wp:posOffset>-40005</wp:posOffset>
                </wp:positionH>
                <wp:positionV relativeFrom="paragraph">
                  <wp:posOffset>194310</wp:posOffset>
                </wp:positionV>
                <wp:extent cx="6869430" cy="8582025"/>
                <wp:effectExtent l="19050" t="19050" r="7620" b="9525"/>
                <wp:wrapNone/>
                <wp:docPr id="58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9430" cy="858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2860" w:rsidRPr="002C5069" w:rsidRDefault="007E7B10" w:rsidP="00F22860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Závěr</w:t>
                            </w:r>
                            <w:r w:rsidR="00F22860">
                              <w:rPr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22860" w:rsidRPr="002C5069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– aktualizace k</w:t>
                            </w:r>
                            <w:r w:rsidR="00F22860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 2. 10</w:t>
                            </w:r>
                            <w:r w:rsidR="00F22860" w:rsidRPr="002C5069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. 2023</w:t>
                            </w:r>
                            <w:r w:rsidR="00F22860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22860" w:rsidRPr="00534136">
                              <w:rPr>
                                <w:rFonts w:cstheme="minorHAnsi"/>
                                <w:b/>
                              </w:rPr>
                              <w:t>(aktualizace je zvýrazněna žlutým podbarvením)</w:t>
                            </w:r>
                            <w:r w:rsidR="00F22860" w:rsidRPr="002C506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E7B10" w:rsidRPr="00364AC1" w:rsidRDefault="007E7B10" w:rsidP="008F606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64AC1">
                              <w:rPr>
                                <w:b/>
                                <w:iCs/>
                                <w:color w:val="000000"/>
                                <w:sz w:val="23"/>
                                <w:szCs w:val="23"/>
                              </w:rPr>
                              <w:t>LP VYEPTI je aktuálně v ČR hrazen (r</w:t>
                            </w:r>
                            <w:r w:rsidRPr="00364AC1">
                              <w:rPr>
                                <w:rFonts w:ascii="Calibri" w:hAnsi="Calibr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ozhodnutí SUKLu</w:t>
                            </w:r>
                            <w:r w:rsidRPr="00364AC1">
                              <w:rPr>
                                <w:rFonts w:ascii="Calibri" w:hAnsi="Calibri"/>
                                <w:b/>
                                <w:color w:val="000000"/>
                                <w:sz w:val="23"/>
                                <w:szCs w:val="23"/>
                                <w:vertAlign w:val="superscript"/>
                              </w:rPr>
                              <w:t>15</w:t>
                            </w:r>
                            <w:r w:rsidRPr="00364AC1">
                              <w:rPr>
                                <w:rFonts w:ascii="Calibri" w:hAnsi="Calibr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o stanovení maximální ceny a výše a podmínek úhrady ze zdravotního pojištění bylo vydáno dne 27. 2. 2023)</w:t>
                            </w:r>
                            <w:r w:rsidRPr="00364AC1">
                              <w:rPr>
                                <w:b/>
                                <w:iCs/>
                                <w:color w:val="000000"/>
                                <w:sz w:val="23"/>
                                <w:szCs w:val="23"/>
                              </w:rPr>
                              <w:t xml:space="preserve"> k profylaktické léčbě </w:t>
                            </w:r>
                            <w:r w:rsidRPr="00364AC1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u pacientů s migrénou, kteří před jeho iniciálním podáním m</w:t>
                            </w:r>
                            <w:r w:rsidR="00364AC1" w:rsidRPr="00364AC1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ěli</w:t>
                            </w:r>
                            <w:r w:rsidRPr="00364AC1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v průměru za poslední 3 měsíce více než 4 migrenózní dny/měsíc (dále jen „MMD“), a to po selhání (nedostatečné účinnosti) nebo intoleranci minimálně 2 zástupců rozdílných skupin konvenční profylaktické medikace (viz níže pozn. 16), z nichž alespoň 1 lék musí být antikonvulzivum (topiramát nebo valproát), pokud k nim pacient není kontraindikován. </w:t>
                            </w:r>
                            <w:r w:rsidRPr="00364AC1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LP VYEPTI obsahuje eptinezumab </w:t>
                            </w:r>
                            <w:r w:rsidRPr="00364AC1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(viz podrobněji níže pozn. 11)</w:t>
                            </w:r>
                            <w:r w:rsidRPr="00364AC1">
                              <w:rPr>
                                <w:rFonts w:eastAsia="TimesNewRomanPSMT" w:cs="TimesNewRomanPSMT"/>
                                <w:b/>
                                <w:sz w:val="23"/>
                                <w:szCs w:val="23"/>
                              </w:rPr>
                              <w:t xml:space="preserve">, což je </w:t>
                            </w:r>
                            <w:r w:rsidRPr="00364AC1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rekombinantní humanizovaná protilátka typu imunoglobulinu G1 (IgG1), která se váže na α- a β- formy lidského peptidu souvisejícího s genem kalcitoninu (</w:t>
                            </w:r>
                            <w:r w:rsidR="00364AC1" w:rsidRPr="00364AC1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tzv. </w:t>
                            </w:r>
                            <w:r w:rsidRPr="00364AC1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CGRP, calcitonin-gene related peptide – viz níže pozn. 9 a 10), eptinezumab brání aktivaci receptorů CGRP (viz níže pozn. 13), a tím i následné kaskádě fyziologických dějů spojených s iniciací záchvatů migrény</w:t>
                            </w:r>
                            <w:r w:rsidRPr="00364AC1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364AC1">
                              <w:rPr>
                                <w:rFonts w:eastAsia="TimesNewRoman" w:cs="TimesNewRoman"/>
                                <w:b/>
                                <w:sz w:val="23"/>
                                <w:szCs w:val="23"/>
                                <w:u w:val="single"/>
                              </w:rPr>
                              <w:t>LP VYEPTI je určen k intravenóznímu podání zhruba 30 min. infuzí</w:t>
                            </w:r>
                            <w:r w:rsidRPr="00364AC1">
                              <w:rPr>
                                <w:rFonts w:eastAsia="TimesNewRoman" w:cs="TimesNewRoman"/>
                                <w:b/>
                                <w:sz w:val="23"/>
                                <w:szCs w:val="23"/>
                              </w:rPr>
                              <w:t xml:space="preserve">, doporučená dávka je 100 mg každých 12 týdnů, některým pacientům může prospívat </w:t>
                            </w:r>
                            <w:r w:rsidR="00364AC1" w:rsidRPr="00364AC1">
                              <w:rPr>
                                <w:rFonts w:eastAsia="TimesNewRoman" w:cs="TimesNewRoman"/>
                                <w:b/>
                                <w:sz w:val="23"/>
                                <w:szCs w:val="23"/>
                              </w:rPr>
                              <w:t xml:space="preserve">ale vyšší </w:t>
                            </w:r>
                            <w:r w:rsidRPr="00364AC1">
                              <w:rPr>
                                <w:rFonts w:eastAsia="TimesNewRoman" w:cs="TimesNewRoman"/>
                                <w:b/>
                                <w:sz w:val="23"/>
                                <w:szCs w:val="23"/>
                              </w:rPr>
                              <w:t xml:space="preserve">dávka 300 mg každých 12 týdnů (viz Přílohu č. 26), která ale není v ČR aktuálně hrazena! </w:t>
                            </w:r>
                            <w:r w:rsidRPr="00364AC1">
                              <w:rPr>
                                <w:rFonts w:ascii="Calibri" w:hAnsi="Calibri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SUKL vyhodnotil</w:t>
                            </w:r>
                            <w:r w:rsidRPr="00364AC1">
                              <w:rPr>
                                <w:rFonts w:ascii="Calibri" w:hAnsi="Calibri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  <w:vertAlign w:val="superscript"/>
                              </w:rPr>
                              <w:t>15</w:t>
                            </w:r>
                            <w:r w:rsidRPr="00364AC1">
                              <w:rPr>
                                <w:rFonts w:ascii="Calibri" w:hAnsi="Calibri"/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 léčbu LP VYEPTI jako terapii v zásadě terapeuticky zaměnitelnou s obdobnou nebo blízkou účinností a bezpečností a obdobným klinickým využitím s léčbou léčivými přípravky s obsahem anti- CGRP monoklonálních protilátek – antimigrenik</w:t>
                            </w:r>
                            <w:r w:rsidRPr="00364AC1">
                              <w:rPr>
                                <w:rFonts w:ascii="Calibri" w:hAnsi="Calibr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(tj. erenumab, galkanezumab a fremanezumab – viz podrobněji níže pozn. 10), tzn. podmínky úhrady jsou pro všechny tyto LP s anti-CGRP protilátkami stejné.</w:t>
                            </w:r>
                          </w:p>
                          <w:p w:rsidR="007E7B10" w:rsidRPr="00C32A89" w:rsidRDefault="007E7B10" w:rsidP="00C0081D">
                            <w:pPr>
                              <w:spacing w:after="0"/>
                              <w:jc w:val="both"/>
                              <w:rPr>
                                <w:rStyle w:val="Hypertextovodkaz"/>
                                <w:rFonts w:cstheme="minorHAnsi"/>
                                <w:color w:val="auto"/>
                                <w:sz w:val="23"/>
                                <w:szCs w:val="23"/>
                                <w:u w:val="none"/>
                              </w:rPr>
                            </w:pPr>
                            <w:r w:rsidRPr="00C32A89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Mezi pacienty s aktivní migrénou </w:t>
                            </w:r>
                            <w:r w:rsidR="00364AC1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se uvádí</w:t>
                            </w:r>
                            <w:r w:rsidRPr="00C32A89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medián měsíční frekvence záchvatů 1.5, čtvrtina pacientů má </w:t>
                            </w:r>
                            <w:r w:rsidR="00364AC1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pak </w:t>
                            </w:r>
                            <w:r w:rsidRPr="00C32A89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týdenní záchvaty a až 5 % má chronickou migrénu</w:t>
                            </w:r>
                            <w:r w:rsidRPr="00C32A89">
                              <w:rPr>
                                <w:b/>
                                <w:color w:val="000000"/>
                                <w:sz w:val="23"/>
                                <w:szCs w:val="23"/>
                                <w:vertAlign w:val="superscript"/>
                              </w:rPr>
                              <w:t>4,18</w:t>
                            </w:r>
                            <w:r w:rsidRPr="00C32A89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3"/>
                                <w:szCs w:val="23"/>
                                <w:u w:val="none"/>
                              </w:rPr>
                              <w:t xml:space="preserve">. Obecně je </w:t>
                            </w:r>
                            <w:r w:rsidRPr="00C32A89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za účinnou profylaxi migrény považována taková léčba, která přináší 50% redukci frekvence nebo intenzity záchvatů</w:t>
                            </w:r>
                            <w:r w:rsidRPr="00C32A89">
                              <w:rPr>
                                <w:rFonts w:cstheme="minorHAnsi"/>
                                <w:sz w:val="23"/>
                                <w:szCs w:val="23"/>
                                <w:vertAlign w:val="superscript"/>
                              </w:rPr>
                              <w:t>20</w:t>
                            </w:r>
                            <w:r w:rsidRPr="00C32A89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.</w:t>
                            </w:r>
                            <w:r w:rsidR="00364AC1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32A89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3"/>
                                <w:szCs w:val="23"/>
                                <w:u w:val="none"/>
                              </w:rPr>
                              <w:t>Předpokládaný počet pacientů léčených LP VYEPTI v FN Olomouc je dle žádosti Neurologické kliniky</w:t>
                            </w:r>
                            <w:r w:rsidRPr="00C32A89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3"/>
                                <w:szCs w:val="23"/>
                                <w:u w:val="none"/>
                                <w:vertAlign w:val="superscript"/>
                              </w:rPr>
                              <w:t>6</w:t>
                            </w:r>
                            <w:r w:rsidRPr="00C32A89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3"/>
                                <w:szCs w:val="23"/>
                                <w:u w:val="none"/>
                              </w:rPr>
                              <w:t xml:space="preserve"> 30 pacientů v daném roce.</w:t>
                            </w:r>
                          </w:p>
                          <w:p w:rsidR="00805421" w:rsidRDefault="00805421" w:rsidP="00805421">
                            <w:pPr>
                              <w:pStyle w:val="Obsahrmce"/>
                              <w:spacing w:after="0"/>
                              <w:jc w:val="both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F6605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Bezpečnost a účinnost eptinezumabu u pacientů s diagnózou epizodické nebo chronické migrény a ≥ 4 MMD, u kterých selhala předchozí léčba 2 až 4 profylaktiky</w:t>
                            </w:r>
                            <w:r w:rsidRPr="001F6605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v dávce 100 a 300 mg i.v. každých 12 týdnů byla hodnocena oproti placebu v multicentrické, randomizované, dvojitě zaslepené, placebem kontrolované studii fáze 3 DELIVER</w:t>
                            </w:r>
                            <w:r w:rsidRPr="001F6605">
                              <w:rPr>
                                <w:b/>
                                <w:sz w:val="23"/>
                                <w:szCs w:val="23"/>
                                <w:vertAlign w:val="superscript"/>
                              </w:rPr>
                              <w:t>49</w:t>
                            </w:r>
                            <w:r w:rsidRPr="001F6605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s délkou sledování 24 týdnů</w:t>
                            </w:r>
                            <w:r w:rsidRPr="001F6605">
                              <w:rPr>
                                <w:b/>
                                <w:sz w:val="23"/>
                                <w:szCs w:val="23"/>
                                <w:vertAlign w:val="superscript"/>
                              </w:rPr>
                              <w:t>15</w:t>
                            </w:r>
                            <w:r w:rsidRPr="001F6605">
                              <w:rPr>
                                <w:b/>
                                <w:sz w:val="23"/>
                                <w:szCs w:val="23"/>
                              </w:rPr>
                              <w:t>- do sledování byli zahrnuti pouze dospělí pacienti (n = 891)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1F6605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Na základě výsledků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této </w:t>
                            </w:r>
                            <w:r w:rsidRPr="001F6605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studie </w:t>
                            </w:r>
                            <w:r w:rsidRPr="00A06162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SUKL považuje</w:t>
                            </w:r>
                            <w:r w:rsidRPr="001F6605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, ve svém rozhodnutí z 27. 2. 2023</w:t>
                            </w:r>
                            <w:r w:rsidRPr="001F6605">
                              <w:rPr>
                                <w:color w:val="000000"/>
                                <w:sz w:val="23"/>
                                <w:szCs w:val="23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A06162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účinnost eptinezumabu pro cílovou subpopulaci pacientů předléčených alespoň 2 zástupci rozdílných skupin konvenčních profylaktik za prokázanou</w:t>
                            </w:r>
                            <w:r w:rsidRPr="00A06162">
                              <w:rPr>
                                <w:color w:val="000000"/>
                                <w:sz w:val="23"/>
                                <w:szCs w:val="23"/>
                                <w:u w:val="single"/>
                                <w:vertAlign w:val="superscript"/>
                              </w:rPr>
                              <w:t>15</w:t>
                            </w:r>
                            <w:r w:rsidRPr="00A06162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. EMA</w:t>
                            </w:r>
                            <w:r w:rsidRPr="00A06162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na základě údajů z poolovaných výsledků celkem 5 studií fáze 1b až 3 (celkem 2.076 pacientů s alespoň 1 dávkou eptinezumabu) </w:t>
                            </w:r>
                            <w:r w:rsidRPr="00A06162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tvrdí ve svém hodnocení z roku 2021, že je bezpečnostní profil eptinezumabu obecně přijatelný a  eptinezumab byl u pacientů s migrénou obecně dobře tolerován</w:t>
                            </w:r>
                            <w:r w:rsidRPr="00A06162">
                              <w:rPr>
                                <w:color w:val="000000"/>
                                <w:sz w:val="23"/>
                                <w:szCs w:val="23"/>
                                <w:u w:val="single"/>
                                <w:vertAlign w:val="superscript"/>
                              </w:rPr>
                              <w:t>8</w:t>
                            </w:r>
                            <w:r w:rsidRPr="00A06162">
                              <w:rPr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805421" w:rsidRPr="004E74C6" w:rsidRDefault="00805421" w:rsidP="00805421">
                            <w:pPr>
                              <w:pStyle w:val="Obsahrmce"/>
                              <w:spacing w:after="0"/>
                              <w:jc w:val="both"/>
                              <w:rPr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:rsidR="00805421" w:rsidRPr="008465BD" w:rsidRDefault="00805421" w:rsidP="00805421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Jako relevantní komparátory hodnoceného LP VYEPTI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v případě preventivní léčby </w:t>
                            </w:r>
                            <w:r w:rsidRPr="004E74C6">
                              <w:rPr>
                                <w:b/>
                                <w:sz w:val="23"/>
                                <w:szCs w:val="23"/>
                              </w:rPr>
                              <w:t xml:space="preserve">po selhání nebo intoleranci minimálně 2 zástupců rozdílných skupin konvenční profylaktické medikace (viz níže pozn. 16 a Přílohu č. 9)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byly 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vybrány jen další 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tj. 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se stejnými indikacemi a podmínkami úhrady) monoklonální protilátky zacílené proti CGRP systému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(viz níže pozn. 10)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tzv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„gepanty“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(viz níže pozn. 34)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a LP BOTOX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(viz níže pozn.42) 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je aktuálně v ČR možné žádat jen o mimořádnou úhradu ze zdrav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otního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pojištění a jsou de-facto nyní použitelné až ve 4. linii prevent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ivní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léčby po neúčinnosti 1 či více protilátek cílených na CGRP (viz Přílohy č. 15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a 28</w:t>
                            </w:r>
                            <w:r w:rsidRPr="004E74C6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Pr="008465BD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Drtivá většina RCT studií s použitím profylaktik u migrény byla srovnávána jen s placebem. </w:t>
                            </w:r>
                            <w:r w:rsidRPr="008465BD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Pro monoklonální protilátky proti CGRP u pacientů s migrénou s předcházejícím selháním léčby profylaktikem je tedy aktuálně dostupné </w:t>
                            </w:r>
                            <w: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jen </w:t>
                            </w:r>
                            <w:r w:rsidRPr="008465BD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shd w:val="clear" w:color="auto" w:fill="FFFFFF"/>
                              </w:rPr>
                              <w:t>nepřímé srovnání</w:t>
                            </w:r>
                            <w: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shd w:val="clear" w:color="auto" w:fill="FFFFFF"/>
                              </w:rPr>
                              <w:t>, např.</w:t>
                            </w:r>
                            <w:r w:rsidRPr="008465BD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metodou síťové metaanalýzy (tzv. NMA). SUKL i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Česká neurologická společnost ČLS JEP považuje LP VYEPTI (eptinezumab) za srovnatelný s ostatními anti-CGRP protilátkami (tj. erenumabem, fremanezumabem a galcanezumabem) při profylaktické léčbě migrény dospělých pacientů co do účinnosti i snášenlivosti a počítá s tím, že klinická praxe všech LP s anti-CGRP monoklonálními protilátkami, tedy i LP VYEPTI bude srovnatelná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  <w:vertAlign w:val="superscript"/>
                              </w:rPr>
                              <w:t>15,72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E7B10" w:rsidRDefault="007E7B10" w:rsidP="008465B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:rsidR="007E7B10" w:rsidRDefault="007E7B10" w:rsidP="00D05CB2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7E7B10" w:rsidRDefault="007E7B10" w:rsidP="00D05CB2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7E7B10" w:rsidRDefault="007E7B10" w:rsidP="00D05CB2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ové pole 5" o:spid="_x0000_s1026" style="position:absolute;left:0;text-align:left;margin-left:-3.15pt;margin-top:15.3pt;width:540.9pt;height:675.75pt;z-index:251662336;visibility:visible;mso-wrap-style:square;mso-width-percent:0;mso-height-percent:0;mso-wrap-distance-left:1.5pt;mso-wrap-distance-top:1.5pt;mso-wrap-distance-right:1.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" o:allowincell="f" fillcolor="white [3201]" strokeweight="3pt">
                <v:stroke joinstyle="round"/>
                <v:path arrowok="t"/>
                <v:textbox>
                  <w:txbxContent>
                    <w:p w:rsidR="00F22860" w:rsidRPr="002C5069" w:rsidRDefault="007E7B10" w:rsidP="00F22860">
                      <w:pPr>
                        <w:spacing w:after="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Závěr</w:t>
                      </w:r>
                      <w:r w:rsidR="00F22860">
                        <w:rPr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22860" w:rsidRPr="002C5069">
                        <w:rPr>
                          <w:rFonts w:cs="Times New Roman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– aktualizace k</w:t>
                      </w:r>
                      <w:r w:rsidR="00F22860">
                        <w:rPr>
                          <w:rFonts w:cs="Times New Roman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 2. 10</w:t>
                      </w:r>
                      <w:r w:rsidR="00F22860" w:rsidRPr="002C5069">
                        <w:rPr>
                          <w:rFonts w:cs="Times New Roman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. 2023</w:t>
                      </w:r>
                      <w:r w:rsidR="00F22860">
                        <w:rPr>
                          <w:rFonts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22860" w:rsidRPr="00534136">
                        <w:rPr>
                          <w:rFonts w:cstheme="minorHAnsi"/>
                          <w:b/>
                        </w:rPr>
                        <w:t>(aktualizace je zvýrazněna žlutým podbarvením)</w:t>
                      </w:r>
                      <w:r w:rsidR="00F22860" w:rsidRPr="002C506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E7B10" w:rsidRPr="00364AC1" w:rsidRDefault="007E7B10" w:rsidP="008F6062">
                      <w:pPr>
                        <w:spacing w:after="0" w:line="240" w:lineRule="auto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  <w:r w:rsidRPr="00364AC1">
                        <w:rPr>
                          <w:b/>
                          <w:iCs/>
                          <w:color w:val="000000"/>
                          <w:sz w:val="23"/>
                          <w:szCs w:val="23"/>
                        </w:rPr>
                        <w:t>LP VYEPTI je aktuálně v ČR hrazen (r</w:t>
                      </w:r>
                      <w:r w:rsidRPr="00364AC1">
                        <w:rPr>
                          <w:rFonts w:ascii="Calibri" w:hAnsi="Calibri"/>
                          <w:b/>
                          <w:color w:val="000000"/>
                          <w:sz w:val="23"/>
                          <w:szCs w:val="23"/>
                        </w:rPr>
                        <w:t>ozhodnutí SUKLu</w:t>
                      </w:r>
                      <w:r w:rsidRPr="00364AC1">
                        <w:rPr>
                          <w:rFonts w:ascii="Calibri" w:hAnsi="Calibri"/>
                          <w:b/>
                          <w:color w:val="000000"/>
                          <w:sz w:val="23"/>
                          <w:szCs w:val="23"/>
                          <w:vertAlign w:val="superscript"/>
                        </w:rPr>
                        <w:t>15</w:t>
                      </w:r>
                      <w:r w:rsidRPr="00364AC1">
                        <w:rPr>
                          <w:rFonts w:ascii="Calibri" w:hAnsi="Calibri"/>
                          <w:b/>
                          <w:color w:val="000000"/>
                          <w:sz w:val="23"/>
                          <w:szCs w:val="23"/>
                        </w:rPr>
                        <w:t xml:space="preserve"> o stanovení maximální ceny a výše a podmínek úhrady ze zdravotního pojištění bylo vydáno dne 27. 2. 2023)</w:t>
                      </w:r>
                      <w:r w:rsidRPr="00364AC1">
                        <w:rPr>
                          <w:b/>
                          <w:iCs/>
                          <w:color w:val="000000"/>
                          <w:sz w:val="23"/>
                          <w:szCs w:val="23"/>
                        </w:rPr>
                        <w:t xml:space="preserve"> k profylaktické léčbě </w:t>
                      </w:r>
                      <w:r w:rsidRPr="00364AC1">
                        <w:rPr>
                          <w:rFonts w:cs="Times New Roman"/>
                          <w:b/>
                          <w:bCs/>
                          <w:color w:val="000000"/>
                          <w:sz w:val="23"/>
                          <w:szCs w:val="23"/>
                        </w:rPr>
                        <w:t>u pacientů s migrénou, kteří před jeho iniciálním podáním m</w:t>
                      </w:r>
                      <w:r w:rsidR="00364AC1" w:rsidRPr="00364AC1">
                        <w:rPr>
                          <w:rFonts w:cs="Times New Roman"/>
                          <w:b/>
                          <w:bCs/>
                          <w:color w:val="000000"/>
                          <w:sz w:val="23"/>
                          <w:szCs w:val="23"/>
                        </w:rPr>
                        <w:t>ěli</w:t>
                      </w:r>
                      <w:r w:rsidRPr="00364AC1">
                        <w:rPr>
                          <w:rFonts w:cs="Times New Roman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v průměru za poslední 3 měsíce více než 4 migrenózní dny/měsíc (dále jen „MMD“), a to po selhání (nedostatečné účinnosti) nebo intoleranci minimálně 2 zástupců rozdílných skupin konvenční profylaktické medikace (viz níže pozn. 16), z nichž alespoň 1 lék musí být antikonvulzivum (topiramát nebo valproát), pokud k nim pacient není kontraindikován. </w:t>
                      </w:r>
                      <w:r w:rsidRPr="00364AC1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LP VYEPTI obsahuje eptinezumab </w:t>
                      </w:r>
                      <w:r w:rsidRPr="00364AC1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(viz podrobněji níže pozn. 11)</w:t>
                      </w:r>
                      <w:r w:rsidRPr="00364AC1">
                        <w:rPr>
                          <w:rFonts w:eastAsia="TimesNewRomanPSMT" w:cs="TimesNewRomanPSMT"/>
                          <w:b/>
                          <w:sz w:val="23"/>
                          <w:szCs w:val="23"/>
                        </w:rPr>
                        <w:t xml:space="preserve">, což je </w:t>
                      </w:r>
                      <w:r w:rsidRPr="00364AC1">
                        <w:rPr>
                          <w:b/>
                          <w:color w:val="000000"/>
                          <w:sz w:val="23"/>
                          <w:szCs w:val="23"/>
                        </w:rPr>
                        <w:t>rekombinantní humanizovaná protilátka typu imunoglobulinu G1 (IgG1), která se váže na α- a β- formy lidského peptidu souvisejícího s genem kalcitoninu (</w:t>
                      </w:r>
                      <w:r w:rsidR="00364AC1" w:rsidRPr="00364AC1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tzv. </w:t>
                      </w:r>
                      <w:r w:rsidRPr="00364AC1">
                        <w:rPr>
                          <w:b/>
                          <w:color w:val="000000"/>
                          <w:sz w:val="23"/>
                          <w:szCs w:val="23"/>
                        </w:rPr>
                        <w:t>CGRP, calcitonin-gene related peptide – viz níže pozn. 9 a 10), eptinezumab brání aktivaci receptorů CGRP (viz níže pozn. 13), a tím i následné kaskádě fyziologických dějů spojených s iniciací záchvatů migrény</w:t>
                      </w:r>
                      <w:r w:rsidRPr="00364AC1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  <w:r w:rsidRPr="00364AC1">
                        <w:rPr>
                          <w:rFonts w:eastAsia="TimesNewRoman" w:cs="TimesNewRoman"/>
                          <w:b/>
                          <w:sz w:val="23"/>
                          <w:szCs w:val="23"/>
                          <w:u w:val="single"/>
                        </w:rPr>
                        <w:t>LP VYEPTI je určen k intravenóznímu podání zhruba 30 min. infuzí</w:t>
                      </w:r>
                      <w:r w:rsidRPr="00364AC1">
                        <w:rPr>
                          <w:rFonts w:eastAsia="TimesNewRoman" w:cs="TimesNewRoman"/>
                          <w:b/>
                          <w:sz w:val="23"/>
                          <w:szCs w:val="23"/>
                        </w:rPr>
                        <w:t xml:space="preserve">, doporučená dávka je 100 mg každých 12 týdnů, některým pacientům může prospívat </w:t>
                      </w:r>
                      <w:r w:rsidR="00364AC1" w:rsidRPr="00364AC1">
                        <w:rPr>
                          <w:rFonts w:eastAsia="TimesNewRoman" w:cs="TimesNewRoman"/>
                          <w:b/>
                          <w:sz w:val="23"/>
                          <w:szCs w:val="23"/>
                        </w:rPr>
                        <w:t xml:space="preserve">ale vyšší </w:t>
                      </w:r>
                      <w:r w:rsidRPr="00364AC1">
                        <w:rPr>
                          <w:rFonts w:eastAsia="TimesNewRoman" w:cs="TimesNewRoman"/>
                          <w:b/>
                          <w:sz w:val="23"/>
                          <w:szCs w:val="23"/>
                        </w:rPr>
                        <w:t xml:space="preserve">dávka 300 mg každých 12 týdnů (viz Přílohu č. 26), která ale není v ČR aktuálně hrazena! </w:t>
                      </w:r>
                      <w:r w:rsidRPr="00364AC1">
                        <w:rPr>
                          <w:rFonts w:ascii="Calibri" w:hAnsi="Calibri"/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SUKL vyhodnotil</w:t>
                      </w:r>
                      <w:r w:rsidRPr="00364AC1">
                        <w:rPr>
                          <w:rFonts w:ascii="Calibri" w:hAnsi="Calibri"/>
                          <w:b/>
                          <w:color w:val="000000"/>
                          <w:sz w:val="23"/>
                          <w:szCs w:val="23"/>
                          <w:u w:val="single"/>
                          <w:vertAlign w:val="superscript"/>
                        </w:rPr>
                        <w:t>15</w:t>
                      </w:r>
                      <w:r w:rsidRPr="00364AC1">
                        <w:rPr>
                          <w:rFonts w:ascii="Calibri" w:hAnsi="Calibri"/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 xml:space="preserve"> léčbu LP VYEPTI jako terapii v zásadě terapeuticky zaměnitelnou s obdobnou nebo blízkou účinností a bezpečností a obdobným klinickým využitím s léčbou léčivými přípravky s obsahem anti- CGRP monoklonálních protilátek – antimigrenik</w:t>
                      </w:r>
                      <w:r w:rsidRPr="00364AC1">
                        <w:rPr>
                          <w:rFonts w:ascii="Calibri" w:hAnsi="Calibri"/>
                          <w:b/>
                          <w:color w:val="000000"/>
                          <w:sz w:val="23"/>
                          <w:szCs w:val="23"/>
                        </w:rPr>
                        <w:t xml:space="preserve"> (tj. erenumab, galkanezumab a fremanezumab – viz podrobněji níže pozn. 10), tzn. podmínky úhrady jsou pro všechny tyto LP s anti-CGRP protilátkami stejné.</w:t>
                      </w:r>
                    </w:p>
                    <w:p w:rsidR="007E7B10" w:rsidRPr="00C32A89" w:rsidRDefault="007E7B10" w:rsidP="00C0081D">
                      <w:pPr>
                        <w:spacing w:after="0"/>
                        <w:jc w:val="both"/>
                        <w:rPr>
                          <w:rStyle w:val="Hypertextovodkaz"/>
                          <w:rFonts w:cstheme="minorHAnsi"/>
                          <w:color w:val="auto"/>
                          <w:sz w:val="23"/>
                          <w:szCs w:val="23"/>
                          <w:u w:val="none"/>
                        </w:rPr>
                      </w:pPr>
                      <w:r w:rsidRPr="00C32A89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Mezi pacienty s aktivní migrénou </w:t>
                      </w:r>
                      <w:r w:rsidR="00364AC1">
                        <w:rPr>
                          <w:b/>
                          <w:color w:val="000000"/>
                          <w:sz w:val="23"/>
                          <w:szCs w:val="23"/>
                        </w:rPr>
                        <w:t>se uvádí</w:t>
                      </w:r>
                      <w:r w:rsidRPr="00C32A89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medián měsíční frekvence záchvatů 1.5, čtvrtina pacientů má </w:t>
                      </w:r>
                      <w:r w:rsidR="00364AC1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pak </w:t>
                      </w:r>
                      <w:r w:rsidRPr="00C32A89">
                        <w:rPr>
                          <w:b/>
                          <w:color w:val="000000"/>
                          <w:sz w:val="23"/>
                          <w:szCs w:val="23"/>
                        </w:rPr>
                        <w:t>týdenní záchvaty a až 5 % má chronickou migrénu</w:t>
                      </w:r>
                      <w:r w:rsidRPr="00C32A89">
                        <w:rPr>
                          <w:b/>
                          <w:color w:val="000000"/>
                          <w:sz w:val="23"/>
                          <w:szCs w:val="23"/>
                          <w:vertAlign w:val="superscript"/>
                        </w:rPr>
                        <w:t>4,18</w:t>
                      </w:r>
                      <w:r w:rsidRPr="00C32A89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3"/>
                          <w:szCs w:val="23"/>
                          <w:u w:val="none"/>
                        </w:rPr>
                        <w:t xml:space="preserve">. Obecně je </w:t>
                      </w:r>
                      <w:r w:rsidRPr="00C32A89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za účinnou profylaxi migrény považována taková léčba, která přináší 50% redukci frekvence nebo intenzity záchvatů</w:t>
                      </w:r>
                      <w:r w:rsidRPr="00C32A89">
                        <w:rPr>
                          <w:rFonts w:cstheme="minorHAnsi"/>
                          <w:sz w:val="23"/>
                          <w:szCs w:val="23"/>
                          <w:vertAlign w:val="superscript"/>
                        </w:rPr>
                        <w:t>20</w:t>
                      </w:r>
                      <w:r w:rsidRPr="00C32A89">
                        <w:rPr>
                          <w:rFonts w:cstheme="minorHAnsi"/>
                          <w:sz w:val="23"/>
                          <w:szCs w:val="23"/>
                        </w:rPr>
                        <w:t>.</w:t>
                      </w:r>
                      <w:r w:rsidR="00364AC1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 w:rsidRPr="00C32A89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3"/>
                          <w:szCs w:val="23"/>
                          <w:u w:val="none"/>
                        </w:rPr>
                        <w:t>Předpokládaný počet pacientů léčených LP VYEPTI v FN Olomouc je dle žádosti Neurologické kliniky</w:t>
                      </w:r>
                      <w:r w:rsidRPr="00C32A89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3"/>
                          <w:szCs w:val="23"/>
                          <w:u w:val="none"/>
                          <w:vertAlign w:val="superscript"/>
                        </w:rPr>
                        <w:t>6</w:t>
                      </w:r>
                      <w:r w:rsidRPr="00C32A89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3"/>
                          <w:szCs w:val="23"/>
                          <w:u w:val="none"/>
                        </w:rPr>
                        <w:t xml:space="preserve"> 30 pacientů v daném roce.</w:t>
                      </w:r>
                    </w:p>
                    <w:p w:rsidR="00805421" w:rsidRDefault="00805421" w:rsidP="00805421">
                      <w:pPr>
                        <w:pStyle w:val="Obsahrmce"/>
                        <w:spacing w:after="0"/>
                        <w:jc w:val="both"/>
                        <w:rPr>
                          <w:color w:val="000000"/>
                          <w:sz w:val="23"/>
                          <w:szCs w:val="23"/>
                        </w:rPr>
                      </w:pPr>
                      <w:r w:rsidRPr="001F6605">
                        <w:rPr>
                          <w:b/>
                          <w:sz w:val="23"/>
                          <w:szCs w:val="23"/>
                          <w:u w:val="single"/>
                        </w:rPr>
                        <w:t>Bezpečnost a účinnost eptinezumabu u pacientů s diagnózou epizodické nebo chronické migrény a ≥ 4 MMD, u kterých selhala předchozí léčba 2 až 4 profylaktiky</w:t>
                      </w:r>
                      <w:r w:rsidRPr="001F6605">
                        <w:rPr>
                          <w:b/>
                          <w:sz w:val="23"/>
                          <w:szCs w:val="23"/>
                        </w:rPr>
                        <w:t xml:space="preserve"> v dávce 100 a 300 mg i.v. každých 12 týdnů byla hodnocena oproti placebu v multicentrické, randomizované, dvojitě zaslepené, placebem kontrolované studii fáze 3 DELIVER</w:t>
                      </w:r>
                      <w:r w:rsidRPr="001F6605">
                        <w:rPr>
                          <w:b/>
                          <w:sz w:val="23"/>
                          <w:szCs w:val="23"/>
                          <w:vertAlign w:val="superscript"/>
                        </w:rPr>
                        <w:t>49</w:t>
                      </w:r>
                      <w:r w:rsidRPr="001F6605">
                        <w:rPr>
                          <w:b/>
                          <w:sz w:val="23"/>
                          <w:szCs w:val="23"/>
                        </w:rPr>
                        <w:t xml:space="preserve"> s délkou sledování 24 týdnů</w:t>
                      </w:r>
                      <w:r w:rsidRPr="001F6605">
                        <w:rPr>
                          <w:b/>
                          <w:sz w:val="23"/>
                          <w:szCs w:val="23"/>
                          <w:vertAlign w:val="superscript"/>
                        </w:rPr>
                        <w:t>15</w:t>
                      </w:r>
                      <w:r w:rsidRPr="001F6605">
                        <w:rPr>
                          <w:b/>
                          <w:sz w:val="23"/>
                          <w:szCs w:val="23"/>
                        </w:rPr>
                        <w:t>- do sledování byli zahrnuti pouze dospělí pacienti (n = 891)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. </w:t>
                      </w:r>
                      <w:r w:rsidRPr="001F6605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Na základě výsledků 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této </w:t>
                      </w:r>
                      <w:r w:rsidRPr="001F6605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studie </w:t>
                      </w:r>
                      <w:r w:rsidRPr="00A06162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SUKL považuje</w:t>
                      </w:r>
                      <w:r w:rsidRPr="001F6605">
                        <w:rPr>
                          <w:b/>
                          <w:color w:val="000000"/>
                          <w:sz w:val="23"/>
                          <w:szCs w:val="23"/>
                        </w:rPr>
                        <w:t>, ve svém rozhodnutí z 27. 2. 2023</w:t>
                      </w:r>
                      <w:r w:rsidRPr="001F6605">
                        <w:rPr>
                          <w:color w:val="000000"/>
                          <w:sz w:val="23"/>
                          <w:szCs w:val="23"/>
                          <w:vertAlign w:val="superscript"/>
                        </w:rPr>
                        <w:t>15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r w:rsidRPr="00A06162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účinnost eptinezumabu pro cílovou subpopulaci pacientů předléčených alespoň 2 zástupci rozdílných skupin konvenčních profylaktik za prokázanou</w:t>
                      </w:r>
                      <w:r w:rsidRPr="00A06162">
                        <w:rPr>
                          <w:color w:val="000000"/>
                          <w:sz w:val="23"/>
                          <w:szCs w:val="23"/>
                          <w:u w:val="single"/>
                          <w:vertAlign w:val="superscript"/>
                        </w:rPr>
                        <w:t>15</w:t>
                      </w:r>
                      <w:r w:rsidRPr="00A06162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. EMA</w:t>
                      </w:r>
                      <w:r w:rsidRPr="00A06162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na základě údajů z poolovaných výsledků celkem 5 studií fáze 1b až 3 (celkem 2.076 pacientů s alespoň 1 dávkou eptinezumabu) </w:t>
                      </w:r>
                      <w:r w:rsidRPr="00A06162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tvrdí ve svém hodnocení z roku 2021, že je bezpečnostní profil eptinezumabu obecně přijatelný a  eptinezumab byl u pacientů s migrénou obecně dobře tolerován</w:t>
                      </w:r>
                      <w:r w:rsidRPr="00A06162">
                        <w:rPr>
                          <w:color w:val="000000"/>
                          <w:sz w:val="23"/>
                          <w:szCs w:val="23"/>
                          <w:u w:val="single"/>
                          <w:vertAlign w:val="superscript"/>
                        </w:rPr>
                        <w:t>8</w:t>
                      </w:r>
                      <w:r w:rsidRPr="00A06162">
                        <w:rPr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:rsidR="00805421" w:rsidRPr="004E74C6" w:rsidRDefault="00805421" w:rsidP="00805421">
                      <w:pPr>
                        <w:pStyle w:val="Obsahrmce"/>
                        <w:spacing w:after="0"/>
                        <w:jc w:val="both"/>
                        <w:rPr>
                          <w:color w:val="000000"/>
                          <w:sz w:val="4"/>
                          <w:szCs w:val="4"/>
                        </w:rPr>
                      </w:pPr>
                    </w:p>
                    <w:p w:rsidR="00805421" w:rsidRPr="008465BD" w:rsidRDefault="00805421" w:rsidP="00805421">
                      <w:pPr>
                        <w:pStyle w:val="Obsahrmce"/>
                        <w:spacing w:after="0"/>
                        <w:jc w:val="both"/>
                        <w:rPr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  <w:u w:val="single"/>
                        </w:rPr>
                        <w:t>Jako relevantní komparátory hodnoceného LP VYEPTI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v případě preventivní léčby </w:t>
                      </w:r>
                      <w:r w:rsidRPr="004E74C6">
                        <w:rPr>
                          <w:b/>
                          <w:sz w:val="23"/>
                          <w:szCs w:val="23"/>
                        </w:rPr>
                        <w:t xml:space="preserve">po selhání nebo intoleranci minimálně 2 zástupců rozdílných skupin konvenční profylaktické medikace (viz níže pozn. 16 a Přílohu č. 9)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byly 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  <w:u w:val="single"/>
                        </w:rPr>
                        <w:t>vybrány jen další (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  <w:u w:val="single"/>
                        </w:rPr>
                        <w:t xml:space="preserve">tj. 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  <w:u w:val="single"/>
                        </w:rPr>
                        <w:t>se stejnými indikacemi a podmínkami úhrady) monoklonální protilátky zacílené proti CGRP systému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(viz níže pozn. 10)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tzv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.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„gepanty“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(viz níže pozn. 34)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a LP BOTOX 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(viz níže pozn.42) 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je aktuálně v ČR možné žádat jen o mimořádnou úhradu ze zdrav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otního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pojištění a jsou de-facto nyní použitelné až ve 4. linii prevent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ivní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léčby po neúčinnosti 1 či více protilátek cílených na CGRP (viz Přílohy č. 15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,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a 28</w:t>
                      </w:r>
                      <w:r w:rsidRPr="004E74C6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)</w:t>
                      </w:r>
                      <w:r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  <w:r w:rsidRPr="008465BD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Drtivá většina RCT studií s použitím profylaktik u migrény byla srovnávána jen s placebem. </w:t>
                      </w:r>
                      <w:r w:rsidRPr="008465BD">
                        <w:rPr>
                          <w:rFonts w:cstheme="minorHAnsi"/>
                          <w:b/>
                          <w:sz w:val="23"/>
                          <w:szCs w:val="23"/>
                          <w:shd w:val="clear" w:color="auto" w:fill="FFFFFF"/>
                        </w:rPr>
                        <w:t xml:space="preserve">Pro monoklonální protilátky proti CGRP u pacientů s migrénou s předcházejícím selháním léčby profylaktikem je tedy aktuálně dostupné </w:t>
                      </w:r>
                      <w:r>
                        <w:rPr>
                          <w:rFonts w:cstheme="minorHAnsi"/>
                          <w:b/>
                          <w:sz w:val="23"/>
                          <w:szCs w:val="23"/>
                          <w:shd w:val="clear" w:color="auto" w:fill="FFFFFF"/>
                        </w:rPr>
                        <w:t xml:space="preserve">jen </w:t>
                      </w:r>
                      <w:r w:rsidRPr="008465BD">
                        <w:rPr>
                          <w:rFonts w:cstheme="minorHAnsi"/>
                          <w:b/>
                          <w:sz w:val="23"/>
                          <w:szCs w:val="23"/>
                          <w:shd w:val="clear" w:color="auto" w:fill="FFFFFF"/>
                        </w:rPr>
                        <w:t>nepřímé srovnání</w:t>
                      </w:r>
                      <w:r>
                        <w:rPr>
                          <w:rFonts w:cstheme="minorHAnsi"/>
                          <w:b/>
                          <w:sz w:val="23"/>
                          <w:szCs w:val="23"/>
                          <w:shd w:val="clear" w:color="auto" w:fill="FFFFFF"/>
                        </w:rPr>
                        <w:t>, např.</w:t>
                      </w:r>
                      <w:r w:rsidRPr="008465BD">
                        <w:rPr>
                          <w:rFonts w:cstheme="minorHAnsi"/>
                          <w:b/>
                          <w:sz w:val="23"/>
                          <w:szCs w:val="23"/>
                          <w:shd w:val="clear" w:color="auto" w:fill="FFFFFF"/>
                        </w:rPr>
                        <w:t xml:space="preserve"> metodou síťové metaanalýzy (tzv. NMA). SUKL i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Česká neurologická společnost ČLS JEP považuje LP VYEPTI (eptinezumab) za srovnatelný s ostatními anti-CGRP protilátkami (tj. erenumabem, fremanezumabem a galcanezumabem) při profylaktické léčbě migrény dospělých pacientů co do účinnosti i snášenlivosti a počítá s tím, že klinická praxe všech LP s anti-CGRP monoklonálními protilátkami, tedy i LP VYEPTI bude srovnatelná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  <w:vertAlign w:val="superscript"/>
                        </w:rPr>
                        <w:t>15,72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>.</w:t>
                      </w:r>
                    </w:p>
                    <w:p w:rsidR="007E7B10" w:rsidRDefault="007E7B10" w:rsidP="008465BD">
                      <w:pPr>
                        <w:spacing w:after="0"/>
                        <w:jc w:val="both"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:rsidR="007E7B10" w:rsidRDefault="007E7B10" w:rsidP="00D05CB2">
                      <w:pPr>
                        <w:pStyle w:val="Obsahrmce"/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7E7B10" w:rsidRDefault="007E7B10" w:rsidP="00D05CB2">
                      <w:pPr>
                        <w:pStyle w:val="Obsahrmce"/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7E7B10" w:rsidRDefault="007E7B10" w:rsidP="00D05CB2">
                      <w:pPr>
                        <w:pStyle w:val="Obsahrmce"/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70D4" w:rsidRDefault="004B70D4">
      <w:pPr>
        <w:spacing w:after="0"/>
        <w:jc w:val="both"/>
        <w:rPr>
          <w:rFonts w:cstheme="minorHAnsi"/>
        </w:rPr>
      </w:pPr>
    </w:p>
    <w:p w:rsidR="00D05CB2" w:rsidRDefault="00D05CB2">
      <w:pPr>
        <w:spacing w:after="0"/>
        <w:jc w:val="both"/>
        <w:rPr>
          <w:rFonts w:cstheme="minorHAnsi"/>
        </w:rPr>
      </w:pPr>
    </w:p>
    <w:p w:rsidR="007260B5" w:rsidRDefault="007260B5">
      <w:pPr>
        <w:spacing w:after="0"/>
        <w:jc w:val="both"/>
        <w:rPr>
          <w:rFonts w:cstheme="minorHAnsi"/>
        </w:rPr>
      </w:pPr>
    </w:p>
    <w:p w:rsidR="007260B5" w:rsidRDefault="007260B5">
      <w:pPr>
        <w:spacing w:after="0"/>
        <w:jc w:val="both"/>
        <w:rPr>
          <w:rFonts w:cstheme="minorHAnsi"/>
        </w:rPr>
      </w:pPr>
    </w:p>
    <w:p w:rsidR="007260B5" w:rsidRDefault="007260B5">
      <w:pPr>
        <w:spacing w:after="0"/>
        <w:jc w:val="both"/>
        <w:rPr>
          <w:rFonts w:cstheme="minorHAnsi"/>
        </w:rPr>
      </w:pPr>
    </w:p>
    <w:p w:rsidR="007260B5" w:rsidRDefault="007260B5">
      <w:pPr>
        <w:spacing w:after="0"/>
        <w:jc w:val="both"/>
        <w:rPr>
          <w:rFonts w:cstheme="minorHAnsi"/>
        </w:rPr>
      </w:pPr>
    </w:p>
    <w:p w:rsidR="007260B5" w:rsidRDefault="007260B5">
      <w:pPr>
        <w:spacing w:after="0"/>
        <w:jc w:val="both"/>
        <w:rPr>
          <w:rFonts w:cstheme="minorHAnsi"/>
        </w:rPr>
      </w:pPr>
    </w:p>
    <w:p w:rsidR="00190884" w:rsidRDefault="00190884">
      <w:pPr>
        <w:spacing w:after="0"/>
        <w:jc w:val="both"/>
        <w:rPr>
          <w:rFonts w:cstheme="minorHAnsi"/>
        </w:rPr>
      </w:pPr>
    </w:p>
    <w:p w:rsidR="00E0471E" w:rsidRDefault="0061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163" w:rsidRDefault="003031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496" w:rsidRDefault="002C24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71E" w:rsidRDefault="00E047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F98" w:rsidRDefault="00611B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C44F98" w:rsidRDefault="00C44F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F5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9050" distB="19050" distL="19050" distR="19050" simplePos="0" relativeHeight="19" behindDoc="0" locked="0" layoutInCell="0" allowOverlap="1">
                <wp:simplePos x="0" y="0"/>
                <wp:positionH relativeFrom="margin">
                  <wp:posOffset>40640</wp:posOffset>
                </wp:positionH>
                <wp:positionV relativeFrom="paragraph">
                  <wp:posOffset>128270</wp:posOffset>
                </wp:positionV>
                <wp:extent cx="6869430" cy="5370830"/>
                <wp:effectExtent l="19050" t="19050" r="7620" b="1270"/>
                <wp:wrapNone/>
                <wp:docPr id="5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9430" cy="537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E7B10" w:rsidRPr="008465BD" w:rsidRDefault="007E7B10" w:rsidP="008465BD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Oproti ostatním anti-CGRP protilátkám, které mají s.c. způsob aplikace, se LP VYEPTI podává i.v.</w:t>
                            </w:r>
                            <w:r w:rsidR="006B0D65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infuzí, patří ale společně s LP AJOVY mezi LP s nejdelším intervalem podávání, tj. 12 týdnů, resp. 3 měsíce. </w:t>
                            </w:r>
                            <w:r w:rsidRPr="00B154F4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Rychlý nástup</w:t>
                            </w:r>
                            <w:r w:rsidR="006B0D65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 účinku</w:t>
                            </w:r>
                            <w:r w:rsidRPr="00B154F4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 LP VYEPTI ale pravděpodobně přispěje k jeho místu v terapii migrény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, j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ako infuze má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LP VYEPTI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okamžitou biologickou dostupnost, a proto má téměř okamžitý účinek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může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tedy 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současně jak ukončit akutní migren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ó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>zní záchvat, tak</w:t>
                            </w:r>
                            <w:r w:rsidR="006B0D65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i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 zahájit u pacienta profylaktickou léčbu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  <w:vertAlign w:val="superscript"/>
                              </w:rPr>
                              <w:t>7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7E7B10" w:rsidRPr="008465BD" w:rsidRDefault="007E7B10" w:rsidP="008465B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Vzhledem ke srovnatelné účinnosti (v parametru změny počtu MMD) a bezpečnosti léčby LP VYEPTI oproti ostatním komparovaným anti-CGRP protilátkám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 (dále jen „anti-CGRP mAb“)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 jako 3. lini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>e</w:t>
                            </w:r>
                            <w:r w:rsidRPr="008465BD">
                              <w:rPr>
                                <w:b/>
                                <w:color w:val="000000"/>
                                <w:sz w:val="23"/>
                                <w:szCs w:val="23"/>
                                <w:u w:val="single"/>
                              </w:rPr>
                              <w:t xml:space="preserve"> preventivní léčby migrény (viz</w:t>
                            </w:r>
                            <w:r w:rsidRPr="008465BD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3"/>
                                <w:szCs w:val="23"/>
                              </w:rPr>
                              <w:t xml:space="preserve"> informace výše a níže pozn. 61) byla, v rámci FE hodnocení, provedena jen analýza BIA</w:t>
                            </w:r>
                            <w:r w:rsidRPr="008465BD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E7B10" w:rsidRPr="00C0081D" w:rsidRDefault="007E7B10" w:rsidP="004E74C6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7E7B10" w:rsidRPr="00CA5176" w:rsidRDefault="007E7B10" w:rsidP="00CA5176">
                            <w:pPr>
                              <w:pStyle w:val="Obsahrmce"/>
                              <w:spacing w:after="0"/>
                              <w:jc w:val="both"/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B82ED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>Výsledky BIA pro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preventivní</w:t>
                            </w:r>
                            <w:r w:rsidRPr="00B82ED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léčbu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migrén</w:t>
                            </w:r>
                            <w:r w:rsidR="006B0D6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y 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>u</w:t>
                            </w:r>
                            <w:r w:rsidRPr="00B82ED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30 </w:t>
                            </w:r>
                            <w:r w:rsidRPr="00B82ED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>pacient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ů ve 3. linii anti-CGRP mAb za 1. rok </w:t>
                            </w:r>
                            <w:r w:rsidRPr="00CA5176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>při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předpokládané léčebné </w:t>
                            </w:r>
                            <w:r w:rsidRPr="001254D2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>odpovědi po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prvních </w:t>
                            </w:r>
                            <w:r w:rsidRPr="001254D2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>12 týdnech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u 42 % pacientů</w:t>
                            </w:r>
                            <w:r w:rsidRPr="001254D2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vertAlign w:val="superscript"/>
                              </w:rPr>
                              <w:t>61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</w:rPr>
                              <w:t>při použití LP VYEPTI:</w:t>
                            </w:r>
                          </w:p>
                          <w:p w:rsidR="007E7B10" w:rsidRDefault="007E7B1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>celkový dopad do rozpočtu za 1. rok léčby závisí zejména na míře „náhrady“ jednotlivých LP s anti-CGRP mAb LP VYEPTI,</w:t>
                            </w:r>
                          </w:p>
                          <w:p w:rsidR="007E7B10" w:rsidRDefault="007E7B1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</w:pPr>
                            <w:r w:rsidRPr="00B82ED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nejpravděpodobnější dopad do rozpočtu, 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>při výše uvedených charakteristikách pacientů</w:t>
                            </w:r>
                            <w:r w:rsidRPr="00B82ED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 bude při použití LP VYEPTI </w:t>
                            </w:r>
                            <w:r w:rsidRPr="001F2673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highlight w:val="yellow"/>
                                <w:u w:val="none"/>
                              </w:rPr>
                              <w:t xml:space="preserve">negativní v řádech </w:t>
                            </w:r>
                            <w:r w:rsidR="001F2673" w:rsidRPr="001F2673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highlight w:val="yellow"/>
                                <w:u w:val="none"/>
                              </w:rPr>
                              <w:t>j</w:t>
                            </w:r>
                            <w:r w:rsidRPr="001F2673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highlight w:val="yellow"/>
                                <w:u w:val="none"/>
                              </w:rPr>
                              <w:t>ednotek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 stotisíců Kč navíc (tj. co vynaložíme navíc za 30 léčených pacientů LP VYEPTI za 1. rok léčby při započítávání jen samotných LP s anti-CGRP mAb),</w:t>
                            </w:r>
                          </w:p>
                          <w:p w:rsidR="007E7B10" w:rsidRDefault="007E7B1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>LP VYEPTI je nákladově šetřící jen u pacientů, u kterých bude nahrazen za LP EMGALITY,</w:t>
                            </w:r>
                            <w:r w:rsidRPr="00B82ED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 </w:t>
                            </w:r>
                          </w:p>
                          <w:p w:rsidR="007E7B10" w:rsidRPr="00B154F4" w:rsidRDefault="007E7B10" w:rsidP="0041691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  <w:shd w:val="clear" w:color="auto" w:fill="FFFFFF"/>
                              </w:rPr>
                            </w:pPr>
                            <w:r w:rsidRPr="00B154F4">
                              <w:rPr>
                                <w:b/>
                                <w:sz w:val="25"/>
                                <w:szCs w:val="25"/>
                              </w:rPr>
                              <w:t xml:space="preserve">určitou limitací LP VYEPTI je nemožnost aktuální úhrady vyšší dávky 300 mg, např. </w:t>
                            </w:r>
                            <w:r w:rsidRPr="00B154F4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</w:rPr>
                              <w:t>dle výsledků 2 publikovaných studií z reálné klinické praxe po 6 měsících užívání v USA</w:t>
                            </w:r>
                            <w:r w:rsidRPr="00B154F4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  <w:vertAlign w:val="superscript"/>
                              </w:rPr>
                              <w:t>70</w:t>
                            </w:r>
                            <w:r w:rsidRPr="00B154F4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 a SAE</w:t>
                            </w:r>
                            <w:r w:rsidRPr="00B154F4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  <w:vertAlign w:val="superscript"/>
                              </w:rPr>
                              <w:t xml:space="preserve">71 </w:t>
                            </w:r>
                            <w:r w:rsidRPr="00B154F4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</w:rPr>
                              <w:t>u kolem 26-29 % pacientů v těchto studiích došlo ke zvýšení dávky ze 100 mg na 300 mg!</w:t>
                            </w:r>
                            <w:r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 - v</w:t>
                            </w:r>
                            <w:r w:rsidRPr="00B154F4"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</w:rPr>
                              <w:t>iz Přílohu č. 26</w:t>
                            </w:r>
                            <w:r>
                              <w:rPr>
                                <w:rFonts w:cstheme="minorHAnsi"/>
                                <w:b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 k přehledu pacientů u nichž bude pravděpodobněji nutná vyšší dávka VYEPTI,</w:t>
                            </w:r>
                          </w:p>
                          <w:p w:rsidR="007E7B10" w:rsidRPr="00416911" w:rsidRDefault="007E7B10" w:rsidP="00416911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</w:pP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u pacientů nereagujících dostatečně na léčbu anti-CGRP mAb (viz také Přílohu č. 13) je ve 4. linii nejlépe pak použít (vždy na mimořádnou úhradu) u chronické migrény LP BOTOX (CAVE! je více než 3x levnější než anti-CGRP mAb) a u epizodické pak LP VYDURA (ten je </w:t>
                            </w:r>
                            <w:r w:rsidR="006B0D6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ale 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jen </w:t>
                            </w:r>
                            <w:r w:rsidR="006B0D65"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>mírně</w:t>
                            </w:r>
                            <w:r>
                              <w:rPr>
                                <w:rStyle w:val="Hypertextovodkaz"/>
                                <w:rFonts w:cstheme="minorHAnsi"/>
                                <w:b/>
                                <w:color w:val="auto"/>
                                <w:sz w:val="25"/>
                                <w:szCs w:val="25"/>
                                <w:u w:val="none"/>
                              </w:rPr>
                              <w:t xml:space="preserve"> levnější než anti-CGRP mAb) – viz Přílohy č. 28 a 32.</w:t>
                            </w:r>
                          </w:p>
                          <w:p w:rsidR="007E7B10" w:rsidRPr="00C0081D" w:rsidRDefault="007E7B10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7E7B10" w:rsidRDefault="007E7B10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7E7B10" w:rsidRDefault="007E7B10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7E7B10" w:rsidRDefault="007E7B10">
                            <w:pPr>
                              <w:pStyle w:val="Obsahrmce"/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.2pt;margin-top:10.1pt;width:540.9pt;height:422.9pt;z-index:19;visibility:visible;mso-wrap-style:square;mso-width-percent:0;mso-height-percent:0;mso-wrap-distance-left:1.5pt;mso-wrap-distance-top:1.5pt;mso-wrap-distance-right:1.5pt;mso-wrap-distance-bottom: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" o:allowincell="f" fillcolor="white [3201]" strokeweight="3pt">
                <v:stroke joinstyle="round"/>
                <v:path arrowok="t"/>
                <v:textbox>
                  <w:txbxContent>
                    <w:p w:rsidR="007E7B10" w:rsidRPr="008465BD" w:rsidRDefault="007E7B10" w:rsidP="008465BD">
                      <w:pPr>
                        <w:pStyle w:val="Obsahrmce"/>
                        <w:spacing w:after="0"/>
                        <w:jc w:val="both"/>
                        <w:rPr>
                          <w:b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Oproti ostatním anti-CGRP protilátkám, které mají s.c. způsob aplikace, se LP VYEPTI podává i.v.</w:t>
                      </w:r>
                      <w:r w:rsidR="006B0D65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infuzí, patří ale společně s LP AJOVY mezi LP s nejdelším intervalem podávání, tj. 12 týdnů, resp. 3 měsíce. </w:t>
                      </w:r>
                      <w:r w:rsidRPr="00B154F4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Rychlý nástup</w:t>
                      </w:r>
                      <w:r w:rsidR="006B0D65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 xml:space="preserve"> účinku</w:t>
                      </w:r>
                      <w:r w:rsidRPr="00B154F4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 xml:space="preserve"> LP VYEPTI ale pravděpodobně přispěje k jeho místu v terapii migrény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, j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ako infuze má 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LP VYEPTI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okamžitou biologickou dostupnost, a proto má téměř okamžitý účinek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, 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může 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tedy 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>současně jak ukončit akutní migren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</w:rPr>
                        <w:t>ó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>zní záchvat, tak</w:t>
                      </w:r>
                      <w:r w:rsidR="006B0D65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i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 zahájit u pacienta profylaktickou léčbu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  <w:vertAlign w:val="superscript"/>
                        </w:rPr>
                        <w:t>7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</w:rPr>
                        <w:t xml:space="preserve">. </w:t>
                      </w:r>
                    </w:p>
                    <w:p w:rsidR="007E7B10" w:rsidRPr="008465BD" w:rsidRDefault="007E7B10" w:rsidP="008465BD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Vzhledem ke srovnatelné účinnosti (v parametru změny počtu MMD) a bezpečnosti léčby LP VYEPTI oproti ostatním komparovaným anti-CGRP protilátkám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 xml:space="preserve"> (dále jen „anti-CGRP mAb“)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 xml:space="preserve"> jako 3. lini</w:t>
                      </w:r>
                      <w:r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>e</w:t>
                      </w:r>
                      <w:r w:rsidRPr="008465BD">
                        <w:rPr>
                          <w:b/>
                          <w:color w:val="000000"/>
                          <w:sz w:val="23"/>
                          <w:szCs w:val="23"/>
                          <w:u w:val="single"/>
                        </w:rPr>
                        <w:t xml:space="preserve"> preventivní léčby migrény (viz</w:t>
                      </w:r>
                      <w:r w:rsidRPr="008465BD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3"/>
                          <w:szCs w:val="23"/>
                        </w:rPr>
                        <w:t xml:space="preserve"> informace výše a níže pozn. 61) byla, v rámci FE hodnocení, provedena jen analýza BIA</w:t>
                      </w:r>
                      <w:r w:rsidRPr="008465BD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.</w:t>
                      </w:r>
                    </w:p>
                    <w:p w:rsidR="007E7B10" w:rsidRPr="00C0081D" w:rsidRDefault="007E7B10" w:rsidP="004E74C6">
                      <w:pPr>
                        <w:pStyle w:val="Obsahrmce"/>
                        <w:spacing w:after="0"/>
                        <w:jc w:val="both"/>
                        <w:rPr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:rsidR="007E7B10" w:rsidRPr="00CA5176" w:rsidRDefault="007E7B10" w:rsidP="00CA5176">
                      <w:pPr>
                        <w:pStyle w:val="Obsahrmce"/>
                        <w:spacing w:after="0"/>
                        <w:jc w:val="both"/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</w:pPr>
                      <w:r w:rsidRPr="00B82ED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>Výsledky BIA pro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 preventivní</w:t>
                      </w:r>
                      <w:r w:rsidRPr="00B82ED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 léčbu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 migrén</w:t>
                      </w:r>
                      <w:r w:rsidR="006B0D6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y 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>u</w:t>
                      </w:r>
                      <w:r w:rsidRPr="00B82ED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30 </w:t>
                      </w:r>
                      <w:r w:rsidRPr="00B82ED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>pacient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ů ve 3. linii anti-CGRP mAb za 1. rok </w:t>
                      </w:r>
                      <w:r w:rsidRPr="00CA5176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>při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 předpokládané léčebné </w:t>
                      </w:r>
                      <w:r w:rsidRPr="001254D2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>odpovědi po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 prvních </w:t>
                      </w:r>
                      <w:r w:rsidRPr="001254D2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>12 týdnech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 xml:space="preserve"> u 42 % pacientů</w:t>
                      </w:r>
                      <w:r w:rsidRPr="001254D2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vertAlign w:val="superscript"/>
                        </w:rPr>
                        <w:t>61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</w:rPr>
                        <w:t>při použití LP VYEPTI:</w:t>
                      </w:r>
                    </w:p>
                    <w:p w:rsidR="007E7B10" w:rsidRDefault="007E7B10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>celkový dopad do rozpočtu za 1. rok léčby závisí zejména na míře „náhrady“ jednotlivých LP s anti-CGRP mAb LP VYEPTI,</w:t>
                      </w:r>
                    </w:p>
                    <w:p w:rsidR="007E7B10" w:rsidRDefault="007E7B10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</w:pPr>
                      <w:r w:rsidRPr="00B82ED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nejpravděpodobnější dopad do rozpočtu, 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>při výše uvedených charakteristikách pacientů</w:t>
                      </w:r>
                      <w:r w:rsidRPr="00B82ED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>,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 bude při použití LP VYEPTI </w:t>
                      </w:r>
                      <w:r w:rsidRPr="001F2673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highlight w:val="yellow"/>
                          <w:u w:val="none"/>
                        </w:rPr>
                        <w:t xml:space="preserve">negativní v řádech </w:t>
                      </w:r>
                      <w:r w:rsidR="001F2673" w:rsidRPr="001F2673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highlight w:val="yellow"/>
                          <w:u w:val="none"/>
                        </w:rPr>
                        <w:t>j</w:t>
                      </w:r>
                      <w:r w:rsidRPr="001F2673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highlight w:val="yellow"/>
                          <w:u w:val="none"/>
                        </w:rPr>
                        <w:t>ednotek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 stotisíců Kč navíc (tj. co vynaložíme navíc za 30 léčených pacientů LP VYEPTI za 1. rok léčby při započítávání jen samotných LP s anti-CGRP mAb),</w:t>
                      </w:r>
                    </w:p>
                    <w:p w:rsidR="007E7B10" w:rsidRDefault="007E7B10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>LP VYEPTI je nákladově šetřící jen u pacientů, u kterých bude nahrazen za LP EMGALITY,</w:t>
                      </w:r>
                      <w:r w:rsidRPr="00B82ED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 </w:t>
                      </w:r>
                    </w:p>
                    <w:p w:rsidR="007E7B10" w:rsidRPr="00B154F4" w:rsidRDefault="007E7B10" w:rsidP="0041691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  <w:shd w:val="clear" w:color="auto" w:fill="FFFFFF"/>
                        </w:rPr>
                      </w:pPr>
                      <w:r w:rsidRPr="00B154F4">
                        <w:rPr>
                          <w:b/>
                          <w:sz w:val="25"/>
                          <w:szCs w:val="25"/>
                        </w:rPr>
                        <w:t xml:space="preserve">určitou limitací LP VYEPTI je nemožnost aktuální úhrady vyšší dávky 300 mg, např. </w:t>
                      </w:r>
                      <w:r w:rsidRPr="00B154F4"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</w:rPr>
                        <w:t>dle výsledků 2 publikovaných studií z reálné klinické praxe po 6 měsících užívání v USA</w:t>
                      </w:r>
                      <w:r w:rsidRPr="00B154F4"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  <w:vertAlign w:val="superscript"/>
                        </w:rPr>
                        <w:t>70</w:t>
                      </w:r>
                      <w:r w:rsidRPr="00B154F4"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</w:rPr>
                        <w:t xml:space="preserve"> a SAE</w:t>
                      </w:r>
                      <w:r w:rsidRPr="00B154F4"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  <w:vertAlign w:val="superscript"/>
                        </w:rPr>
                        <w:t xml:space="preserve">71 </w:t>
                      </w:r>
                      <w:r w:rsidRPr="00B154F4"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</w:rPr>
                        <w:t>u kolem 26-29 % pacientů v těchto studiích došlo ke zvýšení dávky ze 100 mg na 300 mg!</w:t>
                      </w:r>
                      <w:r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</w:rPr>
                        <w:t xml:space="preserve"> - v</w:t>
                      </w:r>
                      <w:r w:rsidRPr="00B154F4"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</w:rPr>
                        <w:t>iz Přílohu č. 26</w:t>
                      </w:r>
                      <w:r>
                        <w:rPr>
                          <w:rFonts w:cstheme="minorHAnsi"/>
                          <w:b/>
                          <w:sz w:val="25"/>
                          <w:szCs w:val="25"/>
                          <w:shd w:val="clear" w:color="auto" w:fill="FFFFFF"/>
                        </w:rPr>
                        <w:t xml:space="preserve"> k přehledu pacientů u nichž bude pravděpodobněji nutná vyšší dávka VYEPTI,</w:t>
                      </w:r>
                    </w:p>
                    <w:p w:rsidR="007E7B10" w:rsidRPr="00416911" w:rsidRDefault="007E7B10" w:rsidP="00416911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</w:pP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u pacientů nereagujících dostatečně na léčbu anti-CGRP mAb (viz také Přílohu č. 13) je ve 4. linii nejlépe pak použít (vždy na mimořádnou úhradu) u chronické migrény LP BOTOX (CAVE! je více než 3x levnější než anti-CGRP mAb) a u epizodické pak LP VYDURA (ten je </w:t>
                      </w:r>
                      <w:r w:rsidR="006B0D6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ale 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jen </w:t>
                      </w:r>
                      <w:r w:rsidR="006B0D65"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>mírně</w:t>
                      </w:r>
                      <w:r>
                        <w:rPr>
                          <w:rStyle w:val="Hypertextovodkaz"/>
                          <w:rFonts w:cstheme="minorHAnsi"/>
                          <w:b/>
                          <w:color w:val="auto"/>
                          <w:sz w:val="25"/>
                          <w:szCs w:val="25"/>
                          <w:u w:val="none"/>
                        </w:rPr>
                        <w:t xml:space="preserve"> levnější než anti-CGRP mAb) – viz Přílohy č. 28 a 32.</w:t>
                      </w:r>
                    </w:p>
                    <w:p w:rsidR="007E7B10" w:rsidRPr="00C0081D" w:rsidRDefault="007E7B10">
                      <w:pPr>
                        <w:pStyle w:val="Obsahrmce"/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7E7B10" w:rsidRDefault="007E7B10">
                      <w:pPr>
                        <w:pStyle w:val="Obsahrmce"/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7E7B10" w:rsidRDefault="007E7B10">
                      <w:pPr>
                        <w:pStyle w:val="Obsahrmce"/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7E7B10" w:rsidRDefault="007E7B10">
                      <w:pPr>
                        <w:pStyle w:val="Obsahrmce"/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C3F" w:rsidRDefault="004C4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95" w:rsidRDefault="000C6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95" w:rsidRDefault="000C6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95" w:rsidRDefault="000C6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495" w:rsidRDefault="000C6495">
      <w:pPr>
        <w:spacing w:before="240" w:after="0"/>
        <w:rPr>
          <w:rFonts w:cstheme="minorHAnsi"/>
        </w:rPr>
      </w:pPr>
    </w:p>
    <w:p w:rsidR="000920EA" w:rsidRDefault="000920EA">
      <w:pPr>
        <w:spacing w:before="240" w:after="0"/>
        <w:rPr>
          <w:rFonts w:cstheme="minorHAnsi"/>
        </w:rPr>
      </w:pPr>
    </w:p>
    <w:p w:rsidR="00691CFB" w:rsidRDefault="00691CFB">
      <w:pPr>
        <w:spacing w:before="240" w:after="0"/>
        <w:rPr>
          <w:rFonts w:cstheme="minorHAnsi"/>
        </w:rPr>
      </w:pPr>
    </w:p>
    <w:p w:rsidR="00691CFB" w:rsidRDefault="00691CFB">
      <w:pPr>
        <w:spacing w:before="240" w:after="0"/>
        <w:rPr>
          <w:rFonts w:cstheme="minorHAnsi"/>
        </w:rPr>
      </w:pPr>
    </w:p>
    <w:p w:rsidR="00691CFB" w:rsidRDefault="00691CFB">
      <w:pPr>
        <w:spacing w:before="240" w:after="0"/>
        <w:rPr>
          <w:rFonts w:cstheme="minorHAnsi"/>
        </w:rPr>
      </w:pPr>
    </w:p>
    <w:p w:rsidR="008465BD" w:rsidRDefault="008465BD">
      <w:pPr>
        <w:spacing w:before="240" w:after="0"/>
        <w:rPr>
          <w:rFonts w:cstheme="minorHAnsi"/>
        </w:rPr>
      </w:pPr>
    </w:p>
    <w:p w:rsidR="008465BD" w:rsidRDefault="008465BD" w:rsidP="00C0081D">
      <w:pPr>
        <w:spacing w:after="0"/>
        <w:rPr>
          <w:rFonts w:cstheme="minorHAnsi"/>
          <w:sz w:val="40"/>
          <w:szCs w:val="40"/>
        </w:rPr>
      </w:pPr>
    </w:p>
    <w:p w:rsidR="00F22860" w:rsidRDefault="00F22860" w:rsidP="00C0081D">
      <w:pPr>
        <w:spacing w:after="0"/>
        <w:rPr>
          <w:rFonts w:cstheme="minorHAnsi"/>
          <w:sz w:val="40"/>
          <w:szCs w:val="40"/>
        </w:rPr>
      </w:pPr>
    </w:p>
    <w:p w:rsidR="00F22860" w:rsidRDefault="00F22860" w:rsidP="00C0081D">
      <w:pPr>
        <w:spacing w:after="0"/>
        <w:rPr>
          <w:rFonts w:cstheme="minorHAnsi"/>
          <w:sz w:val="40"/>
          <w:szCs w:val="40"/>
        </w:rPr>
      </w:pPr>
    </w:p>
    <w:p w:rsidR="00F22860" w:rsidRDefault="00F22860" w:rsidP="00C0081D">
      <w:pPr>
        <w:spacing w:after="0"/>
        <w:rPr>
          <w:rFonts w:cstheme="minorHAnsi"/>
          <w:sz w:val="40"/>
          <w:szCs w:val="40"/>
        </w:rPr>
      </w:pPr>
    </w:p>
    <w:p w:rsidR="00F22860" w:rsidRDefault="00F22860" w:rsidP="00C0081D">
      <w:pPr>
        <w:spacing w:after="0"/>
        <w:rPr>
          <w:rFonts w:cstheme="minorHAnsi"/>
          <w:sz w:val="40"/>
          <w:szCs w:val="40"/>
        </w:rPr>
      </w:pPr>
    </w:p>
    <w:p w:rsidR="00F22860" w:rsidRDefault="00F22860" w:rsidP="00C0081D">
      <w:pPr>
        <w:spacing w:after="0"/>
        <w:rPr>
          <w:rFonts w:cstheme="minorHAnsi"/>
          <w:sz w:val="40"/>
          <w:szCs w:val="40"/>
        </w:rPr>
      </w:pPr>
    </w:p>
    <w:p w:rsidR="00805421" w:rsidRDefault="00805421" w:rsidP="00C0081D">
      <w:pPr>
        <w:spacing w:after="0"/>
        <w:rPr>
          <w:rFonts w:cstheme="minorHAnsi"/>
          <w:sz w:val="40"/>
          <w:szCs w:val="40"/>
        </w:rPr>
      </w:pPr>
    </w:p>
    <w:p w:rsidR="00805421" w:rsidRDefault="00805421" w:rsidP="00C0081D">
      <w:pPr>
        <w:spacing w:after="0"/>
        <w:rPr>
          <w:rFonts w:cstheme="minorHAnsi"/>
          <w:sz w:val="40"/>
          <w:szCs w:val="40"/>
        </w:rPr>
      </w:pPr>
    </w:p>
    <w:p w:rsidR="00805421" w:rsidRPr="00B154F4" w:rsidRDefault="00805421" w:rsidP="00C0081D">
      <w:pPr>
        <w:spacing w:after="0"/>
        <w:rPr>
          <w:rFonts w:cstheme="minorHAnsi"/>
          <w:sz w:val="40"/>
          <w:szCs w:val="40"/>
        </w:rPr>
      </w:pPr>
    </w:p>
    <w:p w:rsidR="00C44F98" w:rsidRDefault="00B154F4" w:rsidP="00C0081D">
      <w:pPr>
        <w:spacing w:after="0"/>
        <w:rPr>
          <w:rFonts w:cstheme="minorHAnsi"/>
        </w:rPr>
      </w:pPr>
      <w:r>
        <w:rPr>
          <w:rFonts w:cstheme="minorHAnsi"/>
        </w:rPr>
        <w:t>Z</w:t>
      </w:r>
      <w:r w:rsidR="00611B55">
        <w:rPr>
          <w:rFonts w:cstheme="minorHAnsi"/>
        </w:rPr>
        <w:t xml:space="preserve">pracoval: Mgr. Jaroslav Duda                                                   </w:t>
      </w:r>
      <w:r w:rsidR="00F22860">
        <w:rPr>
          <w:rFonts w:cstheme="minorHAnsi"/>
        </w:rPr>
        <w:t>2. 10.</w:t>
      </w:r>
      <w:r w:rsidR="00611B55">
        <w:rPr>
          <w:rFonts w:cstheme="minorHAnsi"/>
        </w:rPr>
        <w:t xml:space="preserve"> 2023</w:t>
      </w:r>
    </w:p>
    <w:p w:rsidR="00416FC8" w:rsidRDefault="00416FC8">
      <w:pPr>
        <w:spacing w:after="0"/>
        <w:rPr>
          <w:rFonts w:cstheme="minorHAnsi"/>
          <w:u w:val="single"/>
        </w:rPr>
      </w:pPr>
    </w:p>
    <w:p w:rsidR="00805421" w:rsidRDefault="00805421">
      <w:pPr>
        <w:spacing w:after="0"/>
        <w:rPr>
          <w:rFonts w:cstheme="minorHAnsi"/>
          <w:u w:val="single"/>
        </w:rPr>
      </w:pPr>
    </w:p>
    <w:p w:rsidR="00805421" w:rsidRDefault="00805421">
      <w:pPr>
        <w:spacing w:after="0"/>
        <w:rPr>
          <w:rFonts w:cstheme="minorHAnsi"/>
          <w:u w:val="single"/>
        </w:rPr>
      </w:pPr>
    </w:p>
    <w:p w:rsidR="00C44F98" w:rsidRDefault="00611B55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Poznámky a literatura:</w:t>
      </w:r>
    </w:p>
    <w:p w:rsidR="00F22860" w:rsidRDefault="00F22860">
      <w:pPr>
        <w:spacing w:after="0"/>
        <w:rPr>
          <w:rFonts w:cstheme="minorHAnsi"/>
          <w:u w:val="single"/>
        </w:rPr>
      </w:pPr>
    </w:p>
    <w:p w:rsidR="00F22860" w:rsidRPr="00534136" w:rsidRDefault="00F22860" w:rsidP="00F22860">
      <w:pPr>
        <w:pStyle w:val="Default"/>
        <w:jc w:val="both"/>
        <w:rPr>
          <w:rFonts w:asciiTheme="minorHAnsi" w:hAnsiTheme="minorHAnsi"/>
          <w:b/>
        </w:rPr>
      </w:pPr>
      <w:r w:rsidRPr="00534136">
        <w:rPr>
          <w:rFonts w:asciiTheme="minorHAnsi" w:hAnsiTheme="minorHAnsi"/>
          <w:b/>
        </w:rPr>
        <w:t>CAVE! viz původní BIA analýza z</w:t>
      </w:r>
      <w:r>
        <w:rPr>
          <w:rFonts w:asciiTheme="minorHAnsi" w:hAnsiTheme="minorHAnsi"/>
          <w:b/>
        </w:rPr>
        <w:t> </w:t>
      </w:r>
      <w:r w:rsidRPr="00534136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6. 9</w:t>
      </w:r>
      <w:r w:rsidRPr="00534136">
        <w:rPr>
          <w:rFonts w:asciiTheme="minorHAnsi" w:hAnsiTheme="minorHAnsi"/>
          <w:b/>
        </w:rPr>
        <w:t>. 2023!</w:t>
      </w:r>
    </w:p>
    <w:p w:rsidR="00F22860" w:rsidRDefault="00F22860">
      <w:pPr>
        <w:spacing w:after="0"/>
        <w:rPr>
          <w:rFonts w:cstheme="minorHAnsi"/>
          <w:u w:val="single"/>
        </w:rPr>
      </w:pPr>
    </w:p>
    <w:p w:rsidR="00C44F98" w:rsidRDefault="00C44F98">
      <w:pPr>
        <w:spacing w:after="0"/>
        <w:rPr>
          <w:rFonts w:cstheme="minorHAnsi"/>
          <w:sz w:val="10"/>
          <w:szCs w:val="10"/>
          <w:u w:val="single"/>
        </w:rPr>
      </w:pPr>
    </w:p>
    <w:p w:rsidR="00B57356" w:rsidRDefault="00B57356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B57356" w:rsidRDefault="00B57356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B57356" w:rsidRDefault="00B57356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805421" w:rsidRDefault="00805421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805421" w:rsidRDefault="00805421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805421" w:rsidRDefault="00805421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805421" w:rsidRDefault="00805421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805421" w:rsidRDefault="00805421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805421" w:rsidRDefault="00805421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:rsidR="004F56FB" w:rsidRDefault="004F56FB" w:rsidP="001F2673">
      <w:pPr>
        <w:pStyle w:val="Default"/>
        <w:jc w:val="both"/>
        <w:rPr>
          <w:rFonts w:cstheme="minorHAnsi"/>
          <w:b/>
          <w:u w:val="single"/>
        </w:rPr>
      </w:pPr>
    </w:p>
    <w:p w:rsidR="001F2673" w:rsidRPr="001F2673" w:rsidRDefault="00611B55" w:rsidP="001F2673">
      <w:pPr>
        <w:pStyle w:val="Default"/>
        <w:jc w:val="both"/>
        <w:rPr>
          <w:rFonts w:asciiTheme="minorHAnsi" w:hAnsiTheme="minorHAnsi"/>
          <w:b/>
          <w:u w:val="single"/>
        </w:rPr>
      </w:pPr>
      <w:r>
        <w:rPr>
          <w:rFonts w:cstheme="minorHAnsi"/>
          <w:b/>
          <w:u w:val="single"/>
        </w:rPr>
        <w:t>Přílohy</w:t>
      </w:r>
      <w:r w:rsidR="00805421">
        <w:rPr>
          <w:rFonts w:cstheme="minorHAnsi"/>
          <w:b/>
          <w:u w:val="single"/>
        </w:rPr>
        <w:t xml:space="preserve"> </w:t>
      </w:r>
      <w:r w:rsidR="00805421" w:rsidRPr="001F2673">
        <w:rPr>
          <w:rFonts w:cs="Times New Roman"/>
          <w:b/>
          <w:highlight w:val="yellow"/>
          <w:u w:val="single"/>
        </w:rPr>
        <w:t>– aktualizace k 2. 10. 2023</w:t>
      </w:r>
      <w:r w:rsidR="001F2673">
        <w:rPr>
          <w:rFonts w:cstheme="minorHAnsi"/>
          <w:b/>
          <w:u w:val="single"/>
        </w:rPr>
        <w:t xml:space="preserve"> </w:t>
      </w:r>
      <w:r w:rsidR="001F2673" w:rsidRPr="001F2673">
        <w:rPr>
          <w:rFonts w:cstheme="minorHAnsi"/>
          <w:b/>
          <w:u w:val="single"/>
        </w:rPr>
        <w:t>(</w:t>
      </w:r>
      <w:r w:rsidR="001F2673" w:rsidRPr="001F2673">
        <w:rPr>
          <w:rFonts w:asciiTheme="minorHAnsi" w:hAnsiTheme="minorHAnsi"/>
          <w:b/>
          <w:u w:val="single"/>
        </w:rPr>
        <w:t xml:space="preserve">CAVE! </w:t>
      </w:r>
      <w:r w:rsidR="001F2673" w:rsidRPr="001F2673">
        <w:rPr>
          <w:rFonts w:asciiTheme="minorHAnsi" w:hAnsiTheme="minorHAnsi"/>
          <w:b/>
          <w:u w:val="single"/>
        </w:rPr>
        <w:t>ostatní přílohy</w:t>
      </w:r>
      <w:r w:rsidR="001F2673" w:rsidRPr="001F2673">
        <w:rPr>
          <w:rFonts w:asciiTheme="minorHAnsi" w:hAnsiTheme="minorHAnsi"/>
          <w:b/>
          <w:u w:val="single"/>
        </w:rPr>
        <w:t xml:space="preserve"> viz původní FE analýza z 26. 9. 2023!</w:t>
      </w:r>
      <w:r w:rsidR="001F2673" w:rsidRPr="001F2673">
        <w:rPr>
          <w:rFonts w:asciiTheme="minorHAnsi" w:hAnsiTheme="minorHAnsi"/>
          <w:b/>
          <w:u w:val="single"/>
        </w:rPr>
        <w:t>):</w:t>
      </w:r>
    </w:p>
    <w:p w:rsidR="00C44F98" w:rsidRPr="001F2673" w:rsidRDefault="00C44F9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C44F98" w:rsidRDefault="00C44F98">
      <w:pPr>
        <w:spacing w:after="0"/>
        <w:jc w:val="both"/>
        <w:rPr>
          <w:rFonts w:cstheme="minorHAnsi"/>
          <w:b/>
          <w:sz w:val="16"/>
          <w:szCs w:val="16"/>
          <w:u w:val="single"/>
        </w:rPr>
      </w:pPr>
    </w:p>
    <w:p w:rsidR="00084E78" w:rsidRDefault="00084E78" w:rsidP="00CA7DF2">
      <w:pPr>
        <w:spacing w:after="0"/>
        <w:jc w:val="both"/>
      </w:pPr>
    </w:p>
    <w:p w:rsidR="00084E78" w:rsidRDefault="00084E78" w:rsidP="00CA7DF2">
      <w:pPr>
        <w:spacing w:after="0"/>
        <w:jc w:val="both"/>
        <w:rPr>
          <w:rFonts w:cstheme="minorHAnsi"/>
        </w:rPr>
      </w:pPr>
      <w:r w:rsidRPr="000225AA">
        <w:rPr>
          <w:rFonts w:cstheme="minorHAnsi"/>
          <w:b/>
        </w:rPr>
        <w:t xml:space="preserve">Příloha č. </w:t>
      </w:r>
      <w:r>
        <w:rPr>
          <w:rFonts w:cstheme="minorHAnsi"/>
          <w:b/>
        </w:rPr>
        <w:t>32</w:t>
      </w:r>
      <w:r w:rsidRPr="000225AA">
        <w:rPr>
          <w:rFonts w:cstheme="minorHAnsi"/>
          <w:b/>
        </w:rPr>
        <w:t xml:space="preserve">: </w:t>
      </w:r>
      <w:r w:rsidRPr="00084E78">
        <w:rPr>
          <w:color w:val="000000"/>
        </w:rPr>
        <w:t>N</w:t>
      </w:r>
      <w:r w:rsidRPr="00084E78">
        <w:rPr>
          <w:rFonts w:cstheme="minorHAnsi"/>
        </w:rPr>
        <w:t>áklady na preventivní léčbu LP čtvrté linie (viz Přílohu č. 28</w:t>
      </w:r>
      <w:r w:rsidR="00C07121">
        <w:rPr>
          <w:rFonts w:cstheme="minorHAnsi"/>
        </w:rPr>
        <w:t>, tyto přípravky jsou v tabulce barevně zvýrazněny!</w:t>
      </w:r>
      <w:r w:rsidRPr="00084E78">
        <w:rPr>
          <w:rFonts w:cstheme="minorHAnsi"/>
        </w:rPr>
        <w:t>) i ve srovnání s LP třetí linie (tj. monoklonální protilátky proti CGRP – viz výše pozn. 10)</w:t>
      </w:r>
    </w:p>
    <w:p w:rsidR="001D67F7" w:rsidRPr="001D67F7" w:rsidRDefault="001D67F7" w:rsidP="00CA7DF2">
      <w:pPr>
        <w:spacing w:after="0"/>
        <w:jc w:val="both"/>
        <w:rPr>
          <w:sz w:val="6"/>
          <w:szCs w:val="6"/>
        </w:rPr>
      </w:pPr>
    </w:p>
    <w:p w:rsidR="001D67F7" w:rsidRDefault="004F56FB" w:rsidP="00C07121">
      <w:pPr>
        <w:spacing w:after="0"/>
        <w:ind w:left="964"/>
        <w:jc w:val="both"/>
      </w:pPr>
      <w:r>
        <w:rPr>
          <w:noProof/>
        </w:rPr>
        <w:drawing>
          <wp:inline distT="0" distB="0" distL="0" distR="0">
            <wp:extent cx="5314950" cy="5048250"/>
            <wp:effectExtent l="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F7" w:rsidRPr="00084E78" w:rsidRDefault="00C07121" w:rsidP="00CA7DF2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831965" cy="1405890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7F7" w:rsidRPr="00084E78">
      <w:footerReference w:type="default" r:id="rId13"/>
      <w:pgSz w:w="11906" w:h="16838"/>
      <w:pgMar w:top="567" w:right="567" w:bottom="766" w:left="567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6D" w:rsidRDefault="005A746D">
      <w:pPr>
        <w:spacing w:after="0" w:line="240" w:lineRule="auto"/>
      </w:pPr>
      <w:r>
        <w:separator/>
      </w:r>
    </w:p>
  </w:endnote>
  <w:endnote w:type="continuationSeparator" w:id="0">
    <w:p w:rsidR="005A746D" w:rsidRDefault="005A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B10" w:rsidRDefault="004F56FB">
    <w:pPr>
      <w:pStyle w:val="Zpat"/>
    </w:pPr>
    <w:r>
      <w:rPr>
        <w:noProof/>
      </w:rPr>
      <mc:AlternateContent>
        <mc:Choice Requires="wps">
          <w:drawing>
            <wp:anchor distT="635" distB="0" distL="635" distR="0" simplePos="0" relativeHeight="251657728" behindDoc="1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12445" cy="441325"/>
              <wp:effectExtent l="0" t="0" r="0" b="0"/>
              <wp:wrapNone/>
              <wp:docPr id="56" name="Vývojový diagram: alternativní post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8915666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7E7B10" w:rsidRDefault="007E7B10">
                              <w:pPr>
                                <w:pStyle w:val="Zpat"/>
                                <w:pBdr>
                                  <w:top w:val="single" w:sz="12" w:space="1" w:color="A5A5A5"/>
                                  <w:bottom w:val="single" w:sz="48" w:space="1" w:color="A5A5A5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0000"/>
                                  <w:sz w:val="28"/>
                                  <w:szCs w:val="28"/>
                                </w:rPr>
                                <w:t>11</w:t>
                              </w: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21" o:spid="_x0000_s1028" type="#_x0000_t176" style="position:absolute;margin-left:0;margin-top:0;width:40.35pt;height:34.75pt;z-index:-251658752;visibility:visible;mso-wrap-style:square;mso-width-percent:0;mso-height-percent:0;mso-wrap-distance-left:.05pt;mso-wrap-distance-top:.05pt;mso-wrap-distance-right:0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" o:allowincell="f" filled="f" stroked="f" strokeweight="0">
              <v:textbox>
                <w:txbxContent>
                  <w:sdt>
                    <w:sdtPr>
                      <w:id w:val="18915666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7E7B10" w:rsidRDefault="007E7B10">
                        <w:pPr>
                          <w:pStyle w:val="Zpat"/>
                          <w:pBdr>
                            <w:top w:val="single" w:sz="12" w:space="1" w:color="A5A5A5"/>
                            <w:bottom w:val="single" w:sz="48" w:space="1" w:color="A5A5A5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instrText xml:space="preserve"> PAGE </w:instrTex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6D" w:rsidRDefault="005A746D">
      <w:pPr>
        <w:spacing w:after="0" w:line="240" w:lineRule="auto"/>
      </w:pPr>
      <w:r>
        <w:separator/>
      </w:r>
    </w:p>
  </w:footnote>
  <w:footnote w:type="continuationSeparator" w:id="0">
    <w:p w:rsidR="005A746D" w:rsidRDefault="005A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7378"/>
    <w:multiLevelType w:val="multilevel"/>
    <w:tmpl w:val="3754DF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2D07A7"/>
    <w:multiLevelType w:val="multilevel"/>
    <w:tmpl w:val="A9BACC6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3B48CC"/>
    <w:multiLevelType w:val="multilevel"/>
    <w:tmpl w:val="DB3E6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956E6D"/>
    <w:multiLevelType w:val="multilevel"/>
    <w:tmpl w:val="132A84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6183730"/>
    <w:multiLevelType w:val="multilevel"/>
    <w:tmpl w:val="E7EAB6C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43296E"/>
    <w:multiLevelType w:val="multilevel"/>
    <w:tmpl w:val="2BB8A19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8"/>
    <w:rsid w:val="00001B25"/>
    <w:rsid w:val="00002447"/>
    <w:rsid w:val="000074C3"/>
    <w:rsid w:val="00013A79"/>
    <w:rsid w:val="00016D81"/>
    <w:rsid w:val="00016EAE"/>
    <w:rsid w:val="000175CE"/>
    <w:rsid w:val="000225AA"/>
    <w:rsid w:val="00022773"/>
    <w:rsid w:val="00026D87"/>
    <w:rsid w:val="000270E4"/>
    <w:rsid w:val="00035A4F"/>
    <w:rsid w:val="00035E39"/>
    <w:rsid w:val="000412EA"/>
    <w:rsid w:val="0004248B"/>
    <w:rsid w:val="000450E8"/>
    <w:rsid w:val="000455BA"/>
    <w:rsid w:val="00055D71"/>
    <w:rsid w:val="000614D3"/>
    <w:rsid w:val="00063E6E"/>
    <w:rsid w:val="0006429E"/>
    <w:rsid w:val="0006514D"/>
    <w:rsid w:val="00066BC8"/>
    <w:rsid w:val="00067C0A"/>
    <w:rsid w:val="000707F4"/>
    <w:rsid w:val="00071359"/>
    <w:rsid w:val="00073CAC"/>
    <w:rsid w:val="000758BA"/>
    <w:rsid w:val="00076373"/>
    <w:rsid w:val="00077873"/>
    <w:rsid w:val="000817BE"/>
    <w:rsid w:val="00084E78"/>
    <w:rsid w:val="00085674"/>
    <w:rsid w:val="00087C57"/>
    <w:rsid w:val="00087F89"/>
    <w:rsid w:val="000920EA"/>
    <w:rsid w:val="00092159"/>
    <w:rsid w:val="00092D8E"/>
    <w:rsid w:val="000A344F"/>
    <w:rsid w:val="000B3032"/>
    <w:rsid w:val="000C3E5E"/>
    <w:rsid w:val="000C6495"/>
    <w:rsid w:val="000C7942"/>
    <w:rsid w:val="000D27B0"/>
    <w:rsid w:val="000D6219"/>
    <w:rsid w:val="000D77CE"/>
    <w:rsid w:val="000E1F38"/>
    <w:rsid w:val="000E3611"/>
    <w:rsid w:val="000E40EB"/>
    <w:rsid w:val="000E6186"/>
    <w:rsid w:val="000F323C"/>
    <w:rsid w:val="000F3370"/>
    <w:rsid w:val="000F4D3B"/>
    <w:rsid w:val="000F7CB1"/>
    <w:rsid w:val="001026EC"/>
    <w:rsid w:val="00113CFA"/>
    <w:rsid w:val="0011432B"/>
    <w:rsid w:val="00117287"/>
    <w:rsid w:val="001177FB"/>
    <w:rsid w:val="00121480"/>
    <w:rsid w:val="00123582"/>
    <w:rsid w:val="00123ECC"/>
    <w:rsid w:val="001247D5"/>
    <w:rsid w:val="00124CD9"/>
    <w:rsid w:val="00124E5F"/>
    <w:rsid w:val="001254D2"/>
    <w:rsid w:val="00125ADB"/>
    <w:rsid w:val="00125C68"/>
    <w:rsid w:val="001300A8"/>
    <w:rsid w:val="00131B4C"/>
    <w:rsid w:val="0013393F"/>
    <w:rsid w:val="00136630"/>
    <w:rsid w:val="0014020E"/>
    <w:rsid w:val="001431D8"/>
    <w:rsid w:val="001464C9"/>
    <w:rsid w:val="001533D1"/>
    <w:rsid w:val="00154A2A"/>
    <w:rsid w:val="00157A0B"/>
    <w:rsid w:val="00157A9C"/>
    <w:rsid w:val="00163B08"/>
    <w:rsid w:val="001658E2"/>
    <w:rsid w:val="00167FDD"/>
    <w:rsid w:val="00170FB5"/>
    <w:rsid w:val="00173801"/>
    <w:rsid w:val="001741E7"/>
    <w:rsid w:val="0017749A"/>
    <w:rsid w:val="00182EE4"/>
    <w:rsid w:val="00183E87"/>
    <w:rsid w:val="001855C6"/>
    <w:rsid w:val="00190884"/>
    <w:rsid w:val="001922A7"/>
    <w:rsid w:val="00193D06"/>
    <w:rsid w:val="0019475E"/>
    <w:rsid w:val="001948FA"/>
    <w:rsid w:val="00195FEF"/>
    <w:rsid w:val="0019682C"/>
    <w:rsid w:val="001A31BD"/>
    <w:rsid w:val="001A3B91"/>
    <w:rsid w:val="001A40CB"/>
    <w:rsid w:val="001A6E30"/>
    <w:rsid w:val="001B0F5A"/>
    <w:rsid w:val="001B1827"/>
    <w:rsid w:val="001B1DAD"/>
    <w:rsid w:val="001B46CE"/>
    <w:rsid w:val="001B484E"/>
    <w:rsid w:val="001B5120"/>
    <w:rsid w:val="001B716B"/>
    <w:rsid w:val="001C2308"/>
    <w:rsid w:val="001D03FE"/>
    <w:rsid w:val="001D081E"/>
    <w:rsid w:val="001D0B80"/>
    <w:rsid w:val="001D1E97"/>
    <w:rsid w:val="001D2414"/>
    <w:rsid w:val="001D2F1C"/>
    <w:rsid w:val="001D67F7"/>
    <w:rsid w:val="001D7B7B"/>
    <w:rsid w:val="001E0138"/>
    <w:rsid w:val="001E7007"/>
    <w:rsid w:val="001F0ADB"/>
    <w:rsid w:val="001F0F26"/>
    <w:rsid w:val="001F2673"/>
    <w:rsid w:val="001F3BB0"/>
    <w:rsid w:val="001F6605"/>
    <w:rsid w:val="001F736B"/>
    <w:rsid w:val="002015F0"/>
    <w:rsid w:val="002062B4"/>
    <w:rsid w:val="00207AF2"/>
    <w:rsid w:val="00210553"/>
    <w:rsid w:val="002152BC"/>
    <w:rsid w:val="00215F2A"/>
    <w:rsid w:val="002165B5"/>
    <w:rsid w:val="00220647"/>
    <w:rsid w:val="002218C3"/>
    <w:rsid w:val="00225B50"/>
    <w:rsid w:val="00225FD5"/>
    <w:rsid w:val="00231321"/>
    <w:rsid w:val="00231AA0"/>
    <w:rsid w:val="00234B2C"/>
    <w:rsid w:val="002355BB"/>
    <w:rsid w:val="00235BFC"/>
    <w:rsid w:val="00240B7E"/>
    <w:rsid w:val="002477CC"/>
    <w:rsid w:val="00251522"/>
    <w:rsid w:val="00252607"/>
    <w:rsid w:val="00254C1C"/>
    <w:rsid w:val="00254D74"/>
    <w:rsid w:val="0025526B"/>
    <w:rsid w:val="00256908"/>
    <w:rsid w:val="00260C00"/>
    <w:rsid w:val="00264CE0"/>
    <w:rsid w:val="00265D3C"/>
    <w:rsid w:val="0026783E"/>
    <w:rsid w:val="002738E2"/>
    <w:rsid w:val="0027429A"/>
    <w:rsid w:val="002742D5"/>
    <w:rsid w:val="002849A2"/>
    <w:rsid w:val="00290582"/>
    <w:rsid w:val="0029075E"/>
    <w:rsid w:val="00291C4E"/>
    <w:rsid w:val="002920AB"/>
    <w:rsid w:val="00292913"/>
    <w:rsid w:val="002A09E0"/>
    <w:rsid w:val="002A24A4"/>
    <w:rsid w:val="002A2F09"/>
    <w:rsid w:val="002A3F3E"/>
    <w:rsid w:val="002A441C"/>
    <w:rsid w:val="002A5110"/>
    <w:rsid w:val="002A5442"/>
    <w:rsid w:val="002A5E3A"/>
    <w:rsid w:val="002A6632"/>
    <w:rsid w:val="002A6B8F"/>
    <w:rsid w:val="002B14AD"/>
    <w:rsid w:val="002B1D56"/>
    <w:rsid w:val="002B23B4"/>
    <w:rsid w:val="002C01D2"/>
    <w:rsid w:val="002C02B0"/>
    <w:rsid w:val="002C2496"/>
    <w:rsid w:val="002C5C34"/>
    <w:rsid w:val="002C6799"/>
    <w:rsid w:val="002D0A06"/>
    <w:rsid w:val="002D29BA"/>
    <w:rsid w:val="002E168C"/>
    <w:rsid w:val="002E22D1"/>
    <w:rsid w:val="002E4201"/>
    <w:rsid w:val="002E4A12"/>
    <w:rsid w:val="002E4FAC"/>
    <w:rsid w:val="002F0B06"/>
    <w:rsid w:val="002F11FD"/>
    <w:rsid w:val="002F22AE"/>
    <w:rsid w:val="002F518B"/>
    <w:rsid w:val="002F6074"/>
    <w:rsid w:val="00303163"/>
    <w:rsid w:val="003113CF"/>
    <w:rsid w:val="00311C12"/>
    <w:rsid w:val="0031222F"/>
    <w:rsid w:val="003134A5"/>
    <w:rsid w:val="003142F2"/>
    <w:rsid w:val="003151EA"/>
    <w:rsid w:val="003174FA"/>
    <w:rsid w:val="00321315"/>
    <w:rsid w:val="0032312D"/>
    <w:rsid w:val="003245BB"/>
    <w:rsid w:val="00335881"/>
    <w:rsid w:val="00337B34"/>
    <w:rsid w:val="0034249F"/>
    <w:rsid w:val="0034368A"/>
    <w:rsid w:val="00344C39"/>
    <w:rsid w:val="003566D4"/>
    <w:rsid w:val="00360ACF"/>
    <w:rsid w:val="003611E4"/>
    <w:rsid w:val="0036392D"/>
    <w:rsid w:val="00364540"/>
    <w:rsid w:val="00364AC1"/>
    <w:rsid w:val="00365E9F"/>
    <w:rsid w:val="0036614C"/>
    <w:rsid w:val="00370FD2"/>
    <w:rsid w:val="003724BD"/>
    <w:rsid w:val="00372B39"/>
    <w:rsid w:val="00376C9E"/>
    <w:rsid w:val="00381150"/>
    <w:rsid w:val="003818CC"/>
    <w:rsid w:val="00382248"/>
    <w:rsid w:val="00382B90"/>
    <w:rsid w:val="003837C2"/>
    <w:rsid w:val="003847AB"/>
    <w:rsid w:val="003859B2"/>
    <w:rsid w:val="00386725"/>
    <w:rsid w:val="00390273"/>
    <w:rsid w:val="00392635"/>
    <w:rsid w:val="003A1FA5"/>
    <w:rsid w:val="003A34C5"/>
    <w:rsid w:val="003A3F14"/>
    <w:rsid w:val="003B34A5"/>
    <w:rsid w:val="003B6BEE"/>
    <w:rsid w:val="003C1A06"/>
    <w:rsid w:val="003C2728"/>
    <w:rsid w:val="003C3A20"/>
    <w:rsid w:val="003C6D71"/>
    <w:rsid w:val="003E1341"/>
    <w:rsid w:val="003E246A"/>
    <w:rsid w:val="003E42D2"/>
    <w:rsid w:val="003E44F1"/>
    <w:rsid w:val="003E66E6"/>
    <w:rsid w:val="003E69EA"/>
    <w:rsid w:val="003F1C34"/>
    <w:rsid w:val="003F599E"/>
    <w:rsid w:val="00401AB3"/>
    <w:rsid w:val="004020D3"/>
    <w:rsid w:val="0040549D"/>
    <w:rsid w:val="00411119"/>
    <w:rsid w:val="0041184E"/>
    <w:rsid w:val="00414235"/>
    <w:rsid w:val="00415750"/>
    <w:rsid w:val="004165A4"/>
    <w:rsid w:val="00416911"/>
    <w:rsid w:val="00416ED0"/>
    <w:rsid w:val="00416FC8"/>
    <w:rsid w:val="00417C32"/>
    <w:rsid w:val="0042062C"/>
    <w:rsid w:val="00423035"/>
    <w:rsid w:val="00423912"/>
    <w:rsid w:val="00426677"/>
    <w:rsid w:val="00430D42"/>
    <w:rsid w:val="004324EA"/>
    <w:rsid w:val="00432B95"/>
    <w:rsid w:val="00436A39"/>
    <w:rsid w:val="004376A4"/>
    <w:rsid w:val="00442470"/>
    <w:rsid w:val="00443515"/>
    <w:rsid w:val="00445A6D"/>
    <w:rsid w:val="00446797"/>
    <w:rsid w:val="00451C10"/>
    <w:rsid w:val="00457D3E"/>
    <w:rsid w:val="004629F1"/>
    <w:rsid w:val="004632C4"/>
    <w:rsid w:val="0046439B"/>
    <w:rsid w:val="0046443D"/>
    <w:rsid w:val="004672A1"/>
    <w:rsid w:val="004700EE"/>
    <w:rsid w:val="00470969"/>
    <w:rsid w:val="00471D96"/>
    <w:rsid w:val="004769F8"/>
    <w:rsid w:val="004806EB"/>
    <w:rsid w:val="00484C50"/>
    <w:rsid w:val="004871D0"/>
    <w:rsid w:val="00494056"/>
    <w:rsid w:val="0049633C"/>
    <w:rsid w:val="004A0575"/>
    <w:rsid w:val="004A1B9C"/>
    <w:rsid w:val="004A1FED"/>
    <w:rsid w:val="004A293E"/>
    <w:rsid w:val="004A43D7"/>
    <w:rsid w:val="004A4EC8"/>
    <w:rsid w:val="004A7B76"/>
    <w:rsid w:val="004B01C2"/>
    <w:rsid w:val="004B037C"/>
    <w:rsid w:val="004B1D4B"/>
    <w:rsid w:val="004B4732"/>
    <w:rsid w:val="004B4BAD"/>
    <w:rsid w:val="004B6341"/>
    <w:rsid w:val="004B70D4"/>
    <w:rsid w:val="004B7983"/>
    <w:rsid w:val="004B7CA6"/>
    <w:rsid w:val="004C0D3F"/>
    <w:rsid w:val="004C495E"/>
    <w:rsid w:val="004C4C3F"/>
    <w:rsid w:val="004C56E1"/>
    <w:rsid w:val="004C56E6"/>
    <w:rsid w:val="004D1D2E"/>
    <w:rsid w:val="004D2EEF"/>
    <w:rsid w:val="004D3455"/>
    <w:rsid w:val="004D3BEC"/>
    <w:rsid w:val="004D60CC"/>
    <w:rsid w:val="004D63ED"/>
    <w:rsid w:val="004E171D"/>
    <w:rsid w:val="004E17F4"/>
    <w:rsid w:val="004E3640"/>
    <w:rsid w:val="004E36A0"/>
    <w:rsid w:val="004E5543"/>
    <w:rsid w:val="004E73A9"/>
    <w:rsid w:val="004E74C6"/>
    <w:rsid w:val="004F3525"/>
    <w:rsid w:val="004F56FB"/>
    <w:rsid w:val="004F5911"/>
    <w:rsid w:val="004F6A4A"/>
    <w:rsid w:val="004F7705"/>
    <w:rsid w:val="00500437"/>
    <w:rsid w:val="00500B7F"/>
    <w:rsid w:val="005035F2"/>
    <w:rsid w:val="00503CF5"/>
    <w:rsid w:val="00503DE5"/>
    <w:rsid w:val="00503F5B"/>
    <w:rsid w:val="00507583"/>
    <w:rsid w:val="005149B2"/>
    <w:rsid w:val="005155B6"/>
    <w:rsid w:val="00516A82"/>
    <w:rsid w:val="005206D5"/>
    <w:rsid w:val="00521765"/>
    <w:rsid w:val="00534974"/>
    <w:rsid w:val="00534B7A"/>
    <w:rsid w:val="00537832"/>
    <w:rsid w:val="00540D95"/>
    <w:rsid w:val="005418F4"/>
    <w:rsid w:val="00544DAF"/>
    <w:rsid w:val="0054608E"/>
    <w:rsid w:val="00546806"/>
    <w:rsid w:val="00546E2B"/>
    <w:rsid w:val="00546ED5"/>
    <w:rsid w:val="005502A4"/>
    <w:rsid w:val="005505E2"/>
    <w:rsid w:val="00551BC2"/>
    <w:rsid w:val="005543C4"/>
    <w:rsid w:val="00555B47"/>
    <w:rsid w:val="0055714E"/>
    <w:rsid w:val="0056163B"/>
    <w:rsid w:val="00562F63"/>
    <w:rsid w:val="0056311F"/>
    <w:rsid w:val="00563F37"/>
    <w:rsid w:val="00566E8C"/>
    <w:rsid w:val="005671FC"/>
    <w:rsid w:val="00567907"/>
    <w:rsid w:val="005715A9"/>
    <w:rsid w:val="005718B4"/>
    <w:rsid w:val="005724D9"/>
    <w:rsid w:val="00573A96"/>
    <w:rsid w:val="005777C7"/>
    <w:rsid w:val="0059094B"/>
    <w:rsid w:val="00591A48"/>
    <w:rsid w:val="00594706"/>
    <w:rsid w:val="005978E2"/>
    <w:rsid w:val="005A0A74"/>
    <w:rsid w:val="005A0F20"/>
    <w:rsid w:val="005A2AF4"/>
    <w:rsid w:val="005A3BFF"/>
    <w:rsid w:val="005A5AA0"/>
    <w:rsid w:val="005A5D1C"/>
    <w:rsid w:val="005A637B"/>
    <w:rsid w:val="005A746D"/>
    <w:rsid w:val="005A7C0F"/>
    <w:rsid w:val="005A7C4F"/>
    <w:rsid w:val="005B386F"/>
    <w:rsid w:val="005B3956"/>
    <w:rsid w:val="005B4358"/>
    <w:rsid w:val="005B7130"/>
    <w:rsid w:val="005C0491"/>
    <w:rsid w:val="005C245B"/>
    <w:rsid w:val="005C639B"/>
    <w:rsid w:val="005C747F"/>
    <w:rsid w:val="005D0225"/>
    <w:rsid w:val="005D2F92"/>
    <w:rsid w:val="005D3EEB"/>
    <w:rsid w:val="005D56A3"/>
    <w:rsid w:val="005D709F"/>
    <w:rsid w:val="005D7946"/>
    <w:rsid w:val="005E0475"/>
    <w:rsid w:val="005E32FF"/>
    <w:rsid w:val="005E7E7D"/>
    <w:rsid w:val="005F0585"/>
    <w:rsid w:val="005F2D4B"/>
    <w:rsid w:val="005F3A04"/>
    <w:rsid w:val="005F44D3"/>
    <w:rsid w:val="005F56B0"/>
    <w:rsid w:val="005F5DD3"/>
    <w:rsid w:val="00600987"/>
    <w:rsid w:val="006009E9"/>
    <w:rsid w:val="006016F2"/>
    <w:rsid w:val="00610F4E"/>
    <w:rsid w:val="006116AC"/>
    <w:rsid w:val="00611B55"/>
    <w:rsid w:val="006137FC"/>
    <w:rsid w:val="00613859"/>
    <w:rsid w:val="006138CA"/>
    <w:rsid w:val="00630E5A"/>
    <w:rsid w:val="006313C1"/>
    <w:rsid w:val="00633702"/>
    <w:rsid w:val="00636040"/>
    <w:rsid w:val="00636227"/>
    <w:rsid w:val="006362FC"/>
    <w:rsid w:val="006450C1"/>
    <w:rsid w:val="00646988"/>
    <w:rsid w:val="00647EAA"/>
    <w:rsid w:val="00656D60"/>
    <w:rsid w:val="006618B5"/>
    <w:rsid w:val="006643DE"/>
    <w:rsid w:val="006672BE"/>
    <w:rsid w:val="0066760A"/>
    <w:rsid w:val="00671D20"/>
    <w:rsid w:val="00680279"/>
    <w:rsid w:val="0068167B"/>
    <w:rsid w:val="006828C2"/>
    <w:rsid w:val="00684976"/>
    <w:rsid w:val="006852BA"/>
    <w:rsid w:val="006876F7"/>
    <w:rsid w:val="0068778F"/>
    <w:rsid w:val="00691CFB"/>
    <w:rsid w:val="00691E47"/>
    <w:rsid w:val="00692242"/>
    <w:rsid w:val="00693E15"/>
    <w:rsid w:val="00694D38"/>
    <w:rsid w:val="00697721"/>
    <w:rsid w:val="006A1026"/>
    <w:rsid w:val="006A6B10"/>
    <w:rsid w:val="006A789A"/>
    <w:rsid w:val="006A7E0D"/>
    <w:rsid w:val="006B0756"/>
    <w:rsid w:val="006B0D65"/>
    <w:rsid w:val="006B1998"/>
    <w:rsid w:val="006B2CA6"/>
    <w:rsid w:val="006B6347"/>
    <w:rsid w:val="006C04CF"/>
    <w:rsid w:val="006C10CB"/>
    <w:rsid w:val="006C22AB"/>
    <w:rsid w:val="006C23DE"/>
    <w:rsid w:val="006C2A29"/>
    <w:rsid w:val="006C3C0B"/>
    <w:rsid w:val="006D2A34"/>
    <w:rsid w:val="006D3B86"/>
    <w:rsid w:val="006E0EFF"/>
    <w:rsid w:val="006E2447"/>
    <w:rsid w:val="006E2609"/>
    <w:rsid w:val="006E55C4"/>
    <w:rsid w:val="006E5993"/>
    <w:rsid w:val="006E7442"/>
    <w:rsid w:val="006F34ED"/>
    <w:rsid w:val="006F411C"/>
    <w:rsid w:val="006F5844"/>
    <w:rsid w:val="006F638C"/>
    <w:rsid w:val="00700ECF"/>
    <w:rsid w:val="00706C72"/>
    <w:rsid w:val="00712034"/>
    <w:rsid w:val="00714014"/>
    <w:rsid w:val="00716C30"/>
    <w:rsid w:val="007260B5"/>
    <w:rsid w:val="00726343"/>
    <w:rsid w:val="00726623"/>
    <w:rsid w:val="00726A81"/>
    <w:rsid w:val="007327D6"/>
    <w:rsid w:val="007331EF"/>
    <w:rsid w:val="00733E19"/>
    <w:rsid w:val="00734682"/>
    <w:rsid w:val="00740D42"/>
    <w:rsid w:val="0074264C"/>
    <w:rsid w:val="00743B6A"/>
    <w:rsid w:val="00743D75"/>
    <w:rsid w:val="00745DEC"/>
    <w:rsid w:val="00745EE7"/>
    <w:rsid w:val="0074675E"/>
    <w:rsid w:val="007469CE"/>
    <w:rsid w:val="00746CEC"/>
    <w:rsid w:val="007500EE"/>
    <w:rsid w:val="00750A7F"/>
    <w:rsid w:val="00751214"/>
    <w:rsid w:val="007537C4"/>
    <w:rsid w:val="007558D6"/>
    <w:rsid w:val="0075627C"/>
    <w:rsid w:val="007563E4"/>
    <w:rsid w:val="00761670"/>
    <w:rsid w:val="0076360E"/>
    <w:rsid w:val="00764E6C"/>
    <w:rsid w:val="00766536"/>
    <w:rsid w:val="00772BD1"/>
    <w:rsid w:val="00772F48"/>
    <w:rsid w:val="00773FC3"/>
    <w:rsid w:val="00774BF2"/>
    <w:rsid w:val="00774F6F"/>
    <w:rsid w:val="007774DB"/>
    <w:rsid w:val="00781919"/>
    <w:rsid w:val="007825AD"/>
    <w:rsid w:val="007838B3"/>
    <w:rsid w:val="00783D32"/>
    <w:rsid w:val="007841DA"/>
    <w:rsid w:val="00784F12"/>
    <w:rsid w:val="00785E10"/>
    <w:rsid w:val="0079226F"/>
    <w:rsid w:val="00792ECE"/>
    <w:rsid w:val="0079478B"/>
    <w:rsid w:val="00794790"/>
    <w:rsid w:val="007951AE"/>
    <w:rsid w:val="007A118B"/>
    <w:rsid w:val="007A3E96"/>
    <w:rsid w:val="007A40C6"/>
    <w:rsid w:val="007A7B21"/>
    <w:rsid w:val="007A7C79"/>
    <w:rsid w:val="007B318C"/>
    <w:rsid w:val="007B4210"/>
    <w:rsid w:val="007C0A73"/>
    <w:rsid w:val="007C6015"/>
    <w:rsid w:val="007C7081"/>
    <w:rsid w:val="007C74F4"/>
    <w:rsid w:val="007C766D"/>
    <w:rsid w:val="007D4D51"/>
    <w:rsid w:val="007D66B1"/>
    <w:rsid w:val="007D6FF2"/>
    <w:rsid w:val="007D7EAF"/>
    <w:rsid w:val="007E6548"/>
    <w:rsid w:val="007E6959"/>
    <w:rsid w:val="007E7B10"/>
    <w:rsid w:val="007F2EB7"/>
    <w:rsid w:val="007F4A35"/>
    <w:rsid w:val="007F5400"/>
    <w:rsid w:val="007F5655"/>
    <w:rsid w:val="00802C46"/>
    <w:rsid w:val="00804799"/>
    <w:rsid w:val="00805421"/>
    <w:rsid w:val="00806AC4"/>
    <w:rsid w:val="0080799B"/>
    <w:rsid w:val="00807BD8"/>
    <w:rsid w:val="0081093C"/>
    <w:rsid w:val="008110A5"/>
    <w:rsid w:val="00815551"/>
    <w:rsid w:val="0081682D"/>
    <w:rsid w:val="008213AF"/>
    <w:rsid w:val="008221BE"/>
    <w:rsid w:val="008232A5"/>
    <w:rsid w:val="00823C37"/>
    <w:rsid w:val="0083208A"/>
    <w:rsid w:val="0083345C"/>
    <w:rsid w:val="00833F8B"/>
    <w:rsid w:val="0083471F"/>
    <w:rsid w:val="00836E5D"/>
    <w:rsid w:val="00837FA6"/>
    <w:rsid w:val="008408D2"/>
    <w:rsid w:val="00842192"/>
    <w:rsid w:val="008465BD"/>
    <w:rsid w:val="00847DC5"/>
    <w:rsid w:val="00853D5D"/>
    <w:rsid w:val="00854654"/>
    <w:rsid w:val="00855FB7"/>
    <w:rsid w:val="00857F8F"/>
    <w:rsid w:val="00864C9B"/>
    <w:rsid w:val="0086646C"/>
    <w:rsid w:val="008719DB"/>
    <w:rsid w:val="00872EC1"/>
    <w:rsid w:val="00873AB4"/>
    <w:rsid w:val="00874222"/>
    <w:rsid w:val="008773E5"/>
    <w:rsid w:val="0087773B"/>
    <w:rsid w:val="00881103"/>
    <w:rsid w:val="00882647"/>
    <w:rsid w:val="00882A0C"/>
    <w:rsid w:val="00882FCC"/>
    <w:rsid w:val="008841A6"/>
    <w:rsid w:val="00886714"/>
    <w:rsid w:val="00886A3B"/>
    <w:rsid w:val="008873DA"/>
    <w:rsid w:val="008A3AA1"/>
    <w:rsid w:val="008A687A"/>
    <w:rsid w:val="008A70E4"/>
    <w:rsid w:val="008B2326"/>
    <w:rsid w:val="008C105E"/>
    <w:rsid w:val="008C16D5"/>
    <w:rsid w:val="008C2B1E"/>
    <w:rsid w:val="008C530F"/>
    <w:rsid w:val="008C6628"/>
    <w:rsid w:val="008C6E93"/>
    <w:rsid w:val="008D077A"/>
    <w:rsid w:val="008D5961"/>
    <w:rsid w:val="008D5B1D"/>
    <w:rsid w:val="008D762E"/>
    <w:rsid w:val="008D7D0D"/>
    <w:rsid w:val="008E45D5"/>
    <w:rsid w:val="008E4FF5"/>
    <w:rsid w:val="008E5955"/>
    <w:rsid w:val="008E68F6"/>
    <w:rsid w:val="008F2361"/>
    <w:rsid w:val="008F3888"/>
    <w:rsid w:val="008F4C93"/>
    <w:rsid w:val="008F5EA7"/>
    <w:rsid w:val="008F6062"/>
    <w:rsid w:val="00901F52"/>
    <w:rsid w:val="0090269A"/>
    <w:rsid w:val="009123CC"/>
    <w:rsid w:val="00915697"/>
    <w:rsid w:val="00926E7D"/>
    <w:rsid w:val="00926F99"/>
    <w:rsid w:val="00930FDC"/>
    <w:rsid w:val="00936000"/>
    <w:rsid w:val="00936160"/>
    <w:rsid w:val="00936B2F"/>
    <w:rsid w:val="009414FD"/>
    <w:rsid w:val="00941C8C"/>
    <w:rsid w:val="009465DF"/>
    <w:rsid w:val="009466AC"/>
    <w:rsid w:val="00947451"/>
    <w:rsid w:val="009555F2"/>
    <w:rsid w:val="00956A5D"/>
    <w:rsid w:val="00957F9E"/>
    <w:rsid w:val="00963BA9"/>
    <w:rsid w:val="00964FAC"/>
    <w:rsid w:val="00966215"/>
    <w:rsid w:val="00966E3C"/>
    <w:rsid w:val="00967AD8"/>
    <w:rsid w:val="00970C88"/>
    <w:rsid w:val="00974A03"/>
    <w:rsid w:val="00974B0B"/>
    <w:rsid w:val="009768A7"/>
    <w:rsid w:val="0097734F"/>
    <w:rsid w:val="00977E57"/>
    <w:rsid w:val="009803AE"/>
    <w:rsid w:val="00983145"/>
    <w:rsid w:val="00992E13"/>
    <w:rsid w:val="00993C8A"/>
    <w:rsid w:val="0099602D"/>
    <w:rsid w:val="00996CD0"/>
    <w:rsid w:val="00996CD6"/>
    <w:rsid w:val="009A264A"/>
    <w:rsid w:val="009A311E"/>
    <w:rsid w:val="009A5537"/>
    <w:rsid w:val="009A631F"/>
    <w:rsid w:val="009A795E"/>
    <w:rsid w:val="009A7D41"/>
    <w:rsid w:val="009B1681"/>
    <w:rsid w:val="009B19A5"/>
    <w:rsid w:val="009B1D44"/>
    <w:rsid w:val="009B350B"/>
    <w:rsid w:val="009B5550"/>
    <w:rsid w:val="009C214F"/>
    <w:rsid w:val="009C3266"/>
    <w:rsid w:val="009C418B"/>
    <w:rsid w:val="009C59AA"/>
    <w:rsid w:val="009D0114"/>
    <w:rsid w:val="009D3147"/>
    <w:rsid w:val="009D7457"/>
    <w:rsid w:val="009E179C"/>
    <w:rsid w:val="009E26B7"/>
    <w:rsid w:val="009E2B8D"/>
    <w:rsid w:val="009E41A8"/>
    <w:rsid w:val="009E5470"/>
    <w:rsid w:val="009E57ED"/>
    <w:rsid w:val="00A00363"/>
    <w:rsid w:val="00A01FC4"/>
    <w:rsid w:val="00A03573"/>
    <w:rsid w:val="00A04E3D"/>
    <w:rsid w:val="00A06162"/>
    <w:rsid w:val="00A06B8B"/>
    <w:rsid w:val="00A07C54"/>
    <w:rsid w:val="00A07ED2"/>
    <w:rsid w:val="00A1081A"/>
    <w:rsid w:val="00A14715"/>
    <w:rsid w:val="00A149F8"/>
    <w:rsid w:val="00A15E08"/>
    <w:rsid w:val="00A21725"/>
    <w:rsid w:val="00A2241C"/>
    <w:rsid w:val="00A22BAA"/>
    <w:rsid w:val="00A22E07"/>
    <w:rsid w:val="00A25EFB"/>
    <w:rsid w:val="00A3562C"/>
    <w:rsid w:val="00A3667E"/>
    <w:rsid w:val="00A36CA2"/>
    <w:rsid w:val="00A42676"/>
    <w:rsid w:val="00A427D0"/>
    <w:rsid w:val="00A43728"/>
    <w:rsid w:val="00A44BD9"/>
    <w:rsid w:val="00A471CB"/>
    <w:rsid w:val="00A471F7"/>
    <w:rsid w:val="00A62D3E"/>
    <w:rsid w:val="00A65E2D"/>
    <w:rsid w:val="00A7062E"/>
    <w:rsid w:val="00A73A79"/>
    <w:rsid w:val="00A750EC"/>
    <w:rsid w:val="00A76491"/>
    <w:rsid w:val="00A81431"/>
    <w:rsid w:val="00A814D9"/>
    <w:rsid w:val="00A8363B"/>
    <w:rsid w:val="00A90253"/>
    <w:rsid w:val="00A933B2"/>
    <w:rsid w:val="00A9444D"/>
    <w:rsid w:val="00A96EE7"/>
    <w:rsid w:val="00AA640A"/>
    <w:rsid w:val="00AA6727"/>
    <w:rsid w:val="00AA7C47"/>
    <w:rsid w:val="00AA7DD7"/>
    <w:rsid w:val="00AB09FE"/>
    <w:rsid w:val="00AB1805"/>
    <w:rsid w:val="00AB3483"/>
    <w:rsid w:val="00AB630B"/>
    <w:rsid w:val="00AC555F"/>
    <w:rsid w:val="00AD05F5"/>
    <w:rsid w:val="00AD0879"/>
    <w:rsid w:val="00AD0991"/>
    <w:rsid w:val="00AD0D86"/>
    <w:rsid w:val="00AD2BAA"/>
    <w:rsid w:val="00AD3FCB"/>
    <w:rsid w:val="00AD7E9E"/>
    <w:rsid w:val="00AD7F43"/>
    <w:rsid w:val="00AE06E2"/>
    <w:rsid w:val="00AE13E9"/>
    <w:rsid w:val="00AE2007"/>
    <w:rsid w:val="00AE2C75"/>
    <w:rsid w:val="00AE3A6C"/>
    <w:rsid w:val="00AE67A9"/>
    <w:rsid w:val="00AF0B5D"/>
    <w:rsid w:val="00AF0E62"/>
    <w:rsid w:val="00AF1602"/>
    <w:rsid w:val="00AF5CB5"/>
    <w:rsid w:val="00AF747A"/>
    <w:rsid w:val="00B021BB"/>
    <w:rsid w:val="00B04E4E"/>
    <w:rsid w:val="00B05B46"/>
    <w:rsid w:val="00B065D0"/>
    <w:rsid w:val="00B07878"/>
    <w:rsid w:val="00B117BF"/>
    <w:rsid w:val="00B154F4"/>
    <w:rsid w:val="00B2052B"/>
    <w:rsid w:val="00B24052"/>
    <w:rsid w:val="00B25A2E"/>
    <w:rsid w:val="00B264AE"/>
    <w:rsid w:val="00B31B7F"/>
    <w:rsid w:val="00B34920"/>
    <w:rsid w:val="00B37770"/>
    <w:rsid w:val="00B378E7"/>
    <w:rsid w:val="00B445CF"/>
    <w:rsid w:val="00B44C6D"/>
    <w:rsid w:val="00B46391"/>
    <w:rsid w:val="00B47043"/>
    <w:rsid w:val="00B4706D"/>
    <w:rsid w:val="00B470EC"/>
    <w:rsid w:val="00B50352"/>
    <w:rsid w:val="00B509C2"/>
    <w:rsid w:val="00B5130C"/>
    <w:rsid w:val="00B515F4"/>
    <w:rsid w:val="00B5525C"/>
    <w:rsid w:val="00B5560F"/>
    <w:rsid w:val="00B560C1"/>
    <w:rsid w:val="00B568A1"/>
    <w:rsid w:val="00B571E1"/>
    <w:rsid w:val="00B57356"/>
    <w:rsid w:val="00B57BDB"/>
    <w:rsid w:val="00B623DC"/>
    <w:rsid w:val="00B62AEF"/>
    <w:rsid w:val="00B640B9"/>
    <w:rsid w:val="00B657E2"/>
    <w:rsid w:val="00B67C88"/>
    <w:rsid w:val="00B70D56"/>
    <w:rsid w:val="00B733F7"/>
    <w:rsid w:val="00B825E8"/>
    <w:rsid w:val="00B82E63"/>
    <w:rsid w:val="00B82ED5"/>
    <w:rsid w:val="00B846DE"/>
    <w:rsid w:val="00B9043D"/>
    <w:rsid w:val="00B90C31"/>
    <w:rsid w:val="00B91A9F"/>
    <w:rsid w:val="00B91F67"/>
    <w:rsid w:val="00B94405"/>
    <w:rsid w:val="00B94481"/>
    <w:rsid w:val="00B94E35"/>
    <w:rsid w:val="00B97BA9"/>
    <w:rsid w:val="00BA0741"/>
    <w:rsid w:val="00BA1A5A"/>
    <w:rsid w:val="00BA439C"/>
    <w:rsid w:val="00BA7202"/>
    <w:rsid w:val="00BB0762"/>
    <w:rsid w:val="00BB088F"/>
    <w:rsid w:val="00BB5409"/>
    <w:rsid w:val="00BB5862"/>
    <w:rsid w:val="00BB5A0F"/>
    <w:rsid w:val="00BB5B90"/>
    <w:rsid w:val="00BB7685"/>
    <w:rsid w:val="00BC0375"/>
    <w:rsid w:val="00BC11C7"/>
    <w:rsid w:val="00BC4CD3"/>
    <w:rsid w:val="00BC659F"/>
    <w:rsid w:val="00BD049F"/>
    <w:rsid w:val="00BD08D2"/>
    <w:rsid w:val="00BD0ECB"/>
    <w:rsid w:val="00BD1E36"/>
    <w:rsid w:val="00BE3523"/>
    <w:rsid w:val="00BE35A8"/>
    <w:rsid w:val="00BF0983"/>
    <w:rsid w:val="00BF3265"/>
    <w:rsid w:val="00C0081D"/>
    <w:rsid w:val="00C00D24"/>
    <w:rsid w:val="00C01521"/>
    <w:rsid w:val="00C017CB"/>
    <w:rsid w:val="00C03C99"/>
    <w:rsid w:val="00C05419"/>
    <w:rsid w:val="00C05870"/>
    <w:rsid w:val="00C05EFF"/>
    <w:rsid w:val="00C07121"/>
    <w:rsid w:val="00C2068F"/>
    <w:rsid w:val="00C25628"/>
    <w:rsid w:val="00C2588B"/>
    <w:rsid w:val="00C262A5"/>
    <w:rsid w:val="00C32A89"/>
    <w:rsid w:val="00C35093"/>
    <w:rsid w:val="00C35756"/>
    <w:rsid w:val="00C36F67"/>
    <w:rsid w:val="00C37D71"/>
    <w:rsid w:val="00C42ACB"/>
    <w:rsid w:val="00C42BB7"/>
    <w:rsid w:val="00C42CCB"/>
    <w:rsid w:val="00C430D0"/>
    <w:rsid w:val="00C442AE"/>
    <w:rsid w:val="00C44F98"/>
    <w:rsid w:val="00C467D2"/>
    <w:rsid w:val="00C509CE"/>
    <w:rsid w:val="00C513E1"/>
    <w:rsid w:val="00C51662"/>
    <w:rsid w:val="00C6428B"/>
    <w:rsid w:val="00C666EE"/>
    <w:rsid w:val="00C7026C"/>
    <w:rsid w:val="00C74838"/>
    <w:rsid w:val="00C74BE7"/>
    <w:rsid w:val="00C812EB"/>
    <w:rsid w:val="00C8378F"/>
    <w:rsid w:val="00C83ED2"/>
    <w:rsid w:val="00C87441"/>
    <w:rsid w:val="00C87D0C"/>
    <w:rsid w:val="00C929EE"/>
    <w:rsid w:val="00C92EA4"/>
    <w:rsid w:val="00C94534"/>
    <w:rsid w:val="00C96D8B"/>
    <w:rsid w:val="00C976CA"/>
    <w:rsid w:val="00CA0762"/>
    <w:rsid w:val="00CA1D75"/>
    <w:rsid w:val="00CA4450"/>
    <w:rsid w:val="00CA4C27"/>
    <w:rsid w:val="00CA5176"/>
    <w:rsid w:val="00CA7DF2"/>
    <w:rsid w:val="00CB1E85"/>
    <w:rsid w:val="00CB4834"/>
    <w:rsid w:val="00CB5B35"/>
    <w:rsid w:val="00CB7898"/>
    <w:rsid w:val="00CB7C97"/>
    <w:rsid w:val="00CC0292"/>
    <w:rsid w:val="00CC2BF1"/>
    <w:rsid w:val="00CC39C3"/>
    <w:rsid w:val="00CC41BE"/>
    <w:rsid w:val="00CD13C6"/>
    <w:rsid w:val="00CD3D2F"/>
    <w:rsid w:val="00CD779F"/>
    <w:rsid w:val="00CE07A6"/>
    <w:rsid w:val="00CE1D87"/>
    <w:rsid w:val="00CE3DF9"/>
    <w:rsid w:val="00CE6BB1"/>
    <w:rsid w:val="00CE749E"/>
    <w:rsid w:val="00CF22C5"/>
    <w:rsid w:val="00CF398B"/>
    <w:rsid w:val="00CF660B"/>
    <w:rsid w:val="00D01633"/>
    <w:rsid w:val="00D05CB2"/>
    <w:rsid w:val="00D134AF"/>
    <w:rsid w:val="00D14159"/>
    <w:rsid w:val="00D14FA3"/>
    <w:rsid w:val="00D164E9"/>
    <w:rsid w:val="00D16623"/>
    <w:rsid w:val="00D16919"/>
    <w:rsid w:val="00D1706F"/>
    <w:rsid w:val="00D2518A"/>
    <w:rsid w:val="00D264E2"/>
    <w:rsid w:val="00D3373C"/>
    <w:rsid w:val="00D343CE"/>
    <w:rsid w:val="00D36EA3"/>
    <w:rsid w:val="00D37A2D"/>
    <w:rsid w:val="00D37A82"/>
    <w:rsid w:val="00D47250"/>
    <w:rsid w:val="00D51B18"/>
    <w:rsid w:val="00D5208A"/>
    <w:rsid w:val="00D52154"/>
    <w:rsid w:val="00D5247E"/>
    <w:rsid w:val="00D533A0"/>
    <w:rsid w:val="00D54863"/>
    <w:rsid w:val="00D57F30"/>
    <w:rsid w:val="00D60451"/>
    <w:rsid w:val="00D66DCD"/>
    <w:rsid w:val="00D66E97"/>
    <w:rsid w:val="00D66EEE"/>
    <w:rsid w:val="00D67C73"/>
    <w:rsid w:val="00D7256D"/>
    <w:rsid w:val="00D74406"/>
    <w:rsid w:val="00D749C5"/>
    <w:rsid w:val="00D74A79"/>
    <w:rsid w:val="00D75EB0"/>
    <w:rsid w:val="00D76572"/>
    <w:rsid w:val="00D81255"/>
    <w:rsid w:val="00D83971"/>
    <w:rsid w:val="00D85B70"/>
    <w:rsid w:val="00D871BF"/>
    <w:rsid w:val="00D913F9"/>
    <w:rsid w:val="00D92C5F"/>
    <w:rsid w:val="00D93B1A"/>
    <w:rsid w:val="00D964E7"/>
    <w:rsid w:val="00DA1656"/>
    <w:rsid w:val="00DB0DCD"/>
    <w:rsid w:val="00DB5740"/>
    <w:rsid w:val="00DC02D5"/>
    <w:rsid w:val="00DC0A34"/>
    <w:rsid w:val="00DC716E"/>
    <w:rsid w:val="00DD4AF2"/>
    <w:rsid w:val="00DD550D"/>
    <w:rsid w:val="00DD6E10"/>
    <w:rsid w:val="00DD7D0E"/>
    <w:rsid w:val="00DE1B5E"/>
    <w:rsid w:val="00DE2A9D"/>
    <w:rsid w:val="00DE5398"/>
    <w:rsid w:val="00DE63F3"/>
    <w:rsid w:val="00DE7275"/>
    <w:rsid w:val="00DE7787"/>
    <w:rsid w:val="00DF2380"/>
    <w:rsid w:val="00DF31A6"/>
    <w:rsid w:val="00DF460B"/>
    <w:rsid w:val="00DF53DD"/>
    <w:rsid w:val="00DF5D38"/>
    <w:rsid w:val="00E0054E"/>
    <w:rsid w:val="00E03E44"/>
    <w:rsid w:val="00E0471E"/>
    <w:rsid w:val="00E06274"/>
    <w:rsid w:val="00E105A6"/>
    <w:rsid w:val="00E11325"/>
    <w:rsid w:val="00E121ED"/>
    <w:rsid w:val="00E12C9C"/>
    <w:rsid w:val="00E15C4B"/>
    <w:rsid w:val="00E16ABF"/>
    <w:rsid w:val="00E24FB3"/>
    <w:rsid w:val="00E256CD"/>
    <w:rsid w:val="00E26547"/>
    <w:rsid w:val="00E2776C"/>
    <w:rsid w:val="00E318E5"/>
    <w:rsid w:val="00E32065"/>
    <w:rsid w:val="00E321E9"/>
    <w:rsid w:val="00E34D5F"/>
    <w:rsid w:val="00E40D1D"/>
    <w:rsid w:val="00E43D43"/>
    <w:rsid w:val="00E451B0"/>
    <w:rsid w:val="00E46C5D"/>
    <w:rsid w:val="00E4799D"/>
    <w:rsid w:val="00E53397"/>
    <w:rsid w:val="00E57C90"/>
    <w:rsid w:val="00E6388C"/>
    <w:rsid w:val="00E6452D"/>
    <w:rsid w:val="00E72EA4"/>
    <w:rsid w:val="00E733F2"/>
    <w:rsid w:val="00E74310"/>
    <w:rsid w:val="00E77304"/>
    <w:rsid w:val="00E82A7C"/>
    <w:rsid w:val="00E835FB"/>
    <w:rsid w:val="00E84C19"/>
    <w:rsid w:val="00E8751F"/>
    <w:rsid w:val="00E919D7"/>
    <w:rsid w:val="00E920D7"/>
    <w:rsid w:val="00E9298E"/>
    <w:rsid w:val="00E9350D"/>
    <w:rsid w:val="00E93D8A"/>
    <w:rsid w:val="00E94249"/>
    <w:rsid w:val="00EA0A59"/>
    <w:rsid w:val="00EA2B48"/>
    <w:rsid w:val="00EA3504"/>
    <w:rsid w:val="00EA490E"/>
    <w:rsid w:val="00EB16E8"/>
    <w:rsid w:val="00EB1DF9"/>
    <w:rsid w:val="00EB3B3D"/>
    <w:rsid w:val="00EB5975"/>
    <w:rsid w:val="00EB7DE6"/>
    <w:rsid w:val="00EB7EC5"/>
    <w:rsid w:val="00EC442E"/>
    <w:rsid w:val="00EC664C"/>
    <w:rsid w:val="00EC73BA"/>
    <w:rsid w:val="00ED0589"/>
    <w:rsid w:val="00ED0AC2"/>
    <w:rsid w:val="00ED38F5"/>
    <w:rsid w:val="00ED3C72"/>
    <w:rsid w:val="00ED5A38"/>
    <w:rsid w:val="00EE1281"/>
    <w:rsid w:val="00EE16C8"/>
    <w:rsid w:val="00EE59AC"/>
    <w:rsid w:val="00EE7711"/>
    <w:rsid w:val="00EE7717"/>
    <w:rsid w:val="00EE7B4C"/>
    <w:rsid w:val="00EF04CD"/>
    <w:rsid w:val="00EF754A"/>
    <w:rsid w:val="00F023C7"/>
    <w:rsid w:val="00F06196"/>
    <w:rsid w:val="00F1045A"/>
    <w:rsid w:val="00F12050"/>
    <w:rsid w:val="00F12312"/>
    <w:rsid w:val="00F136A0"/>
    <w:rsid w:val="00F14554"/>
    <w:rsid w:val="00F148DF"/>
    <w:rsid w:val="00F1607F"/>
    <w:rsid w:val="00F16360"/>
    <w:rsid w:val="00F16583"/>
    <w:rsid w:val="00F16E96"/>
    <w:rsid w:val="00F218BB"/>
    <w:rsid w:val="00F224EA"/>
    <w:rsid w:val="00F22860"/>
    <w:rsid w:val="00F2438C"/>
    <w:rsid w:val="00F24A8D"/>
    <w:rsid w:val="00F271C6"/>
    <w:rsid w:val="00F30A56"/>
    <w:rsid w:val="00F327B0"/>
    <w:rsid w:val="00F33539"/>
    <w:rsid w:val="00F33613"/>
    <w:rsid w:val="00F33E1A"/>
    <w:rsid w:val="00F40E31"/>
    <w:rsid w:val="00F4306F"/>
    <w:rsid w:val="00F50B59"/>
    <w:rsid w:val="00F54935"/>
    <w:rsid w:val="00F604BA"/>
    <w:rsid w:val="00F63557"/>
    <w:rsid w:val="00F66541"/>
    <w:rsid w:val="00F70556"/>
    <w:rsid w:val="00F7061A"/>
    <w:rsid w:val="00F72136"/>
    <w:rsid w:val="00F721B9"/>
    <w:rsid w:val="00F72F26"/>
    <w:rsid w:val="00F7348C"/>
    <w:rsid w:val="00F76DB4"/>
    <w:rsid w:val="00F82813"/>
    <w:rsid w:val="00F8314B"/>
    <w:rsid w:val="00F87067"/>
    <w:rsid w:val="00F90CB1"/>
    <w:rsid w:val="00F914C1"/>
    <w:rsid w:val="00F91907"/>
    <w:rsid w:val="00F92B5C"/>
    <w:rsid w:val="00F941E7"/>
    <w:rsid w:val="00F945AE"/>
    <w:rsid w:val="00F97C1A"/>
    <w:rsid w:val="00FA06D8"/>
    <w:rsid w:val="00FA4EFA"/>
    <w:rsid w:val="00FA5278"/>
    <w:rsid w:val="00FA6022"/>
    <w:rsid w:val="00FB511B"/>
    <w:rsid w:val="00FB5FC4"/>
    <w:rsid w:val="00FB6894"/>
    <w:rsid w:val="00FC0B6C"/>
    <w:rsid w:val="00FC16A8"/>
    <w:rsid w:val="00FC1D82"/>
    <w:rsid w:val="00FC41A2"/>
    <w:rsid w:val="00FC688E"/>
    <w:rsid w:val="00FC6C1C"/>
    <w:rsid w:val="00FD29FE"/>
    <w:rsid w:val="00FD5754"/>
    <w:rsid w:val="00FD6ACC"/>
    <w:rsid w:val="00FE1012"/>
    <w:rsid w:val="00FE3F7A"/>
    <w:rsid w:val="00FE7B67"/>
    <w:rsid w:val="00FF506D"/>
    <w:rsid w:val="00FF6033"/>
    <w:rsid w:val="00FF616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91638"/>
  <w15:docId w15:val="{CFC83040-5389-4959-BC08-EA5DCEE4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qFormat/>
    <w:rsid w:val="00890A50"/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A3E1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A0D45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448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312F1"/>
  </w:style>
  <w:style w:type="character" w:customStyle="1" w:styleId="ZpatChar">
    <w:name w:val="Zápatí Char"/>
    <w:basedOn w:val="Standardnpsmoodstavce"/>
    <w:link w:val="Zpat"/>
    <w:uiPriority w:val="99"/>
    <w:qFormat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7830F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9E6D88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qFormat/>
    <w:rsid w:val="00F83DB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8132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-wm-msonormal">
    <w:name w:val="-wm-msonormal"/>
    <w:basedOn w:val="Normln"/>
    <w:qFormat/>
    <w:rsid w:val="00CF67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character" w:customStyle="1" w:styleId="Nevyeenzmnka4">
    <w:name w:val="Nevyřešená zmínka4"/>
    <w:basedOn w:val="Standardnpsmoodstavce"/>
    <w:uiPriority w:val="99"/>
    <w:semiHidden/>
    <w:unhideWhenUsed/>
    <w:rsid w:val="007F5400"/>
    <w:rPr>
      <w:color w:val="605E5C"/>
      <w:shd w:val="clear" w:color="auto" w:fill="E1DFDD"/>
    </w:rPr>
  </w:style>
  <w:style w:type="paragraph" w:customStyle="1" w:styleId="Default">
    <w:name w:val="Default"/>
    <w:rsid w:val="00035A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B307-F63B-4929-A730-4E1CC42C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1654</Characters>
  <Application>Microsoft Office Word</Application>
  <DocSecurity>0</DocSecurity>
  <Lines>20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Duda Jaroslav, Mgr.</dc:creator>
  <cp:lastModifiedBy>Duda Jaroslav, Mgr.</cp:lastModifiedBy>
  <cp:revision>2</cp:revision>
  <cp:lastPrinted>2022-09-30T16:15:00Z</cp:lastPrinted>
  <dcterms:created xsi:type="dcterms:W3CDTF">2023-10-02T08:57:00Z</dcterms:created>
  <dcterms:modified xsi:type="dcterms:W3CDTF">2023-10-02T08:57:00Z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492c23bfb30de9d3d0a76badc6cbbe91d5ffa9aca1fde406e817679b826315ac</vt:lpwstr>
  </property>
</Properties>
</file>