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8D" w:rsidRDefault="005776B1" w:rsidP="005776B1">
      <w:pPr>
        <w:spacing w:after="0"/>
      </w:pPr>
      <w:r>
        <w:t xml:space="preserve">                                                  </w:t>
      </w:r>
      <w:r w:rsidR="005B0E93">
        <w:t xml:space="preserve">                                                                                                                 </w:t>
      </w:r>
    </w:p>
    <w:p w:rsidR="005B0E93" w:rsidRDefault="001A2E10" w:rsidP="00BD313B">
      <w:pPr>
        <w:spacing w:after="0"/>
      </w:pPr>
      <w:r>
        <w:t xml:space="preserve"> </w:t>
      </w:r>
      <w:r w:rsidR="00BD313B">
        <w:t xml:space="preserve">                                                            </w:t>
      </w:r>
      <w:r w:rsidR="005B0E93">
        <w:t>Farmakoekonomická analýza pro léčivý přípravek</w:t>
      </w:r>
    </w:p>
    <w:p w:rsidR="005B0E93" w:rsidRDefault="005B0E93" w:rsidP="005776B1">
      <w:pPr>
        <w:spacing w:after="0"/>
      </w:pPr>
    </w:p>
    <w:p w:rsidR="005B0E93" w:rsidRPr="001A2E10" w:rsidRDefault="00F94035" w:rsidP="001A2E10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SIGNIFOR</w:t>
      </w:r>
    </w:p>
    <w:p w:rsidR="005B0E93" w:rsidRPr="005B0E93" w:rsidRDefault="005B0E93" w:rsidP="005776B1">
      <w:pPr>
        <w:spacing w:after="0"/>
        <w:rPr>
          <w:sz w:val="10"/>
          <w:szCs w:val="10"/>
        </w:rPr>
      </w:pPr>
    </w:p>
    <w:p w:rsidR="005B0E93" w:rsidRPr="007C63EA" w:rsidRDefault="001A2E10" w:rsidP="001A2E10">
      <w:pPr>
        <w:spacing w:after="0"/>
        <w:jc w:val="center"/>
        <w:rPr>
          <w:rFonts w:cstheme="minorHAnsi"/>
          <w:b/>
          <w:sz w:val="27"/>
          <w:szCs w:val="27"/>
        </w:rPr>
      </w:pPr>
      <w:r w:rsidRPr="007C63EA">
        <w:rPr>
          <w:rFonts w:cstheme="minorHAnsi"/>
          <w:b/>
          <w:sz w:val="27"/>
          <w:szCs w:val="27"/>
        </w:rPr>
        <w:t>k</w:t>
      </w:r>
      <w:r w:rsidR="008E1C77" w:rsidRPr="007C63EA">
        <w:rPr>
          <w:rFonts w:cstheme="minorHAnsi"/>
          <w:b/>
          <w:sz w:val="27"/>
          <w:szCs w:val="27"/>
        </w:rPr>
        <w:t> </w:t>
      </w:r>
      <w:r w:rsidR="005B0E93" w:rsidRPr="007C63EA">
        <w:rPr>
          <w:rFonts w:cstheme="minorHAnsi"/>
          <w:b/>
          <w:sz w:val="27"/>
          <w:szCs w:val="27"/>
        </w:rPr>
        <w:t>léčbě</w:t>
      </w:r>
      <w:r w:rsidR="008E1C77" w:rsidRPr="007C63EA">
        <w:rPr>
          <w:rFonts w:cstheme="minorHAnsi"/>
          <w:b/>
          <w:sz w:val="27"/>
          <w:szCs w:val="27"/>
        </w:rPr>
        <w:t xml:space="preserve"> </w:t>
      </w:r>
      <w:r w:rsidR="005B0E93" w:rsidRPr="007C63EA">
        <w:rPr>
          <w:rFonts w:cstheme="minorHAnsi"/>
          <w:b/>
          <w:sz w:val="27"/>
          <w:szCs w:val="27"/>
        </w:rPr>
        <w:t xml:space="preserve">dospělých </w:t>
      </w:r>
      <w:r w:rsidR="009B7113" w:rsidRPr="007C63EA">
        <w:rPr>
          <w:rFonts w:cstheme="minorHAnsi"/>
          <w:b/>
          <w:sz w:val="27"/>
          <w:szCs w:val="27"/>
        </w:rPr>
        <w:t>s akromegalií, u nichž není vhodná operace nebo operace neměla dostatečný léčebný efekt</w:t>
      </w:r>
      <w:r w:rsidR="00553EAA">
        <w:rPr>
          <w:rFonts w:cstheme="minorHAnsi"/>
          <w:b/>
          <w:sz w:val="27"/>
          <w:szCs w:val="27"/>
        </w:rPr>
        <w:t>,</w:t>
      </w:r>
      <w:r w:rsidR="009B7113" w:rsidRPr="007C63EA">
        <w:rPr>
          <w:rFonts w:cstheme="minorHAnsi"/>
          <w:b/>
          <w:sz w:val="27"/>
          <w:szCs w:val="27"/>
        </w:rPr>
        <w:t xml:space="preserve"> a kteří nejsou dostatečně kontrolováni léčbou jiným analogem </w:t>
      </w:r>
      <w:proofErr w:type="spellStart"/>
      <w:r w:rsidR="009B7113" w:rsidRPr="007C63EA">
        <w:rPr>
          <w:rFonts w:cstheme="minorHAnsi"/>
          <w:b/>
          <w:sz w:val="27"/>
          <w:szCs w:val="27"/>
        </w:rPr>
        <w:t>somatostatinu</w:t>
      </w:r>
      <w:proofErr w:type="spellEnd"/>
    </w:p>
    <w:p w:rsidR="00BE00A0" w:rsidRPr="007C63EA" w:rsidRDefault="00BE00A0" w:rsidP="005776B1">
      <w:pPr>
        <w:spacing w:after="0"/>
        <w:rPr>
          <w:rFonts w:cstheme="minorHAnsi"/>
          <w:b/>
          <w:sz w:val="26"/>
          <w:szCs w:val="26"/>
        </w:rPr>
      </w:pPr>
    </w:p>
    <w:p w:rsidR="001A2E10" w:rsidRDefault="001A2E10" w:rsidP="005776B1">
      <w:pPr>
        <w:spacing w:after="0"/>
        <w:rPr>
          <w:rFonts w:cstheme="minorHAnsi"/>
        </w:rPr>
      </w:pPr>
      <w:r w:rsidRPr="002B2964">
        <w:rPr>
          <w:rFonts w:cstheme="minorHAnsi"/>
          <w:b/>
          <w:u w:val="single"/>
        </w:rPr>
        <w:t>Celý název přípravku</w:t>
      </w:r>
      <w:r>
        <w:rPr>
          <w:rFonts w:cstheme="minorHAnsi"/>
        </w:rPr>
        <w:t xml:space="preserve">: </w:t>
      </w:r>
      <w:r w:rsidR="009E385A">
        <w:rPr>
          <w:rFonts w:cstheme="minorHAnsi"/>
        </w:rPr>
        <w:t xml:space="preserve">  </w:t>
      </w:r>
      <w:r w:rsidR="00914E80">
        <w:rPr>
          <w:rFonts w:cstheme="minorHAnsi"/>
        </w:rPr>
        <w:t xml:space="preserve">SIGNIFOR 40mg či 60mg prášek a rozpouštědlo pro </w:t>
      </w:r>
      <w:r w:rsidR="0004029E">
        <w:rPr>
          <w:rFonts w:cstheme="minorHAnsi"/>
        </w:rPr>
        <w:t xml:space="preserve">1 </w:t>
      </w:r>
      <w:r w:rsidR="00914E80">
        <w:rPr>
          <w:rFonts w:cstheme="minorHAnsi"/>
        </w:rPr>
        <w:t>injekční suspenzi</w:t>
      </w:r>
    </w:p>
    <w:p w:rsidR="001976FA" w:rsidRPr="009A634D" w:rsidRDefault="001976FA" w:rsidP="005776B1">
      <w:pPr>
        <w:spacing w:after="0"/>
        <w:rPr>
          <w:rFonts w:cstheme="minorHAnsi"/>
          <w:sz w:val="18"/>
          <w:szCs w:val="18"/>
        </w:rPr>
      </w:pPr>
    </w:p>
    <w:p w:rsidR="001E3B7E" w:rsidRPr="0007421A" w:rsidRDefault="009E385A" w:rsidP="005776B1">
      <w:pPr>
        <w:spacing w:after="0"/>
        <w:rPr>
          <w:rFonts w:cstheme="minorHAnsi"/>
          <w:b/>
        </w:rPr>
      </w:pPr>
      <w:r w:rsidRPr="002B2964">
        <w:rPr>
          <w:rFonts w:cstheme="minorHAnsi"/>
          <w:b/>
          <w:u w:val="single"/>
        </w:rPr>
        <w:t>Účinná látka</w:t>
      </w:r>
      <w:r w:rsidR="00106B9A" w:rsidRPr="002B2964">
        <w:rPr>
          <w:rFonts w:cstheme="minorHAnsi"/>
          <w:b/>
          <w:u w:val="single"/>
          <w:vertAlign w:val="superscript"/>
        </w:rPr>
        <w:t>1</w:t>
      </w:r>
      <w:r w:rsidRPr="0007421A">
        <w:rPr>
          <w:rFonts w:cstheme="minorHAnsi"/>
          <w:b/>
        </w:rPr>
        <w:t xml:space="preserve">: </w:t>
      </w:r>
    </w:p>
    <w:p w:rsidR="009E385A" w:rsidRPr="00FC601F" w:rsidRDefault="00321079" w:rsidP="00FC60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601F">
        <w:rPr>
          <w:rFonts w:cstheme="minorHAnsi"/>
          <w:b/>
        </w:rPr>
        <w:t>P</w:t>
      </w:r>
      <w:r w:rsidR="00914E80" w:rsidRPr="00FC601F">
        <w:rPr>
          <w:rFonts w:cstheme="minorHAnsi"/>
          <w:b/>
        </w:rPr>
        <w:t>asireotid</w:t>
      </w:r>
      <w:r w:rsidR="000E310E" w:rsidRPr="00FC601F">
        <w:rPr>
          <w:rFonts w:cstheme="minorHAnsi"/>
          <w:b/>
          <w:vertAlign w:val="superscript"/>
        </w:rPr>
        <w:t>7</w:t>
      </w:r>
      <w:r w:rsidR="000E4CA5" w:rsidRPr="00FC601F">
        <w:rPr>
          <w:rFonts w:cstheme="minorHAnsi"/>
          <w:b/>
        </w:rPr>
        <w:t xml:space="preserve"> (jako </w:t>
      </w:r>
      <w:proofErr w:type="spellStart"/>
      <w:r w:rsidR="000E4CA5" w:rsidRPr="00FC601F">
        <w:rPr>
          <w:rFonts w:cstheme="minorHAnsi"/>
          <w:b/>
        </w:rPr>
        <w:t>pasireotid</w:t>
      </w:r>
      <w:proofErr w:type="spellEnd"/>
      <w:r w:rsidR="000E4CA5" w:rsidRPr="00FC601F">
        <w:rPr>
          <w:rFonts w:cstheme="minorHAnsi"/>
          <w:b/>
        </w:rPr>
        <w:t xml:space="preserve"> </w:t>
      </w:r>
      <w:proofErr w:type="spellStart"/>
      <w:r w:rsidR="000E4CA5" w:rsidRPr="00FC601F">
        <w:rPr>
          <w:rFonts w:cstheme="minorHAnsi"/>
          <w:b/>
        </w:rPr>
        <w:t>embonas</w:t>
      </w:r>
      <w:proofErr w:type="spellEnd"/>
      <w:r w:rsidR="0069157B" w:rsidRPr="00FC601F">
        <w:rPr>
          <w:rFonts w:cstheme="minorHAnsi"/>
          <w:b/>
        </w:rPr>
        <w:t xml:space="preserve"> </w:t>
      </w:r>
      <w:proofErr w:type="spellStart"/>
      <w:r w:rsidR="0069157B" w:rsidRPr="00FC601F">
        <w:rPr>
          <w:rFonts w:cstheme="minorHAnsi"/>
          <w:b/>
        </w:rPr>
        <w:t>i.m</w:t>
      </w:r>
      <w:proofErr w:type="spellEnd"/>
      <w:r w:rsidR="0069157B" w:rsidRPr="00FC601F">
        <w:rPr>
          <w:rFonts w:cstheme="minorHAnsi"/>
          <w:b/>
        </w:rPr>
        <w:t>. forma</w:t>
      </w:r>
      <w:r w:rsidR="000E4CA5" w:rsidRPr="00FC601F">
        <w:rPr>
          <w:rFonts w:cstheme="minorHAnsi"/>
          <w:b/>
        </w:rPr>
        <w:t xml:space="preserve"> </w:t>
      </w:r>
      <w:r w:rsidR="000E4CA5" w:rsidRPr="00FC601F">
        <w:rPr>
          <w:rFonts w:cstheme="minorHAnsi"/>
        </w:rPr>
        <w:t xml:space="preserve">(někdy také nazýván jako </w:t>
      </w:r>
      <w:proofErr w:type="spellStart"/>
      <w:r w:rsidR="000E4CA5" w:rsidRPr="00FC601F">
        <w:rPr>
          <w:rFonts w:cstheme="minorHAnsi"/>
        </w:rPr>
        <w:t>pasireotid</w:t>
      </w:r>
      <w:proofErr w:type="spellEnd"/>
      <w:r w:rsidR="000E4CA5" w:rsidRPr="00FC601F">
        <w:rPr>
          <w:rFonts w:cstheme="minorHAnsi"/>
        </w:rPr>
        <w:t xml:space="preserve"> </w:t>
      </w:r>
      <w:proofErr w:type="spellStart"/>
      <w:r w:rsidR="000E4CA5" w:rsidRPr="00FC601F">
        <w:rPr>
          <w:rFonts w:cstheme="minorHAnsi"/>
        </w:rPr>
        <w:t>pamo</w:t>
      </w:r>
      <w:r w:rsidR="00FC601F" w:rsidRPr="00FC601F">
        <w:rPr>
          <w:rFonts w:cstheme="minorHAnsi"/>
        </w:rPr>
        <w:t>á</w:t>
      </w:r>
      <w:r w:rsidR="000E4CA5" w:rsidRPr="00FC601F">
        <w:rPr>
          <w:rFonts w:cstheme="minorHAnsi"/>
        </w:rPr>
        <w:t>t</w:t>
      </w:r>
      <w:proofErr w:type="spellEnd"/>
      <w:r w:rsidR="000E4CA5" w:rsidRPr="00FC601F">
        <w:rPr>
          <w:rFonts w:cstheme="minorHAnsi"/>
        </w:rPr>
        <w:t xml:space="preserve">), CAVE! existuje také </w:t>
      </w:r>
      <w:proofErr w:type="spellStart"/>
      <w:r w:rsidR="000E4CA5" w:rsidRPr="00FC601F">
        <w:rPr>
          <w:rFonts w:cstheme="minorHAnsi"/>
        </w:rPr>
        <w:t>pasireotid</w:t>
      </w:r>
      <w:proofErr w:type="spellEnd"/>
      <w:r w:rsidR="000E4CA5" w:rsidRPr="00FC601F">
        <w:rPr>
          <w:rFonts w:cstheme="minorHAnsi"/>
        </w:rPr>
        <w:t xml:space="preserve"> </w:t>
      </w:r>
      <w:proofErr w:type="spellStart"/>
      <w:r w:rsidR="000E4CA5" w:rsidRPr="00FC601F">
        <w:rPr>
          <w:rFonts w:cstheme="minorHAnsi"/>
        </w:rPr>
        <w:t>diaspart</w:t>
      </w:r>
      <w:r w:rsidR="004E0627" w:rsidRPr="00FC601F">
        <w:rPr>
          <w:rFonts w:cstheme="minorHAnsi"/>
        </w:rPr>
        <w:t>á</w:t>
      </w:r>
      <w:r w:rsidR="000E4CA5" w:rsidRPr="00FC601F">
        <w:rPr>
          <w:rFonts w:cstheme="minorHAnsi"/>
        </w:rPr>
        <w:t>t</w:t>
      </w:r>
      <w:proofErr w:type="spellEnd"/>
      <w:r w:rsidR="000E4CA5" w:rsidRPr="00FC601F">
        <w:rPr>
          <w:rFonts w:cstheme="minorHAnsi"/>
        </w:rPr>
        <w:t xml:space="preserve">, což je </w:t>
      </w:r>
      <w:proofErr w:type="spellStart"/>
      <w:r w:rsidR="000E4CA5" w:rsidRPr="00FC601F">
        <w:rPr>
          <w:rFonts w:cstheme="minorHAnsi"/>
        </w:rPr>
        <w:t>s.c</w:t>
      </w:r>
      <w:proofErr w:type="spellEnd"/>
      <w:r w:rsidR="000E4CA5" w:rsidRPr="00FC601F">
        <w:rPr>
          <w:rFonts w:cstheme="minorHAnsi"/>
        </w:rPr>
        <w:t>. forma</w:t>
      </w:r>
      <w:r w:rsidR="007454CC">
        <w:rPr>
          <w:rFonts w:cstheme="minorHAnsi"/>
        </w:rPr>
        <w:t xml:space="preserve"> s kratším eliminačním </w:t>
      </w:r>
      <w:r w:rsidR="007454CC" w:rsidRPr="00F02D71">
        <w:rPr>
          <w:rFonts w:cstheme="minorHAnsi"/>
        </w:rPr>
        <w:t>poločasem</w:t>
      </w:r>
      <w:r w:rsidR="00F02D71" w:rsidRPr="00F02D71">
        <w:rPr>
          <w:rFonts w:cstheme="minorHAnsi"/>
        </w:rPr>
        <w:t xml:space="preserve"> (t½ 9,6 - 12,6 hodin</w:t>
      </w:r>
      <w:r w:rsidR="00F02D71" w:rsidRPr="00F02D71">
        <w:rPr>
          <w:rFonts w:cstheme="minorHAnsi"/>
          <w:vertAlign w:val="superscript"/>
        </w:rPr>
        <w:t>20</w:t>
      </w:r>
      <w:r w:rsidR="00F02D71" w:rsidRPr="00F02D71">
        <w:rPr>
          <w:rFonts w:cstheme="minorHAnsi"/>
        </w:rPr>
        <w:t>)</w:t>
      </w:r>
      <w:r w:rsidR="007454CC" w:rsidRPr="00F02D71">
        <w:rPr>
          <w:rFonts w:cstheme="minorHAnsi"/>
        </w:rPr>
        <w:t xml:space="preserve"> dávkovaná</w:t>
      </w:r>
      <w:r w:rsidR="007454CC">
        <w:rPr>
          <w:rFonts w:cstheme="minorHAnsi"/>
        </w:rPr>
        <w:t xml:space="preserve"> 2x denně</w:t>
      </w:r>
      <w:r w:rsidR="000E4CA5" w:rsidRPr="00FC601F">
        <w:rPr>
          <w:rFonts w:cstheme="minorHAnsi"/>
        </w:rPr>
        <w:t xml:space="preserve"> určená jen pro léčbu </w:t>
      </w:r>
      <w:proofErr w:type="spellStart"/>
      <w:r w:rsidR="000E4CA5" w:rsidRPr="00FC601F">
        <w:rPr>
          <w:rFonts w:cstheme="minorHAnsi"/>
        </w:rPr>
        <w:t>Cushingovy</w:t>
      </w:r>
      <w:proofErr w:type="spellEnd"/>
      <w:r w:rsidR="000E4CA5" w:rsidRPr="00FC601F">
        <w:rPr>
          <w:rFonts w:cstheme="minorHAnsi"/>
        </w:rPr>
        <w:t xml:space="preserve"> choroby</w:t>
      </w:r>
      <w:r w:rsidR="000E4CA5" w:rsidRPr="00FC601F">
        <w:rPr>
          <w:rFonts w:cstheme="minorHAnsi"/>
          <w:vertAlign w:val="superscript"/>
        </w:rPr>
        <w:t>4</w:t>
      </w:r>
      <w:r w:rsidR="000E4CA5" w:rsidRPr="00FC601F">
        <w:rPr>
          <w:rFonts w:cstheme="minorHAnsi"/>
        </w:rPr>
        <w:t>)</w:t>
      </w:r>
      <w:r w:rsidR="00914E80" w:rsidRPr="00FC601F">
        <w:rPr>
          <w:rFonts w:cstheme="minorHAnsi"/>
          <w:b/>
        </w:rPr>
        <w:t xml:space="preserve"> </w:t>
      </w:r>
      <w:r w:rsidR="00914E80" w:rsidRPr="00FC601F">
        <w:rPr>
          <w:rFonts w:cstheme="minorHAnsi"/>
        </w:rPr>
        <w:t>j</w:t>
      </w:r>
      <w:r w:rsidR="00A83CF2" w:rsidRPr="00FC601F">
        <w:rPr>
          <w:rFonts w:cstheme="minorHAnsi"/>
        </w:rPr>
        <w:t xml:space="preserve">e </w:t>
      </w:r>
      <w:proofErr w:type="spellStart"/>
      <w:r w:rsidR="007F006E" w:rsidRPr="00FC601F">
        <w:rPr>
          <w:rFonts w:cstheme="minorHAnsi"/>
        </w:rPr>
        <w:t>cyklohexapeptidový</w:t>
      </w:r>
      <w:proofErr w:type="spellEnd"/>
      <w:r w:rsidR="007F006E" w:rsidRPr="00FC601F">
        <w:rPr>
          <w:rFonts w:cstheme="minorHAnsi"/>
        </w:rPr>
        <w:t xml:space="preserve">, injekční </w:t>
      </w:r>
      <w:r w:rsidR="007F006E" w:rsidRPr="00FC601F">
        <w:rPr>
          <w:rFonts w:cstheme="minorHAnsi"/>
          <w:b/>
        </w:rPr>
        <w:t xml:space="preserve">analog </w:t>
      </w:r>
      <w:proofErr w:type="spellStart"/>
      <w:r w:rsidR="007F006E" w:rsidRPr="00FC601F">
        <w:rPr>
          <w:rFonts w:cstheme="minorHAnsi"/>
          <w:b/>
        </w:rPr>
        <w:t>somatostatinu</w:t>
      </w:r>
      <w:proofErr w:type="spellEnd"/>
      <w:r w:rsidR="00CE3979" w:rsidRPr="00FC601F">
        <w:rPr>
          <w:rFonts w:cstheme="minorHAnsi"/>
          <w:b/>
        </w:rPr>
        <w:t xml:space="preserve"> 2. generace</w:t>
      </w:r>
      <w:r w:rsidR="00A26408" w:rsidRPr="00FC601F">
        <w:rPr>
          <w:rFonts w:cstheme="minorHAnsi"/>
          <w:b/>
        </w:rPr>
        <w:t xml:space="preserve"> (viz</w:t>
      </w:r>
      <w:r w:rsidR="00CE3979" w:rsidRPr="00FC601F">
        <w:rPr>
          <w:rFonts w:cstheme="minorHAnsi"/>
          <w:b/>
        </w:rPr>
        <w:t xml:space="preserve"> níže pozn. 19 a</w:t>
      </w:r>
      <w:r w:rsidR="00A26408" w:rsidRPr="00FC601F">
        <w:rPr>
          <w:rFonts w:cstheme="minorHAnsi"/>
          <w:b/>
        </w:rPr>
        <w:t xml:space="preserve"> Příloha č. 2)</w:t>
      </w:r>
      <w:r w:rsidR="00382A10" w:rsidRPr="00FC601F">
        <w:rPr>
          <w:rFonts w:cstheme="minorHAnsi"/>
        </w:rPr>
        <w:t>.</w:t>
      </w:r>
      <w:r w:rsidR="00FC601F" w:rsidRPr="00FC601F">
        <w:rPr>
          <w:rFonts w:cstheme="minorHAnsi"/>
        </w:rPr>
        <w:t xml:space="preserve"> </w:t>
      </w:r>
      <w:proofErr w:type="spellStart"/>
      <w:r w:rsidR="00FC601F" w:rsidRPr="00FC601F">
        <w:rPr>
          <w:rFonts w:cs="TimesNewRomanPSMT"/>
          <w:b/>
        </w:rPr>
        <w:t>Pasireotid</w:t>
      </w:r>
      <w:proofErr w:type="spellEnd"/>
      <w:r w:rsidR="00FC601F" w:rsidRPr="00FC601F">
        <w:rPr>
          <w:rFonts w:cs="TimesNewRomanPSMT"/>
          <w:b/>
        </w:rPr>
        <w:t xml:space="preserve"> </w:t>
      </w:r>
      <w:proofErr w:type="spellStart"/>
      <w:r w:rsidR="00FC601F" w:rsidRPr="00FC601F">
        <w:rPr>
          <w:rFonts w:cs="TimesNewRomanPSMT"/>
          <w:b/>
        </w:rPr>
        <w:t>embonas</w:t>
      </w:r>
      <w:proofErr w:type="spellEnd"/>
      <w:r w:rsidR="00FC601F" w:rsidRPr="00FC601F">
        <w:rPr>
          <w:rFonts w:cs="TimesNewRomanPSMT"/>
          <w:b/>
        </w:rPr>
        <w:t xml:space="preserve"> pro intramuskulární podání je </w:t>
      </w:r>
      <w:r w:rsidR="00FF56B5">
        <w:rPr>
          <w:rFonts w:cs="TimesNewRomanPSMT"/>
          <w:b/>
        </w:rPr>
        <w:t>v lékové formě</w:t>
      </w:r>
      <w:r w:rsidR="00FC601F" w:rsidRPr="00FC601F">
        <w:rPr>
          <w:rFonts w:cs="TimesNewRomanPSMT"/>
          <w:b/>
        </w:rPr>
        <w:t xml:space="preserve"> jako mikrosféry s dlouhodobým </w:t>
      </w:r>
      <w:r w:rsidR="00FC601F" w:rsidRPr="00F02D71">
        <w:rPr>
          <w:rFonts w:cs="TimesNewRomanPSMT"/>
          <w:b/>
        </w:rPr>
        <w:t>uvolňováním (</w:t>
      </w:r>
      <w:r w:rsidR="00F02D71" w:rsidRPr="00F02D71">
        <w:rPr>
          <w:rFonts w:cstheme="minorHAnsi"/>
          <w:b/>
        </w:rPr>
        <w:t>t½  375-443 hodin</w:t>
      </w:r>
      <w:r w:rsidR="00F02D71" w:rsidRPr="00F02D71">
        <w:rPr>
          <w:rFonts w:cstheme="minorHAnsi"/>
          <w:b/>
          <w:vertAlign w:val="superscript"/>
        </w:rPr>
        <w:t>20</w:t>
      </w:r>
      <w:r w:rsidR="00F02D71" w:rsidRPr="00F02D71">
        <w:rPr>
          <w:rFonts w:cstheme="minorHAnsi"/>
          <w:b/>
        </w:rPr>
        <w:t xml:space="preserve">, </w:t>
      </w:r>
      <w:r w:rsidR="00FC601F" w:rsidRPr="00F02D71">
        <w:rPr>
          <w:rFonts w:cs="TimesNewRomanPSMT"/>
          <w:b/>
        </w:rPr>
        <w:t>někdy</w:t>
      </w:r>
      <w:r w:rsidR="00FC601F">
        <w:rPr>
          <w:rFonts w:cs="TimesNewRomanPSMT"/>
          <w:b/>
        </w:rPr>
        <w:t xml:space="preserve"> </w:t>
      </w:r>
      <w:r w:rsidR="00FF56B5">
        <w:rPr>
          <w:rFonts w:cs="TimesNewRomanPSMT"/>
          <w:b/>
        </w:rPr>
        <w:t xml:space="preserve">je </w:t>
      </w:r>
      <w:r w:rsidR="00FC601F">
        <w:rPr>
          <w:rFonts w:cs="TimesNewRomanPSMT"/>
          <w:b/>
        </w:rPr>
        <w:t xml:space="preserve">také označován jako </w:t>
      </w:r>
      <w:proofErr w:type="spellStart"/>
      <w:r w:rsidR="00FC601F">
        <w:rPr>
          <w:rFonts w:cs="TimesNewRomanPSMT"/>
          <w:b/>
        </w:rPr>
        <w:t>pasireotid</w:t>
      </w:r>
      <w:proofErr w:type="spellEnd"/>
      <w:r w:rsidR="00FC601F">
        <w:rPr>
          <w:rFonts w:cs="TimesNewRomanPSMT"/>
          <w:b/>
        </w:rPr>
        <w:t xml:space="preserve"> LAR</w:t>
      </w:r>
      <w:r w:rsidR="002E0CFE">
        <w:rPr>
          <w:rFonts w:cs="TimesNewRomanPSMT"/>
          <w:b/>
        </w:rPr>
        <w:t xml:space="preserve"> -</w:t>
      </w:r>
      <w:r w:rsidR="002E0CFE" w:rsidRPr="002E0CFE">
        <w:rPr>
          <w:rFonts w:cstheme="minorHAnsi"/>
          <w:b/>
        </w:rPr>
        <w:t xml:space="preserve"> </w:t>
      </w:r>
      <w:r w:rsidR="002E0CFE" w:rsidRPr="00FC601F">
        <w:rPr>
          <w:rFonts w:cstheme="minorHAnsi"/>
          <w:b/>
        </w:rPr>
        <w:t>viz níže pozn. 19</w:t>
      </w:r>
      <w:r w:rsidR="002E0CFE">
        <w:rPr>
          <w:rFonts w:cstheme="minorHAnsi"/>
          <w:b/>
        </w:rPr>
        <w:t>)</w:t>
      </w:r>
      <w:r w:rsidR="00FC601F" w:rsidRPr="00FC601F">
        <w:rPr>
          <w:rFonts w:cs="TimesNewRomanPSMT"/>
          <w:b/>
        </w:rPr>
        <w:t xml:space="preserve"> </w:t>
      </w:r>
      <w:r w:rsidR="00FC601F">
        <w:rPr>
          <w:rFonts w:cs="TimesNewRomanPSMT"/>
        </w:rPr>
        <w:t>- p</w:t>
      </w:r>
      <w:r w:rsidR="00FC601F" w:rsidRPr="00FC601F">
        <w:rPr>
          <w:rFonts w:cs="TimesNewRomanPSMT"/>
        </w:rPr>
        <w:t xml:space="preserve">o </w:t>
      </w:r>
      <w:r w:rsidR="00FC601F" w:rsidRPr="00FF56B5">
        <w:rPr>
          <w:rFonts w:cs="TimesNewRomanPSMT"/>
        </w:rPr>
        <w:t xml:space="preserve">jednorázové injekci vykazují plazmatické koncentrace </w:t>
      </w:r>
      <w:proofErr w:type="spellStart"/>
      <w:r w:rsidR="00FC601F" w:rsidRPr="00FF56B5">
        <w:rPr>
          <w:rFonts w:cs="TimesNewRomanPSMT"/>
        </w:rPr>
        <w:t>pasireotidu</w:t>
      </w:r>
      <w:proofErr w:type="spellEnd"/>
      <w:r w:rsidR="00FC601F" w:rsidRPr="00FF56B5">
        <w:rPr>
          <w:rFonts w:cs="TimesNewRomanPSMT"/>
        </w:rPr>
        <w:t xml:space="preserve"> počáteční náhlý narůst v den injekce následovaný poklesem od </w:t>
      </w:r>
      <w:r w:rsidR="00FF56B5">
        <w:rPr>
          <w:rFonts w:cs="TimesNewRomanPSMT"/>
        </w:rPr>
        <w:t xml:space="preserve">2. </w:t>
      </w:r>
      <w:r w:rsidR="00FC601F" w:rsidRPr="00FF56B5">
        <w:rPr>
          <w:rFonts w:cs="TimesNewRomanPSMT"/>
        </w:rPr>
        <w:t xml:space="preserve">dne do </w:t>
      </w:r>
      <w:r w:rsidR="00FF56B5">
        <w:rPr>
          <w:rFonts w:cs="TimesNewRomanPSMT"/>
        </w:rPr>
        <w:t>7. d</w:t>
      </w:r>
      <w:r w:rsidR="00FC601F" w:rsidRPr="00FF56B5">
        <w:rPr>
          <w:rFonts w:cs="TimesNewRomanPSMT"/>
        </w:rPr>
        <w:t>ne</w:t>
      </w:r>
      <w:r w:rsidR="00FF56B5">
        <w:rPr>
          <w:rFonts w:cs="TimesNewRomanPSMT"/>
        </w:rPr>
        <w:t>,</w:t>
      </w:r>
      <w:r w:rsidR="00FC601F" w:rsidRPr="00FF56B5">
        <w:rPr>
          <w:rFonts w:cs="TimesNewRomanPSMT"/>
        </w:rPr>
        <w:t xml:space="preserve"> pot</w:t>
      </w:r>
      <w:r w:rsidR="00FF56B5">
        <w:rPr>
          <w:rFonts w:cs="TimesNewRomanPSMT"/>
        </w:rPr>
        <w:t>é j</w:t>
      </w:r>
      <w:r w:rsidR="00FC601F" w:rsidRPr="00FF56B5">
        <w:rPr>
          <w:rFonts w:cs="TimesNewRomanPSMT"/>
        </w:rPr>
        <w:t>e</w:t>
      </w:r>
      <w:r w:rsidR="00FF56B5">
        <w:rPr>
          <w:rFonts w:cs="TimesNewRomanPSMT"/>
        </w:rPr>
        <w:t xml:space="preserve"> následován</w:t>
      </w:r>
      <w:r w:rsidR="00FC601F" w:rsidRPr="00FF56B5">
        <w:rPr>
          <w:rFonts w:cs="TimesNewRomanPSMT"/>
        </w:rPr>
        <w:t xml:space="preserve"> pomalým nárůstem do maximální koncentrace okolo 21. dne a </w:t>
      </w:r>
      <w:r w:rsidR="00FF56B5">
        <w:rPr>
          <w:rFonts w:cs="TimesNewRomanPSMT"/>
        </w:rPr>
        <w:t xml:space="preserve">pak </w:t>
      </w:r>
      <w:r w:rsidR="00FC601F" w:rsidRPr="00FF56B5">
        <w:rPr>
          <w:rFonts w:cs="TimesNewRomanPSMT"/>
        </w:rPr>
        <w:t>pomalou fází poklesu koncentrace během dalších týdnů souběžně s terminální degradační fázi polymerní matrice lékové formy.</w:t>
      </w:r>
      <w:r w:rsidR="00382A10" w:rsidRPr="00FF56B5">
        <w:rPr>
          <w:rFonts w:cstheme="minorHAnsi"/>
        </w:rPr>
        <w:t xml:space="preserve"> </w:t>
      </w:r>
      <w:r w:rsidR="00FF56B5">
        <w:rPr>
          <w:rFonts w:cstheme="minorHAnsi"/>
        </w:rPr>
        <w:t>Stejně j</w:t>
      </w:r>
      <w:r w:rsidR="00382A10" w:rsidRPr="00FF56B5">
        <w:rPr>
          <w:rFonts w:cstheme="minorHAnsi"/>
        </w:rPr>
        <w:t>ako u přirozených peptidových hormonů somatostatinu-14 a somatostatinu-28</w:t>
      </w:r>
      <w:r w:rsidR="00382A10" w:rsidRPr="00FC601F">
        <w:rPr>
          <w:rFonts w:cstheme="minorHAnsi"/>
        </w:rPr>
        <w:t xml:space="preserve"> (rovněž známých jako inhibiční faktory uvolňování </w:t>
      </w:r>
      <w:proofErr w:type="spellStart"/>
      <w:r w:rsidR="00382A10" w:rsidRPr="00FC601F">
        <w:rPr>
          <w:rFonts w:cstheme="minorHAnsi"/>
        </w:rPr>
        <w:t>somatostatinu</w:t>
      </w:r>
      <w:proofErr w:type="spellEnd"/>
      <w:r w:rsidR="00382A10" w:rsidRPr="00FC601F">
        <w:rPr>
          <w:rFonts w:cstheme="minorHAnsi"/>
        </w:rPr>
        <w:t xml:space="preserve"> [</w:t>
      </w:r>
      <w:r w:rsidR="00FF56B5">
        <w:rPr>
          <w:rFonts w:cstheme="minorHAnsi"/>
        </w:rPr>
        <w:t xml:space="preserve">tzv. </w:t>
      </w:r>
      <w:r w:rsidR="00382A10" w:rsidRPr="00FC601F">
        <w:rPr>
          <w:rFonts w:cstheme="minorHAnsi"/>
        </w:rPr>
        <w:t>SRIF]</w:t>
      </w:r>
      <w:r w:rsidR="00B06D63" w:rsidRPr="00FC601F">
        <w:rPr>
          <w:rFonts w:cstheme="minorHAnsi"/>
        </w:rPr>
        <w:t>, viz pozn. 11 a Příloha č. 2</w:t>
      </w:r>
      <w:r w:rsidR="00382A10" w:rsidRPr="00FC601F">
        <w:rPr>
          <w:rFonts w:cstheme="minorHAnsi"/>
        </w:rPr>
        <w:t xml:space="preserve">) a ostatních </w:t>
      </w:r>
      <w:proofErr w:type="spellStart"/>
      <w:r w:rsidR="00382A10" w:rsidRPr="00FC601F">
        <w:rPr>
          <w:rFonts w:cstheme="minorHAnsi"/>
        </w:rPr>
        <w:t>somatostatinových</w:t>
      </w:r>
      <w:proofErr w:type="spellEnd"/>
      <w:r w:rsidR="00382A10" w:rsidRPr="00FC601F">
        <w:rPr>
          <w:rFonts w:cstheme="minorHAnsi"/>
        </w:rPr>
        <w:t xml:space="preserve"> analog</w:t>
      </w:r>
      <w:r w:rsidR="00AB2015" w:rsidRPr="00FC601F">
        <w:rPr>
          <w:rFonts w:cstheme="minorHAnsi"/>
        </w:rPr>
        <w:t xml:space="preserve"> (viz níže pozn. 19 a Příloha č. 2)</w:t>
      </w:r>
      <w:r w:rsidR="00382A10" w:rsidRPr="00FC601F">
        <w:rPr>
          <w:rFonts w:cstheme="minorHAnsi"/>
        </w:rPr>
        <w:t xml:space="preserve">, spočívá farmakologický účinek </w:t>
      </w:r>
      <w:proofErr w:type="spellStart"/>
      <w:r w:rsidR="00382A10" w:rsidRPr="00FC601F">
        <w:rPr>
          <w:rFonts w:cstheme="minorHAnsi"/>
        </w:rPr>
        <w:t>pasireotidu</w:t>
      </w:r>
      <w:proofErr w:type="spellEnd"/>
      <w:r w:rsidR="00382A10" w:rsidRPr="00FC601F">
        <w:rPr>
          <w:rFonts w:cstheme="minorHAnsi"/>
        </w:rPr>
        <w:t xml:space="preserve"> ve vazbě na </w:t>
      </w:r>
      <w:proofErr w:type="spellStart"/>
      <w:r w:rsidR="00382A10" w:rsidRPr="00FC601F">
        <w:rPr>
          <w:rFonts w:cstheme="minorHAnsi"/>
        </w:rPr>
        <w:t>somatostatinové</w:t>
      </w:r>
      <w:proofErr w:type="spellEnd"/>
      <w:r w:rsidR="00382A10" w:rsidRPr="00FC601F">
        <w:rPr>
          <w:rFonts w:cstheme="minorHAnsi"/>
        </w:rPr>
        <w:t xml:space="preserve"> r</w:t>
      </w:r>
      <w:r w:rsidR="00DD0CF0" w:rsidRPr="00FC601F">
        <w:rPr>
          <w:rFonts w:cstheme="minorHAnsi"/>
        </w:rPr>
        <w:t>eceptory</w:t>
      </w:r>
      <w:r w:rsidR="00CE3979" w:rsidRPr="00FC601F">
        <w:rPr>
          <w:rFonts w:cstheme="minorHAnsi"/>
        </w:rPr>
        <w:t xml:space="preserve"> (</w:t>
      </w:r>
      <w:r w:rsidR="00905215" w:rsidRPr="00FC601F">
        <w:rPr>
          <w:rFonts w:cstheme="minorHAnsi"/>
        </w:rPr>
        <w:t xml:space="preserve">dále jen „SSTR“, </w:t>
      </w:r>
      <w:r w:rsidR="00CE3979" w:rsidRPr="00FC601F">
        <w:rPr>
          <w:rFonts w:cstheme="minorHAnsi"/>
        </w:rPr>
        <w:t>viz níže pozn. 10)</w:t>
      </w:r>
      <w:r w:rsidR="00382A10" w:rsidRPr="00FC601F">
        <w:rPr>
          <w:rFonts w:cstheme="minorHAnsi"/>
        </w:rPr>
        <w:t xml:space="preserve">. </w:t>
      </w:r>
      <w:proofErr w:type="spellStart"/>
      <w:r w:rsidR="00382A10" w:rsidRPr="00FC601F">
        <w:rPr>
          <w:rFonts w:cstheme="minorHAnsi"/>
        </w:rPr>
        <w:t>Somatostatinová</w:t>
      </w:r>
      <w:proofErr w:type="spellEnd"/>
      <w:r w:rsidR="00382A10" w:rsidRPr="00FC601F">
        <w:rPr>
          <w:rFonts w:cstheme="minorHAnsi"/>
        </w:rPr>
        <w:t xml:space="preserve"> analoga </w:t>
      </w:r>
      <w:r w:rsidR="00CE3979" w:rsidRPr="00FC601F">
        <w:rPr>
          <w:rFonts w:cstheme="minorHAnsi"/>
        </w:rPr>
        <w:t xml:space="preserve">(viz níže pozn. 19 a Příloha č. 2) </w:t>
      </w:r>
      <w:r w:rsidR="00382A10" w:rsidRPr="00FC601F">
        <w:rPr>
          <w:rFonts w:cstheme="minorHAnsi"/>
        </w:rPr>
        <w:t xml:space="preserve">se různou měrou vážou na </w:t>
      </w:r>
      <w:r w:rsidR="00905215" w:rsidRPr="00FC601F">
        <w:rPr>
          <w:rFonts w:cstheme="minorHAnsi"/>
        </w:rPr>
        <w:t>SSTR</w:t>
      </w:r>
      <w:r w:rsidR="00382A10" w:rsidRPr="00FC601F">
        <w:rPr>
          <w:rFonts w:cstheme="minorHAnsi"/>
        </w:rPr>
        <w:t xml:space="preserve"> (</w:t>
      </w:r>
      <w:r w:rsidR="00CE3979" w:rsidRPr="00FC601F">
        <w:rPr>
          <w:rFonts w:cstheme="minorHAnsi"/>
        </w:rPr>
        <w:t>viz níže pozn. 10 a</w:t>
      </w:r>
      <w:r w:rsidR="00382A10" w:rsidRPr="00FC601F">
        <w:rPr>
          <w:rFonts w:cstheme="minorHAnsi"/>
        </w:rPr>
        <w:t xml:space="preserve"> Příloha č. 1)</w:t>
      </w:r>
      <w:r w:rsidR="00DD0CF0" w:rsidRPr="00FC601F">
        <w:rPr>
          <w:rFonts w:cstheme="minorHAnsi"/>
        </w:rPr>
        <w:t xml:space="preserve">, </w:t>
      </w:r>
      <w:proofErr w:type="spellStart"/>
      <w:r w:rsidR="00DD0CF0" w:rsidRPr="00FC601F">
        <w:rPr>
          <w:rFonts w:cstheme="minorHAnsi"/>
          <w:b/>
        </w:rPr>
        <w:t>p</w:t>
      </w:r>
      <w:r w:rsidR="00382A10" w:rsidRPr="00FC601F">
        <w:rPr>
          <w:rFonts w:cstheme="minorHAnsi"/>
          <w:b/>
        </w:rPr>
        <w:t>asireotid</w:t>
      </w:r>
      <w:proofErr w:type="spellEnd"/>
      <w:r w:rsidR="00382A10" w:rsidRPr="00FC601F">
        <w:rPr>
          <w:rFonts w:cstheme="minorHAnsi"/>
          <w:b/>
        </w:rPr>
        <w:t xml:space="preserve"> se váže s vysokou afinitou na čtyři z pěti </w:t>
      </w:r>
      <w:r w:rsidR="00905215" w:rsidRPr="00FC601F">
        <w:rPr>
          <w:rFonts w:cstheme="minorHAnsi"/>
          <w:b/>
        </w:rPr>
        <w:t>SSTR</w:t>
      </w:r>
      <w:r w:rsidR="002B5C33" w:rsidRPr="00FC601F">
        <w:rPr>
          <w:rFonts w:cstheme="minorHAnsi"/>
        </w:rPr>
        <w:t xml:space="preserve"> (viz níže pozn. 19)</w:t>
      </w:r>
      <w:r w:rsidR="00382A10" w:rsidRPr="00FC601F">
        <w:rPr>
          <w:rFonts w:cs="Arial"/>
        </w:rPr>
        <w:t>.</w:t>
      </w:r>
      <w:r w:rsidR="00905215" w:rsidRPr="00FC601F">
        <w:rPr>
          <w:rFonts w:cs="Arial"/>
        </w:rPr>
        <w:t xml:space="preserve">  Pasireotid</w:t>
      </w:r>
      <w:r w:rsidR="00AB2015" w:rsidRPr="00FC601F">
        <w:rPr>
          <w:rFonts w:cs="Arial"/>
          <w:vertAlign w:val="superscript"/>
        </w:rPr>
        <w:t>7</w:t>
      </w:r>
      <w:r w:rsidR="00905215" w:rsidRPr="00FC601F">
        <w:rPr>
          <w:rFonts w:cs="Arial"/>
        </w:rPr>
        <w:t xml:space="preserve"> </w:t>
      </w:r>
      <w:r w:rsidR="00FF56B5">
        <w:rPr>
          <w:rFonts w:cs="Arial"/>
        </w:rPr>
        <w:t xml:space="preserve">také </w:t>
      </w:r>
      <w:r w:rsidR="00905215" w:rsidRPr="00FC601F">
        <w:rPr>
          <w:rFonts w:cs="Arial"/>
        </w:rPr>
        <w:t xml:space="preserve">moduluje směrování SSTR jiným způsobem než </w:t>
      </w:r>
      <w:proofErr w:type="spellStart"/>
      <w:r w:rsidR="00905215" w:rsidRPr="00FC601F">
        <w:rPr>
          <w:rFonts w:cs="Arial"/>
        </w:rPr>
        <w:t>oktreotid</w:t>
      </w:r>
      <w:proofErr w:type="spellEnd"/>
      <w:r w:rsidR="00905215" w:rsidRPr="00FC601F">
        <w:rPr>
          <w:rFonts w:cs="Arial"/>
        </w:rPr>
        <w:t xml:space="preserve"> (</w:t>
      </w:r>
      <w:r w:rsidR="00905215" w:rsidRPr="00FC601F">
        <w:rPr>
          <w:rFonts w:cstheme="minorHAnsi"/>
        </w:rPr>
        <w:t>pozn. jedná se o</w:t>
      </w:r>
      <w:r w:rsidR="00FF56B5">
        <w:rPr>
          <w:rFonts w:cstheme="minorHAnsi"/>
        </w:rPr>
        <w:t xml:space="preserve"> </w:t>
      </w:r>
      <w:proofErr w:type="spellStart"/>
      <w:r w:rsidR="00FF56B5">
        <w:rPr>
          <w:rFonts w:cstheme="minorHAnsi"/>
        </w:rPr>
        <w:t>somatostatinový</w:t>
      </w:r>
      <w:proofErr w:type="spellEnd"/>
      <w:r w:rsidR="00905215" w:rsidRPr="00FC601F">
        <w:rPr>
          <w:rFonts w:cstheme="minorHAnsi"/>
        </w:rPr>
        <w:t xml:space="preserve"> analog 1. generace - viz níže pozn. 19)</w:t>
      </w:r>
      <w:r w:rsidR="00905215" w:rsidRPr="00FC601F">
        <w:rPr>
          <w:rFonts w:cs="Arial"/>
        </w:rPr>
        <w:t xml:space="preserve">, což </w:t>
      </w:r>
      <w:r w:rsidR="00FF56B5">
        <w:rPr>
          <w:rFonts w:cs="Arial"/>
        </w:rPr>
        <w:t>způsobuje</w:t>
      </w:r>
      <w:r w:rsidR="00905215" w:rsidRPr="00FC601F">
        <w:rPr>
          <w:rFonts w:cs="Arial"/>
        </w:rPr>
        <w:t xml:space="preserve"> rychlou recyklaci SSTR2 na plazmatickou membránu po</w:t>
      </w:r>
      <w:r w:rsidR="00FF56B5">
        <w:rPr>
          <w:rFonts w:cs="Arial"/>
        </w:rPr>
        <w:t xml:space="preserve"> proběhlé</w:t>
      </w:r>
      <w:r w:rsidR="00905215" w:rsidRPr="00FC601F">
        <w:rPr>
          <w:rFonts w:cs="Arial"/>
        </w:rPr>
        <w:t xml:space="preserve"> endocytóze, tato zrychlená recyklace </w:t>
      </w:r>
      <w:r w:rsidR="00FF56B5">
        <w:rPr>
          <w:rFonts w:cs="Arial"/>
        </w:rPr>
        <w:t xml:space="preserve">tak </w:t>
      </w:r>
      <w:r w:rsidR="00905215" w:rsidRPr="00FC601F">
        <w:rPr>
          <w:rFonts w:cs="Arial"/>
        </w:rPr>
        <w:t>může působit proti desenzibilizaci SSTR2, což je navrhovaný základní mechanismus pro rezistenci</w:t>
      </w:r>
      <w:r w:rsidR="009E7504" w:rsidRPr="00FC601F">
        <w:rPr>
          <w:rFonts w:cs="Arial"/>
        </w:rPr>
        <w:t xml:space="preserve"> </w:t>
      </w:r>
      <w:r w:rsidR="00FF56B5">
        <w:rPr>
          <w:rFonts w:cs="Arial"/>
        </w:rPr>
        <w:t xml:space="preserve">na </w:t>
      </w:r>
      <w:proofErr w:type="spellStart"/>
      <w:r w:rsidR="00FF56B5">
        <w:rPr>
          <w:rFonts w:cs="Arial"/>
        </w:rPr>
        <w:t>somatostatinová</w:t>
      </w:r>
      <w:proofErr w:type="spellEnd"/>
      <w:r w:rsidR="00FF56B5">
        <w:rPr>
          <w:rFonts w:cs="Arial"/>
        </w:rPr>
        <w:t xml:space="preserve"> analoga </w:t>
      </w:r>
      <w:r w:rsidR="009E7504" w:rsidRPr="00FC601F">
        <w:rPr>
          <w:rFonts w:cs="Arial"/>
        </w:rPr>
        <w:t>(viz níže pozn. 21)</w:t>
      </w:r>
      <w:r w:rsidR="00905215" w:rsidRPr="00FC601F">
        <w:rPr>
          <w:rFonts w:cs="Arial"/>
        </w:rPr>
        <w:t xml:space="preserve"> pozorovan</w:t>
      </w:r>
      <w:r w:rsidR="00FF56B5">
        <w:rPr>
          <w:rFonts w:cs="Arial"/>
        </w:rPr>
        <w:t>é</w:t>
      </w:r>
      <w:r w:rsidR="00905215" w:rsidRPr="00FC601F">
        <w:rPr>
          <w:rFonts w:cs="Arial"/>
        </w:rPr>
        <w:t xml:space="preserve"> u pacientů s neuroendokrinními nádory</w:t>
      </w:r>
      <w:r w:rsidR="00905215" w:rsidRPr="00FC601F">
        <w:rPr>
          <w:rFonts w:cs="Arial"/>
          <w:vertAlign w:val="superscript"/>
        </w:rPr>
        <w:t>18</w:t>
      </w:r>
      <w:r w:rsidR="00905215" w:rsidRPr="00FC601F">
        <w:rPr>
          <w:rFonts w:cs="Arial"/>
        </w:rPr>
        <w:t>.</w:t>
      </w:r>
    </w:p>
    <w:p w:rsidR="00F02D71" w:rsidRPr="009A634D" w:rsidRDefault="00F02D71" w:rsidP="00061346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</w:p>
    <w:p w:rsidR="00106B9A" w:rsidRPr="007C6148" w:rsidRDefault="008154DA" w:rsidP="00061346">
      <w:pPr>
        <w:spacing w:after="0"/>
        <w:jc w:val="both"/>
        <w:rPr>
          <w:rFonts w:cstheme="minorHAnsi"/>
        </w:rPr>
      </w:pPr>
      <w:r w:rsidRPr="002B2964">
        <w:rPr>
          <w:rFonts w:cstheme="minorHAnsi"/>
          <w:b/>
          <w:u w:val="single"/>
        </w:rPr>
        <w:t>Držitel registrace</w:t>
      </w:r>
      <w:r w:rsidR="00367C80">
        <w:rPr>
          <w:rFonts w:cstheme="minorHAnsi"/>
          <w:b/>
          <w:u w:val="single"/>
          <w:vertAlign w:val="superscript"/>
        </w:rPr>
        <w:t>1</w:t>
      </w:r>
      <w:r w:rsidR="009E670F" w:rsidRPr="0007421A">
        <w:rPr>
          <w:rFonts w:cstheme="minorHAnsi"/>
          <w:b/>
        </w:rPr>
        <w:t>:</w:t>
      </w:r>
      <w:r w:rsidR="009E670F">
        <w:rPr>
          <w:rFonts w:cstheme="minorHAnsi"/>
        </w:rPr>
        <w:t xml:space="preserve">  </w:t>
      </w:r>
      <w:proofErr w:type="spellStart"/>
      <w:r w:rsidR="00367C80">
        <w:rPr>
          <w:rFonts w:cstheme="minorHAnsi"/>
        </w:rPr>
        <w:t>Recordati</w:t>
      </w:r>
      <w:proofErr w:type="spellEnd"/>
      <w:r w:rsidR="00367C80">
        <w:rPr>
          <w:rFonts w:cstheme="minorHAnsi"/>
        </w:rPr>
        <w:t xml:space="preserve"> </w:t>
      </w:r>
      <w:proofErr w:type="spellStart"/>
      <w:r w:rsidR="00367C80">
        <w:rPr>
          <w:rFonts w:cstheme="minorHAnsi"/>
        </w:rPr>
        <w:t>Rare</w:t>
      </w:r>
      <w:proofErr w:type="spellEnd"/>
      <w:r w:rsidR="00367C80">
        <w:rPr>
          <w:rFonts w:cstheme="minorHAnsi"/>
        </w:rPr>
        <w:t xml:space="preserve"> </w:t>
      </w:r>
      <w:proofErr w:type="spellStart"/>
      <w:r w:rsidR="00367C80">
        <w:rPr>
          <w:rFonts w:cstheme="minorHAnsi"/>
        </w:rPr>
        <w:t>Disease</w:t>
      </w:r>
      <w:proofErr w:type="spellEnd"/>
      <w:r w:rsidR="007C6148">
        <w:rPr>
          <w:rFonts w:cstheme="minorHAnsi"/>
        </w:rPr>
        <w:t xml:space="preserve"> </w:t>
      </w:r>
      <w:r w:rsidR="00BF2E30" w:rsidRPr="007C6148">
        <w:rPr>
          <w:rFonts w:cstheme="minorHAnsi"/>
        </w:rPr>
        <w:t xml:space="preserve"> (</w:t>
      </w:r>
      <w:r w:rsidR="007C6148">
        <w:rPr>
          <w:rFonts w:cstheme="minorHAnsi"/>
        </w:rPr>
        <w:t>kontaktní informace</w:t>
      </w:r>
      <w:r w:rsidR="00DF4964">
        <w:rPr>
          <w:rFonts w:cstheme="minorHAnsi"/>
        </w:rPr>
        <w:t xml:space="preserve"> v ČR</w:t>
      </w:r>
      <w:r w:rsidR="007C6148">
        <w:rPr>
          <w:rFonts w:cstheme="minorHAnsi"/>
        </w:rPr>
        <w:t xml:space="preserve">: </w:t>
      </w:r>
      <w:proofErr w:type="spellStart"/>
      <w:r w:rsidR="00367C80">
        <w:rPr>
          <w:rFonts w:cstheme="minorHAnsi"/>
        </w:rPr>
        <w:t>Herbacos</w:t>
      </w:r>
      <w:proofErr w:type="spellEnd"/>
      <w:r w:rsidR="00367C80">
        <w:rPr>
          <w:rFonts w:cstheme="minorHAnsi"/>
        </w:rPr>
        <w:t xml:space="preserve"> </w:t>
      </w:r>
      <w:proofErr w:type="spellStart"/>
      <w:r w:rsidR="00367C80">
        <w:rPr>
          <w:rFonts w:cstheme="minorHAnsi"/>
        </w:rPr>
        <w:t>Recordati</w:t>
      </w:r>
      <w:proofErr w:type="spellEnd"/>
      <w:r w:rsidR="007C6148">
        <w:rPr>
          <w:rFonts w:cstheme="minorHAnsi"/>
        </w:rPr>
        <w:t>)</w:t>
      </w:r>
    </w:p>
    <w:p w:rsidR="00EE3F73" w:rsidRPr="009A634D" w:rsidRDefault="00EE3F73" w:rsidP="00061346">
      <w:pPr>
        <w:spacing w:after="0"/>
        <w:jc w:val="both"/>
        <w:rPr>
          <w:rFonts w:cstheme="minorHAnsi"/>
          <w:sz w:val="18"/>
          <w:szCs w:val="18"/>
        </w:rPr>
      </w:pPr>
    </w:p>
    <w:p w:rsidR="00EE3F73" w:rsidRPr="00C06D79" w:rsidRDefault="00EE3F73" w:rsidP="00061346">
      <w:pPr>
        <w:spacing w:after="0"/>
        <w:jc w:val="both"/>
        <w:rPr>
          <w:rFonts w:cstheme="minorHAnsi"/>
        </w:rPr>
      </w:pPr>
      <w:r w:rsidRPr="002B2964">
        <w:rPr>
          <w:rFonts w:cstheme="minorHAnsi"/>
          <w:b/>
          <w:u w:val="single"/>
        </w:rPr>
        <w:t>Indikace dle SPC</w:t>
      </w:r>
      <w:r w:rsidR="00F674A1">
        <w:rPr>
          <w:rFonts w:cstheme="minorHAnsi"/>
          <w:b/>
          <w:u w:val="single"/>
          <w:vertAlign w:val="superscript"/>
        </w:rPr>
        <w:t>1</w:t>
      </w:r>
      <w:r w:rsidR="002E423A">
        <w:rPr>
          <w:rFonts w:cstheme="minorHAnsi"/>
          <w:b/>
        </w:rPr>
        <w:t xml:space="preserve"> (pozn. III. Interní klinikou FN Olomouc je LP žádán</w:t>
      </w:r>
      <w:r w:rsidR="009B6333" w:rsidRPr="009B6333">
        <w:rPr>
          <w:rFonts w:cstheme="minorHAnsi"/>
          <w:b/>
          <w:vertAlign w:val="superscript"/>
        </w:rPr>
        <w:t>3</w:t>
      </w:r>
      <w:r w:rsidR="002E423A">
        <w:rPr>
          <w:rFonts w:cstheme="minorHAnsi"/>
          <w:b/>
        </w:rPr>
        <w:t xml:space="preserve"> jen pro </w:t>
      </w:r>
      <w:r w:rsidR="009A634D">
        <w:rPr>
          <w:rFonts w:cstheme="minorHAnsi"/>
          <w:b/>
        </w:rPr>
        <w:t xml:space="preserve">použití u </w:t>
      </w:r>
      <w:r w:rsidR="002E423A">
        <w:rPr>
          <w:rFonts w:cstheme="minorHAnsi"/>
          <w:b/>
        </w:rPr>
        <w:t>první z níže uvedených indikací):</w:t>
      </w:r>
      <w:r>
        <w:rPr>
          <w:rFonts w:cstheme="minorHAnsi"/>
        </w:rPr>
        <w:t xml:space="preserve"> </w:t>
      </w:r>
      <w:r w:rsidR="00105ED5">
        <w:rPr>
          <w:rFonts w:cstheme="minorHAnsi"/>
        </w:rPr>
        <w:t>„</w:t>
      </w:r>
      <w:r w:rsidR="00C54D5F">
        <w:rPr>
          <w:rFonts w:cstheme="minorHAnsi"/>
        </w:rPr>
        <w:t>●</w:t>
      </w:r>
      <w:r w:rsidR="002E423A">
        <w:rPr>
          <w:rFonts w:cstheme="minorHAnsi"/>
        </w:rPr>
        <w:t xml:space="preserve"> </w:t>
      </w:r>
      <w:r w:rsidR="0079522D" w:rsidRPr="00C06D79">
        <w:rPr>
          <w:rFonts w:cstheme="minorHAnsi"/>
          <w:i/>
        </w:rPr>
        <w:t>k léčbě dospělých</w:t>
      </w:r>
      <w:r w:rsidR="004C18D6">
        <w:rPr>
          <w:rFonts w:cstheme="minorHAnsi"/>
          <w:i/>
        </w:rPr>
        <w:t xml:space="preserve"> </w:t>
      </w:r>
      <w:r w:rsidR="004C18D6" w:rsidRPr="004C18D6">
        <w:rPr>
          <w:rFonts w:cstheme="minorHAnsi"/>
          <w:i/>
        </w:rPr>
        <w:t>pacientů s akromegalií, u nichž není vhodná operace nebo operace neměla dostatečný léčebný efekt</w:t>
      </w:r>
      <w:r w:rsidR="004466F2">
        <w:rPr>
          <w:rFonts w:cstheme="minorHAnsi"/>
          <w:i/>
        </w:rPr>
        <w:t>,</w:t>
      </w:r>
      <w:r w:rsidR="004C18D6" w:rsidRPr="004C18D6">
        <w:rPr>
          <w:rFonts w:cstheme="minorHAnsi"/>
          <w:i/>
        </w:rPr>
        <w:t xml:space="preserve"> a kteří nejsou dostatečně kontrolováni léčbou jiným analogem </w:t>
      </w:r>
      <w:proofErr w:type="spellStart"/>
      <w:r w:rsidR="004C18D6" w:rsidRPr="004C18D6">
        <w:rPr>
          <w:rFonts w:cstheme="minorHAnsi"/>
          <w:i/>
        </w:rPr>
        <w:t>somatostatinu</w:t>
      </w:r>
      <w:proofErr w:type="spellEnd"/>
      <w:r w:rsidR="004C18D6" w:rsidRPr="004C18D6">
        <w:rPr>
          <w:rFonts w:cstheme="minorHAnsi"/>
          <w:i/>
        </w:rPr>
        <w:t xml:space="preserve">, ● k léčbě dospělých pacientů s </w:t>
      </w:r>
      <w:proofErr w:type="spellStart"/>
      <w:r w:rsidR="004C18D6" w:rsidRPr="004C18D6">
        <w:rPr>
          <w:rFonts w:cstheme="minorHAnsi"/>
          <w:i/>
        </w:rPr>
        <w:t>Cushingovou</w:t>
      </w:r>
      <w:proofErr w:type="spellEnd"/>
      <w:r w:rsidR="004C18D6" w:rsidRPr="004C18D6">
        <w:rPr>
          <w:rFonts w:cstheme="minorHAnsi"/>
          <w:i/>
        </w:rPr>
        <w:t xml:space="preserve"> chorobou, u nichž není vhodná operace nebo u nichž operace nebyla úspěšná</w:t>
      </w:r>
      <w:r w:rsidR="00F80052" w:rsidRPr="00C06D79">
        <w:rPr>
          <w:rFonts w:cstheme="minorHAnsi"/>
        </w:rPr>
        <w:t>“</w:t>
      </w:r>
      <w:r w:rsidR="004C18D6">
        <w:rPr>
          <w:rFonts w:cstheme="minorHAnsi"/>
        </w:rPr>
        <w:t>.</w:t>
      </w:r>
    </w:p>
    <w:p w:rsidR="00F80052" w:rsidRPr="009A634D" w:rsidRDefault="00F80052" w:rsidP="00061346">
      <w:pPr>
        <w:spacing w:after="0"/>
        <w:jc w:val="both"/>
        <w:rPr>
          <w:rFonts w:cstheme="minorHAnsi"/>
          <w:sz w:val="18"/>
          <w:szCs w:val="18"/>
        </w:rPr>
      </w:pPr>
    </w:p>
    <w:p w:rsidR="00105ED5" w:rsidRPr="002B31E8" w:rsidRDefault="00105ED5" w:rsidP="00061346">
      <w:pPr>
        <w:spacing w:after="0"/>
        <w:jc w:val="both"/>
        <w:rPr>
          <w:rFonts w:cstheme="minorHAnsi"/>
          <w:u w:val="single"/>
        </w:rPr>
      </w:pPr>
      <w:r w:rsidRPr="002B31E8">
        <w:rPr>
          <w:rFonts w:cstheme="minorHAnsi"/>
          <w:b/>
          <w:u w:val="single"/>
        </w:rPr>
        <w:t xml:space="preserve">Dávkování </w:t>
      </w:r>
      <w:r w:rsidR="009A7B34" w:rsidRPr="002B31E8">
        <w:rPr>
          <w:rFonts w:cstheme="minorHAnsi"/>
          <w:b/>
          <w:u w:val="single"/>
        </w:rPr>
        <w:t>a opatření při léčbě</w:t>
      </w:r>
      <w:r w:rsidR="009A634D">
        <w:rPr>
          <w:rFonts w:cstheme="minorHAnsi"/>
          <w:b/>
          <w:u w:val="single"/>
        </w:rPr>
        <w:t xml:space="preserve"> LP</w:t>
      </w:r>
      <w:r w:rsidR="009A7B34" w:rsidRPr="002B31E8">
        <w:rPr>
          <w:rFonts w:cstheme="minorHAnsi"/>
          <w:b/>
          <w:u w:val="single"/>
        </w:rPr>
        <w:t xml:space="preserve"> </w:t>
      </w:r>
      <w:r w:rsidR="002A78C3">
        <w:rPr>
          <w:rFonts w:cstheme="minorHAnsi"/>
          <w:b/>
          <w:u w:val="single"/>
        </w:rPr>
        <w:t>SIGNIFOR</w:t>
      </w:r>
      <w:r w:rsidR="00936693" w:rsidRPr="002B31E8">
        <w:rPr>
          <w:rFonts w:cstheme="minorHAnsi"/>
          <w:b/>
          <w:u w:val="single"/>
        </w:rPr>
        <w:t xml:space="preserve"> </w:t>
      </w:r>
      <w:r w:rsidRPr="002B31E8">
        <w:rPr>
          <w:rFonts w:cstheme="minorHAnsi"/>
          <w:b/>
          <w:u w:val="single"/>
        </w:rPr>
        <w:t>dle SPC</w:t>
      </w:r>
      <w:r w:rsidR="002A78C3">
        <w:rPr>
          <w:rFonts w:cstheme="minorHAnsi"/>
          <w:b/>
          <w:u w:val="single"/>
          <w:vertAlign w:val="superscript"/>
        </w:rPr>
        <w:t>1</w:t>
      </w:r>
      <w:r w:rsidR="00D54076" w:rsidRPr="002B31E8">
        <w:rPr>
          <w:rFonts w:cstheme="minorHAnsi"/>
          <w:b/>
          <w:u w:val="single"/>
        </w:rPr>
        <w:t>:</w:t>
      </w:r>
      <w:r w:rsidRPr="002B31E8">
        <w:rPr>
          <w:rFonts w:cstheme="minorHAnsi"/>
          <w:u w:val="single"/>
        </w:rPr>
        <w:t xml:space="preserve">  </w:t>
      </w:r>
    </w:p>
    <w:p w:rsidR="008C7B40" w:rsidRPr="008C7B40" w:rsidRDefault="009A7B34" w:rsidP="002E423A">
      <w:pPr>
        <w:tabs>
          <w:tab w:val="left" w:pos="8087"/>
        </w:tabs>
        <w:spacing w:after="0" w:line="240" w:lineRule="auto"/>
        <w:jc w:val="both"/>
        <w:rPr>
          <w:rFonts w:cstheme="minorHAnsi"/>
        </w:rPr>
      </w:pPr>
      <w:r w:rsidRPr="009A7B34">
        <w:rPr>
          <w:rFonts w:eastAsia="Times New Roman" w:cstheme="minorHAnsi"/>
          <w:lang w:eastAsia="cs-CZ"/>
        </w:rPr>
        <w:t xml:space="preserve">Doporučená </w:t>
      </w:r>
      <w:r w:rsidR="008C7B40" w:rsidRPr="005122D0">
        <w:rPr>
          <w:rFonts w:cstheme="minorHAnsi"/>
          <w:b/>
        </w:rPr>
        <w:t xml:space="preserve">počáteční dávka pro léčbu akromegalie je 40 mg </w:t>
      </w:r>
      <w:proofErr w:type="spellStart"/>
      <w:r w:rsidR="008C7B40" w:rsidRPr="005122D0">
        <w:rPr>
          <w:rFonts w:cstheme="minorHAnsi"/>
          <w:b/>
        </w:rPr>
        <w:t>pasireotidu</w:t>
      </w:r>
      <w:proofErr w:type="spellEnd"/>
      <w:r w:rsidR="008C7B40" w:rsidRPr="005122D0">
        <w:rPr>
          <w:rFonts w:cstheme="minorHAnsi"/>
          <w:b/>
        </w:rPr>
        <w:t xml:space="preserve"> podávaného</w:t>
      </w:r>
      <w:r w:rsidR="00FC601F">
        <w:rPr>
          <w:rFonts w:cstheme="minorHAnsi"/>
          <w:b/>
        </w:rPr>
        <w:t xml:space="preserve"> </w:t>
      </w:r>
      <w:proofErr w:type="spellStart"/>
      <w:r w:rsidR="00FC601F">
        <w:rPr>
          <w:rFonts w:cstheme="minorHAnsi"/>
          <w:b/>
        </w:rPr>
        <w:t>i.m</w:t>
      </w:r>
      <w:proofErr w:type="spellEnd"/>
      <w:r w:rsidR="00FC601F">
        <w:rPr>
          <w:rFonts w:cstheme="minorHAnsi"/>
          <w:b/>
        </w:rPr>
        <w:t>.</w:t>
      </w:r>
      <w:r w:rsidR="008C7B40" w:rsidRPr="005122D0">
        <w:rPr>
          <w:rFonts w:cstheme="minorHAnsi"/>
          <w:b/>
        </w:rPr>
        <w:t xml:space="preserve"> každé 4 týdny</w:t>
      </w:r>
      <w:r w:rsidR="008C7B40" w:rsidRPr="008C7B40">
        <w:rPr>
          <w:rFonts w:cstheme="minorHAnsi"/>
        </w:rPr>
        <w:t xml:space="preserve">. Dávka </w:t>
      </w:r>
      <w:r w:rsidR="008C7B40" w:rsidRPr="005122D0">
        <w:rPr>
          <w:rFonts w:cstheme="minorHAnsi"/>
          <w:b/>
        </w:rPr>
        <w:t>může být zvýšena maximálně na 60 mg</w:t>
      </w:r>
      <w:r w:rsidR="008C7B40" w:rsidRPr="008C7B40">
        <w:rPr>
          <w:rFonts w:cstheme="minorHAnsi"/>
        </w:rPr>
        <w:t xml:space="preserve"> u pacientů, jejichž hladiny růstového hormonu (GH) a/nebo inzulinu podobnému růstového faktoru-1 (IGF-1) nejsou plně kontrolované po 3 měsících léčby v dávce 40 mg. Léčba </w:t>
      </w:r>
      <w:r w:rsidR="008C7B40" w:rsidRPr="005122D0">
        <w:rPr>
          <w:rFonts w:cstheme="minorHAnsi"/>
          <w:u w:val="single"/>
        </w:rPr>
        <w:t>nežádoucích účinků pravděpodobně souvisejících s</w:t>
      </w:r>
      <w:r w:rsidR="005122D0" w:rsidRPr="005122D0">
        <w:rPr>
          <w:rFonts w:cstheme="minorHAnsi"/>
          <w:u w:val="single"/>
        </w:rPr>
        <w:t> </w:t>
      </w:r>
      <w:r w:rsidR="008C7B40" w:rsidRPr="005122D0">
        <w:rPr>
          <w:rFonts w:cstheme="minorHAnsi"/>
          <w:u w:val="single"/>
        </w:rPr>
        <w:t>léčbou</w:t>
      </w:r>
      <w:r w:rsidR="005122D0" w:rsidRPr="005122D0">
        <w:rPr>
          <w:rFonts w:cstheme="minorHAnsi"/>
          <w:u w:val="single"/>
        </w:rPr>
        <w:t xml:space="preserve"> (např. hyperglykémie</w:t>
      </w:r>
      <w:r w:rsidR="00531BE3">
        <w:rPr>
          <w:rFonts w:cstheme="minorHAnsi"/>
          <w:u w:val="single"/>
        </w:rPr>
        <w:t xml:space="preserve"> </w:t>
      </w:r>
      <w:r w:rsidR="00531BE3">
        <w:rPr>
          <w:rFonts w:cstheme="minorHAnsi"/>
        </w:rPr>
        <w:t>viz níže pozn. 11</w:t>
      </w:r>
      <w:r w:rsidR="005122D0" w:rsidRPr="005122D0">
        <w:rPr>
          <w:rFonts w:cstheme="minorHAnsi"/>
          <w:u w:val="single"/>
        </w:rPr>
        <w:t xml:space="preserve">, výrazná </w:t>
      </w:r>
      <w:proofErr w:type="spellStart"/>
      <w:r w:rsidR="005122D0" w:rsidRPr="005122D0">
        <w:rPr>
          <w:rFonts w:cstheme="minorHAnsi"/>
          <w:u w:val="single"/>
        </w:rPr>
        <w:t>hepatotoxicita</w:t>
      </w:r>
      <w:proofErr w:type="spellEnd"/>
      <w:r w:rsidR="005122D0" w:rsidRPr="005122D0">
        <w:rPr>
          <w:rFonts w:cstheme="minorHAnsi"/>
          <w:u w:val="single"/>
        </w:rPr>
        <w:t xml:space="preserve">, </w:t>
      </w:r>
      <w:proofErr w:type="spellStart"/>
      <w:r w:rsidR="00B12B6B">
        <w:rPr>
          <w:rFonts w:cstheme="minorHAnsi"/>
          <w:u w:val="single"/>
        </w:rPr>
        <w:t>hypokortizolismus</w:t>
      </w:r>
      <w:proofErr w:type="spellEnd"/>
      <w:r w:rsidR="00531BE3">
        <w:rPr>
          <w:rFonts w:cstheme="minorHAnsi"/>
          <w:u w:val="single"/>
        </w:rPr>
        <w:t xml:space="preserve"> </w:t>
      </w:r>
      <w:r w:rsidR="00531BE3" w:rsidRPr="00607464">
        <w:rPr>
          <w:rFonts w:cstheme="minorHAnsi"/>
        </w:rPr>
        <w:t>(</w:t>
      </w:r>
      <w:r w:rsidR="00531BE3">
        <w:rPr>
          <w:rFonts w:cstheme="minorHAnsi"/>
        </w:rPr>
        <w:t>viz níže pozn. 11</w:t>
      </w:r>
      <w:r w:rsidR="00B12B6B">
        <w:rPr>
          <w:rFonts w:cstheme="minorHAnsi"/>
          <w:u w:val="single"/>
        </w:rPr>
        <w:t xml:space="preserve">, </w:t>
      </w:r>
      <w:r w:rsidR="005122D0" w:rsidRPr="005122D0">
        <w:rPr>
          <w:rFonts w:cstheme="minorHAnsi"/>
          <w:u w:val="single"/>
        </w:rPr>
        <w:t>prodloužení QT intervalu</w:t>
      </w:r>
      <w:r w:rsidR="002B5679">
        <w:rPr>
          <w:rFonts w:cstheme="minorHAnsi"/>
          <w:u w:val="single"/>
        </w:rPr>
        <w:t xml:space="preserve"> (viz níže pozn. 73)</w:t>
      </w:r>
      <w:r w:rsidR="005122D0" w:rsidRPr="005122D0">
        <w:rPr>
          <w:rFonts w:cstheme="minorHAnsi"/>
          <w:u w:val="single"/>
        </w:rPr>
        <w:t>)</w:t>
      </w:r>
      <w:r w:rsidR="005122D0">
        <w:rPr>
          <w:rFonts w:cstheme="minorHAnsi"/>
        </w:rPr>
        <w:t xml:space="preserve"> </w:t>
      </w:r>
      <w:r w:rsidR="008C7B40" w:rsidRPr="008C7B40">
        <w:rPr>
          <w:rFonts w:cstheme="minorHAnsi"/>
        </w:rPr>
        <w:t xml:space="preserve">nebo </w:t>
      </w:r>
      <w:r w:rsidR="00607464">
        <w:rPr>
          <w:rFonts w:cstheme="minorHAnsi"/>
        </w:rPr>
        <w:t xml:space="preserve">event. </w:t>
      </w:r>
      <w:r w:rsidR="008C7B40" w:rsidRPr="008C7B40">
        <w:rPr>
          <w:rFonts w:cstheme="minorHAnsi"/>
        </w:rPr>
        <w:t>zvýšen</w:t>
      </w:r>
      <w:r w:rsidR="00607464">
        <w:rPr>
          <w:rFonts w:cstheme="minorHAnsi"/>
        </w:rPr>
        <w:t>á</w:t>
      </w:r>
      <w:r w:rsidR="008C7B40" w:rsidRPr="008C7B40">
        <w:rPr>
          <w:rFonts w:cstheme="minorHAnsi"/>
        </w:rPr>
        <w:t xml:space="preserve"> </w:t>
      </w:r>
      <w:proofErr w:type="spellStart"/>
      <w:r w:rsidR="008C7B40" w:rsidRPr="008C7B40">
        <w:rPr>
          <w:rFonts w:cstheme="minorHAnsi"/>
        </w:rPr>
        <w:t>odpověd</w:t>
      </w:r>
      <w:proofErr w:type="spellEnd"/>
      <w:r w:rsidR="008C7B40" w:rsidRPr="008C7B40">
        <w:rPr>
          <w:rFonts w:cstheme="minorHAnsi"/>
        </w:rPr>
        <w:t xml:space="preserve"> na léčbu (</w:t>
      </w:r>
      <w:r w:rsidR="00607464">
        <w:rPr>
          <w:rFonts w:cstheme="minorHAnsi"/>
        </w:rPr>
        <w:t xml:space="preserve">tj. hladina </w:t>
      </w:r>
      <w:r w:rsidR="008C7B40" w:rsidRPr="008C7B40">
        <w:rPr>
          <w:rFonts w:cstheme="minorHAnsi"/>
        </w:rPr>
        <w:t>IGF-1 &lt; dolní hranice normy) může vyžadovat dočasné snížení dávky S</w:t>
      </w:r>
      <w:r w:rsidR="00607464">
        <w:rPr>
          <w:rFonts w:cstheme="minorHAnsi"/>
        </w:rPr>
        <w:t>IGNIFORU</w:t>
      </w:r>
      <w:r w:rsidR="008C7B40" w:rsidRPr="008C7B40">
        <w:rPr>
          <w:rFonts w:cstheme="minorHAnsi"/>
        </w:rPr>
        <w:t xml:space="preserve"> -</w:t>
      </w:r>
      <w:r w:rsidR="005122D0">
        <w:rPr>
          <w:rFonts w:cstheme="minorHAnsi"/>
        </w:rPr>
        <w:t xml:space="preserve"> </w:t>
      </w:r>
      <w:r w:rsidR="00607464">
        <w:rPr>
          <w:rFonts w:cstheme="minorHAnsi"/>
        </w:rPr>
        <w:t>ta</w:t>
      </w:r>
      <w:r w:rsidR="008C7B40" w:rsidRPr="008C7B40">
        <w:rPr>
          <w:rFonts w:cstheme="minorHAnsi"/>
        </w:rPr>
        <w:t xml:space="preserve"> může být snížena dočasně nebo trvale.</w:t>
      </w:r>
      <w:r w:rsidR="005122D0">
        <w:rPr>
          <w:rFonts w:cstheme="minorHAnsi"/>
        </w:rPr>
        <w:t xml:space="preserve"> Při </w:t>
      </w:r>
      <w:r w:rsidR="00607464">
        <w:rPr>
          <w:rFonts w:cstheme="minorHAnsi"/>
        </w:rPr>
        <w:t xml:space="preserve">event. </w:t>
      </w:r>
      <w:r w:rsidR="005122D0">
        <w:rPr>
          <w:rFonts w:cstheme="minorHAnsi"/>
        </w:rPr>
        <w:t>poruše funkce ledvin se nemusí dávkování upravovat.</w:t>
      </w:r>
    </w:p>
    <w:p w:rsidR="008C7B40" w:rsidRPr="005122D0" w:rsidRDefault="008C7B40" w:rsidP="002E423A">
      <w:pPr>
        <w:tabs>
          <w:tab w:val="left" w:pos="8087"/>
        </w:tabs>
        <w:spacing w:after="0" w:line="240" w:lineRule="auto"/>
        <w:jc w:val="both"/>
        <w:rPr>
          <w:rFonts w:cstheme="minorHAnsi"/>
        </w:rPr>
      </w:pPr>
      <w:r w:rsidRPr="005122D0">
        <w:rPr>
          <w:rFonts w:eastAsia="Times New Roman" w:cstheme="minorHAnsi"/>
          <w:u w:val="single"/>
          <w:lang w:eastAsia="cs-CZ"/>
        </w:rPr>
        <w:t>Pacienti s poruchou funkce jater</w:t>
      </w:r>
      <w:r w:rsidRPr="005122D0">
        <w:rPr>
          <w:rFonts w:eastAsia="Times New Roman" w:cstheme="minorHAnsi"/>
          <w:lang w:eastAsia="cs-CZ"/>
        </w:rPr>
        <w:t xml:space="preserve">: </w:t>
      </w:r>
      <w:r w:rsidRPr="005122D0">
        <w:rPr>
          <w:rFonts w:cstheme="minorHAnsi"/>
        </w:rPr>
        <w:t>doporučená zahajovací dávka pro léčbu akromegalie u pacientů se středně těžkou poruchou funkce jater (</w:t>
      </w:r>
      <w:proofErr w:type="spellStart"/>
      <w:r w:rsidRPr="005122D0">
        <w:rPr>
          <w:rFonts w:cstheme="minorHAnsi"/>
        </w:rPr>
        <w:t>Child</w:t>
      </w:r>
      <w:proofErr w:type="spellEnd"/>
      <w:r w:rsidRPr="005122D0">
        <w:rPr>
          <w:rFonts w:cstheme="minorHAnsi"/>
        </w:rPr>
        <w:t xml:space="preserve"> </w:t>
      </w:r>
      <w:proofErr w:type="spellStart"/>
      <w:r w:rsidRPr="005122D0">
        <w:rPr>
          <w:rFonts w:cstheme="minorHAnsi"/>
        </w:rPr>
        <w:t>Pugh</w:t>
      </w:r>
      <w:proofErr w:type="spellEnd"/>
      <w:r w:rsidRPr="005122D0">
        <w:rPr>
          <w:rFonts w:cstheme="minorHAnsi"/>
        </w:rPr>
        <w:t xml:space="preserve"> B) je 20 mg každé 4 týdny a maximální doporučená dávka u těchto pacientů je 40 mg každé 4 týdny, LP nemá být používán u pacientů s těžkou poruchou funkce jater (</w:t>
      </w:r>
      <w:proofErr w:type="spellStart"/>
      <w:r w:rsidRPr="005122D0">
        <w:rPr>
          <w:rFonts w:cstheme="minorHAnsi"/>
        </w:rPr>
        <w:t>Child</w:t>
      </w:r>
      <w:proofErr w:type="spellEnd"/>
      <w:r w:rsidRPr="005122D0">
        <w:rPr>
          <w:rFonts w:cstheme="minorHAnsi"/>
        </w:rPr>
        <w:t xml:space="preserve"> </w:t>
      </w:r>
      <w:proofErr w:type="spellStart"/>
      <w:r w:rsidRPr="005122D0">
        <w:rPr>
          <w:rFonts w:cstheme="minorHAnsi"/>
        </w:rPr>
        <w:t>Pugh</w:t>
      </w:r>
      <w:proofErr w:type="spellEnd"/>
      <w:r w:rsidRPr="005122D0">
        <w:rPr>
          <w:rFonts w:cstheme="minorHAnsi"/>
        </w:rPr>
        <w:t xml:space="preserve"> C).</w:t>
      </w:r>
    </w:p>
    <w:p w:rsidR="00B12B6B" w:rsidRDefault="008C7B40" w:rsidP="002E423A">
      <w:pPr>
        <w:tabs>
          <w:tab w:val="left" w:pos="8087"/>
        </w:tabs>
        <w:spacing w:after="0" w:line="240" w:lineRule="auto"/>
        <w:jc w:val="both"/>
        <w:rPr>
          <w:rFonts w:cstheme="minorHAnsi"/>
        </w:rPr>
      </w:pPr>
      <w:r w:rsidRPr="005122D0">
        <w:rPr>
          <w:rFonts w:eastAsia="Times New Roman" w:cstheme="minorHAnsi"/>
          <w:u w:val="single"/>
          <w:lang w:eastAsia="cs-CZ"/>
        </w:rPr>
        <w:t>Způsob podání</w:t>
      </w:r>
      <w:r w:rsidRPr="005122D0">
        <w:rPr>
          <w:rFonts w:eastAsia="Times New Roman" w:cstheme="minorHAnsi"/>
          <w:lang w:eastAsia="cs-CZ"/>
        </w:rPr>
        <w:t xml:space="preserve">: </w:t>
      </w:r>
      <w:r w:rsidR="00607464">
        <w:rPr>
          <w:rFonts w:eastAsia="Times New Roman" w:cstheme="minorHAnsi"/>
          <w:lang w:eastAsia="cs-CZ"/>
        </w:rPr>
        <w:t xml:space="preserve">LP </w:t>
      </w:r>
      <w:r w:rsidRPr="005122D0">
        <w:rPr>
          <w:rFonts w:cstheme="minorHAnsi"/>
        </w:rPr>
        <w:t xml:space="preserve">podává jen zdravotnický pracovník </w:t>
      </w:r>
      <w:r w:rsidRPr="005122D0">
        <w:rPr>
          <w:rFonts w:cstheme="minorHAnsi"/>
          <w:b/>
        </w:rPr>
        <w:t>hlubokou intramuskulární injekcí</w:t>
      </w:r>
      <w:r w:rsidR="000E4CA5">
        <w:rPr>
          <w:rFonts w:cstheme="minorHAnsi"/>
          <w:b/>
        </w:rPr>
        <w:t xml:space="preserve"> (CAVE! nezaměňovat </w:t>
      </w:r>
      <w:proofErr w:type="spellStart"/>
      <w:r w:rsidR="00607464">
        <w:rPr>
          <w:rFonts w:cstheme="minorHAnsi"/>
          <w:b/>
        </w:rPr>
        <w:t>i.m</w:t>
      </w:r>
      <w:proofErr w:type="spellEnd"/>
      <w:r w:rsidR="00607464">
        <w:rPr>
          <w:rFonts w:cstheme="minorHAnsi"/>
          <w:b/>
        </w:rPr>
        <w:t xml:space="preserve">. </w:t>
      </w:r>
      <w:r w:rsidR="000E4CA5">
        <w:rPr>
          <w:rFonts w:cstheme="minorHAnsi"/>
          <w:b/>
        </w:rPr>
        <w:t xml:space="preserve">za </w:t>
      </w:r>
      <w:proofErr w:type="spellStart"/>
      <w:r w:rsidR="000E4CA5">
        <w:rPr>
          <w:rFonts w:cstheme="minorHAnsi"/>
          <w:b/>
        </w:rPr>
        <w:t>s.c</w:t>
      </w:r>
      <w:proofErr w:type="spellEnd"/>
      <w:r w:rsidR="000E4CA5">
        <w:rPr>
          <w:rFonts w:cstheme="minorHAnsi"/>
          <w:b/>
        </w:rPr>
        <w:t xml:space="preserve">. formu </w:t>
      </w:r>
      <w:proofErr w:type="spellStart"/>
      <w:r w:rsidR="000E4CA5">
        <w:rPr>
          <w:rFonts w:cstheme="minorHAnsi"/>
          <w:b/>
        </w:rPr>
        <w:t>pasireotidu</w:t>
      </w:r>
      <w:proofErr w:type="spellEnd"/>
      <w:r w:rsidR="000E4CA5">
        <w:rPr>
          <w:rFonts w:cstheme="minorHAnsi"/>
          <w:b/>
        </w:rPr>
        <w:t xml:space="preserve"> – viz výše odstavec „Účinná látka“)</w:t>
      </w:r>
      <w:r w:rsidRPr="005122D0">
        <w:rPr>
          <w:rFonts w:cstheme="minorHAnsi"/>
        </w:rPr>
        <w:t xml:space="preserve">, </w:t>
      </w:r>
      <w:r w:rsidR="005122D0" w:rsidRPr="005122D0">
        <w:rPr>
          <w:rFonts w:cstheme="minorHAnsi"/>
        </w:rPr>
        <w:t xml:space="preserve">injekční </w:t>
      </w:r>
      <w:r w:rsidRPr="005122D0">
        <w:rPr>
          <w:rFonts w:cstheme="minorHAnsi"/>
        </w:rPr>
        <w:t>suspenze smí být připravena pouze bezprostředně před podáním</w:t>
      </w:r>
      <w:r w:rsidR="005122D0">
        <w:rPr>
          <w:rFonts w:cstheme="minorHAnsi"/>
        </w:rPr>
        <w:t xml:space="preserve"> (při rekonstituci LP se nacházejí 2 kritické kroky, které je třeba dodržet: 1. temperování injekčního setu min. 30 minut před rekonstitucí po vyjmutí z chladničky, 2. po doplnění rozpouštědla protřepávat lahvičku po dobu min. 30 sekund dokud se nevytvoří homogenní suspenze).</w:t>
      </w:r>
    </w:p>
    <w:p w:rsidR="0013740D" w:rsidRDefault="00B12B6B" w:rsidP="002E423A">
      <w:pPr>
        <w:tabs>
          <w:tab w:val="left" w:pos="8087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12B6B">
        <w:rPr>
          <w:rFonts w:cstheme="minorHAnsi"/>
          <w:u w:val="single"/>
        </w:rPr>
        <w:t>Další opatření:</w:t>
      </w:r>
      <w:r>
        <w:rPr>
          <w:rFonts w:cstheme="minorHAnsi"/>
        </w:rPr>
        <w:t xml:space="preserve"> </w:t>
      </w:r>
      <w:r w:rsidR="00607464">
        <w:rPr>
          <w:rFonts w:cstheme="minorHAnsi"/>
        </w:rPr>
        <w:t xml:space="preserve">existuje </w:t>
      </w:r>
      <w:r>
        <w:rPr>
          <w:rFonts w:cstheme="minorHAnsi"/>
        </w:rPr>
        <w:t>možné riziko bradykardie (</w:t>
      </w:r>
      <w:r w:rsidR="00607464">
        <w:rPr>
          <w:rFonts w:cstheme="minorHAnsi"/>
        </w:rPr>
        <w:t xml:space="preserve">proto </w:t>
      </w:r>
      <w:r>
        <w:rPr>
          <w:rFonts w:cstheme="minorHAnsi"/>
        </w:rPr>
        <w:t>nutné sledování u pac. se srdečními onemocněními/ rizik</w:t>
      </w:r>
      <w:r w:rsidR="00F81083">
        <w:rPr>
          <w:rFonts w:cstheme="minorHAnsi"/>
        </w:rPr>
        <w:t>ovými</w:t>
      </w:r>
      <w:r>
        <w:rPr>
          <w:rFonts w:cstheme="minorHAnsi"/>
        </w:rPr>
        <w:t xml:space="preserve"> faktory pro bradykardii/ </w:t>
      </w:r>
      <w:proofErr w:type="spellStart"/>
      <w:r>
        <w:rPr>
          <w:rFonts w:cstheme="minorHAnsi"/>
        </w:rPr>
        <w:t>bradykardizujícími</w:t>
      </w:r>
      <w:proofErr w:type="spellEnd"/>
      <w:r>
        <w:rPr>
          <w:rFonts w:cstheme="minorHAnsi"/>
        </w:rPr>
        <w:t xml:space="preserve"> léčivy – před zahájením léčby LP SIGNIFOR provést vyšetření </w:t>
      </w:r>
      <w:proofErr w:type="gramStart"/>
      <w:r>
        <w:rPr>
          <w:rFonts w:cstheme="minorHAnsi"/>
        </w:rPr>
        <w:t>EKG</w:t>
      </w:r>
      <w:r w:rsidR="00F81083">
        <w:rPr>
          <w:rFonts w:cstheme="minorHAnsi"/>
        </w:rPr>
        <w:t xml:space="preserve"> - </w:t>
      </w:r>
      <w:r w:rsidR="00F81083">
        <w:rPr>
          <w:rFonts w:cstheme="minorHAnsi"/>
          <w:u w:val="single"/>
        </w:rPr>
        <w:t>viz</w:t>
      </w:r>
      <w:proofErr w:type="gramEnd"/>
      <w:r w:rsidR="00F81083">
        <w:rPr>
          <w:rFonts w:cstheme="minorHAnsi"/>
          <w:u w:val="single"/>
        </w:rPr>
        <w:t xml:space="preserve"> níže </w:t>
      </w:r>
      <w:r w:rsidR="00F81083">
        <w:rPr>
          <w:rFonts w:cstheme="minorHAnsi"/>
          <w:u w:val="single"/>
        </w:rPr>
        <w:lastRenderedPageBreak/>
        <w:t>pozn. 73</w:t>
      </w:r>
      <w:r w:rsidR="00607464">
        <w:rPr>
          <w:rFonts w:cstheme="minorHAnsi"/>
        </w:rPr>
        <w:t>)</w:t>
      </w:r>
      <w:r>
        <w:rPr>
          <w:rFonts w:cstheme="minorHAnsi"/>
        </w:rPr>
        <w:t xml:space="preserve">, sledovat event. známky </w:t>
      </w:r>
      <w:proofErr w:type="spellStart"/>
      <w:r>
        <w:rPr>
          <w:rFonts w:cstheme="minorHAnsi"/>
        </w:rPr>
        <w:t>hypokortizolismu</w:t>
      </w:r>
      <w:proofErr w:type="spellEnd"/>
      <w:r>
        <w:rPr>
          <w:rFonts w:cstheme="minorHAnsi"/>
        </w:rPr>
        <w:t>, riziko cholelithiázy/ cholangitidy (</w:t>
      </w:r>
      <w:r w:rsidR="00607464">
        <w:rPr>
          <w:rFonts w:cstheme="minorHAnsi"/>
        </w:rPr>
        <w:t xml:space="preserve">jedná se o </w:t>
      </w:r>
      <w:r w:rsidR="00070983" w:rsidRPr="00531BE3">
        <w:rPr>
          <w:rFonts w:cstheme="minorHAnsi"/>
          <w:u w:val="single"/>
        </w:rPr>
        <w:t>obecn</w:t>
      </w:r>
      <w:r w:rsidR="00607464">
        <w:rPr>
          <w:rFonts w:cstheme="minorHAnsi"/>
          <w:u w:val="single"/>
        </w:rPr>
        <w:t>ou</w:t>
      </w:r>
      <w:r w:rsidR="00070983" w:rsidRPr="00531BE3">
        <w:rPr>
          <w:rFonts w:cstheme="minorHAnsi"/>
          <w:u w:val="single"/>
        </w:rPr>
        <w:t xml:space="preserve"> vlastnost </w:t>
      </w:r>
      <w:proofErr w:type="spellStart"/>
      <w:r w:rsidR="00070983" w:rsidRPr="00531BE3">
        <w:rPr>
          <w:rFonts w:cstheme="minorHAnsi"/>
          <w:u w:val="single"/>
        </w:rPr>
        <w:t>somatostat</w:t>
      </w:r>
      <w:proofErr w:type="spellEnd"/>
      <w:r w:rsidR="00070983" w:rsidRPr="00531BE3">
        <w:rPr>
          <w:rFonts w:cstheme="minorHAnsi"/>
          <w:u w:val="single"/>
        </w:rPr>
        <w:t xml:space="preserve">. </w:t>
      </w:r>
      <w:r w:rsidR="00531BE3" w:rsidRPr="00531BE3">
        <w:rPr>
          <w:rFonts w:cstheme="minorHAnsi"/>
          <w:u w:val="single"/>
        </w:rPr>
        <w:t>a</w:t>
      </w:r>
      <w:r w:rsidR="00070983" w:rsidRPr="00531BE3">
        <w:rPr>
          <w:rFonts w:cstheme="minorHAnsi"/>
          <w:u w:val="single"/>
        </w:rPr>
        <w:t>nalog</w:t>
      </w:r>
      <w:r w:rsidR="00531BE3" w:rsidRPr="00531BE3">
        <w:rPr>
          <w:rFonts w:cstheme="minorHAnsi"/>
          <w:u w:val="single"/>
        </w:rPr>
        <w:t xml:space="preserve"> – viz níže pozn. 11</w:t>
      </w:r>
      <w:r w:rsidR="00531BE3">
        <w:rPr>
          <w:rFonts w:cstheme="minorHAnsi"/>
          <w:u w:val="single"/>
        </w:rPr>
        <w:t xml:space="preserve"> a 19</w:t>
      </w:r>
      <w:r w:rsidR="00070983">
        <w:rPr>
          <w:rFonts w:cstheme="minorHAnsi"/>
        </w:rPr>
        <w:t xml:space="preserve">, </w:t>
      </w:r>
      <w:r>
        <w:rPr>
          <w:rFonts w:cstheme="minorHAnsi"/>
        </w:rPr>
        <w:t>před zahájením léčby a pak každých 6-12 měs</w:t>
      </w:r>
      <w:r w:rsidR="00607464">
        <w:rPr>
          <w:rFonts w:cstheme="minorHAnsi"/>
        </w:rPr>
        <w:t>íců</w:t>
      </w:r>
      <w:r>
        <w:rPr>
          <w:rFonts w:cstheme="minorHAnsi"/>
        </w:rPr>
        <w:t xml:space="preserve"> provádět UZ žlučníku</w:t>
      </w:r>
      <w:r w:rsidR="00070983">
        <w:rPr>
          <w:rFonts w:cstheme="minorHAnsi"/>
        </w:rPr>
        <w:t>)</w:t>
      </w:r>
      <w:r>
        <w:rPr>
          <w:rFonts w:cstheme="minorHAnsi"/>
        </w:rPr>
        <w:t xml:space="preserve">, </w:t>
      </w:r>
      <w:r w:rsidR="00607464">
        <w:rPr>
          <w:rFonts w:cstheme="minorHAnsi"/>
        </w:rPr>
        <w:t xml:space="preserve">existuje </w:t>
      </w:r>
      <w:r w:rsidR="00070983">
        <w:rPr>
          <w:rFonts w:cstheme="minorHAnsi"/>
        </w:rPr>
        <w:t>možnost znovuobnovení fertility u žen ve fertilním věku (před</w:t>
      </w:r>
      <w:r w:rsidR="00607464">
        <w:rPr>
          <w:rFonts w:cstheme="minorHAnsi"/>
        </w:rPr>
        <w:t xml:space="preserve"> léčbou</w:t>
      </w:r>
      <w:r w:rsidR="00070983">
        <w:rPr>
          <w:rFonts w:cstheme="minorHAnsi"/>
        </w:rPr>
        <w:t xml:space="preserve"> kvůli </w:t>
      </w:r>
      <w:r w:rsidR="00F81083">
        <w:rPr>
          <w:rFonts w:cstheme="minorHAnsi"/>
        </w:rPr>
        <w:t xml:space="preserve">samotnému </w:t>
      </w:r>
      <w:r w:rsidR="00070983">
        <w:rPr>
          <w:rFonts w:cstheme="minorHAnsi"/>
        </w:rPr>
        <w:t>onem</w:t>
      </w:r>
      <w:r w:rsidR="00F81083">
        <w:rPr>
          <w:rFonts w:cstheme="minorHAnsi"/>
        </w:rPr>
        <w:t>ocnění</w:t>
      </w:r>
      <w:r w:rsidR="00070983">
        <w:rPr>
          <w:rFonts w:cstheme="minorHAnsi"/>
        </w:rPr>
        <w:t xml:space="preserve"> neplodných</w:t>
      </w:r>
      <w:r w:rsidR="00531BE3">
        <w:rPr>
          <w:rFonts w:cstheme="minorHAnsi"/>
        </w:rPr>
        <w:t>, viz níže pozn. 11 a 19</w:t>
      </w:r>
      <w:r w:rsidR="00070983">
        <w:rPr>
          <w:rFonts w:cstheme="minorHAnsi"/>
        </w:rPr>
        <w:t xml:space="preserve">), možná </w:t>
      </w:r>
      <w:r w:rsidR="00F81083">
        <w:rPr>
          <w:rFonts w:cstheme="minorHAnsi"/>
        </w:rPr>
        <w:t xml:space="preserve">je </w:t>
      </w:r>
      <w:r w:rsidR="00070983">
        <w:rPr>
          <w:rFonts w:cstheme="minorHAnsi"/>
        </w:rPr>
        <w:t>inhibice dalších hypofyz</w:t>
      </w:r>
      <w:r w:rsidR="00F81083">
        <w:rPr>
          <w:rFonts w:cstheme="minorHAnsi"/>
        </w:rPr>
        <w:t xml:space="preserve">árních </w:t>
      </w:r>
      <w:r w:rsidR="00070983">
        <w:rPr>
          <w:rFonts w:cstheme="minorHAnsi"/>
        </w:rPr>
        <w:t xml:space="preserve">hormonů (kromě GH, ACTH např. TSH </w:t>
      </w:r>
      <w:r w:rsidR="00F81083">
        <w:rPr>
          <w:rFonts w:cstheme="minorHAnsi"/>
        </w:rPr>
        <w:t>–</w:t>
      </w:r>
      <w:r w:rsidR="00070983">
        <w:rPr>
          <w:rFonts w:cstheme="minorHAnsi"/>
        </w:rPr>
        <w:t xml:space="preserve"> </w:t>
      </w:r>
      <w:r w:rsidR="00F81083" w:rsidRPr="00F81083">
        <w:rPr>
          <w:rFonts w:cstheme="minorHAnsi"/>
          <w:u w:val="single"/>
        </w:rPr>
        <w:t xml:space="preserve">také </w:t>
      </w:r>
      <w:r w:rsidR="00F81083">
        <w:rPr>
          <w:rFonts w:cstheme="minorHAnsi"/>
          <w:u w:val="single"/>
        </w:rPr>
        <w:t xml:space="preserve">se jedná o </w:t>
      </w:r>
      <w:r w:rsidR="00070983" w:rsidRPr="00F81083">
        <w:rPr>
          <w:rFonts w:cstheme="minorHAnsi"/>
          <w:u w:val="single"/>
        </w:rPr>
        <w:t>obecn</w:t>
      </w:r>
      <w:r w:rsidR="00F81083">
        <w:rPr>
          <w:rFonts w:cstheme="minorHAnsi"/>
          <w:u w:val="single"/>
        </w:rPr>
        <w:t>ou</w:t>
      </w:r>
      <w:r w:rsidR="00070983" w:rsidRPr="00F81083">
        <w:rPr>
          <w:rFonts w:cstheme="minorHAnsi"/>
          <w:u w:val="single"/>
        </w:rPr>
        <w:t xml:space="preserve"> vlastnost </w:t>
      </w:r>
      <w:proofErr w:type="spellStart"/>
      <w:r w:rsidR="00070983" w:rsidRPr="00F81083">
        <w:rPr>
          <w:rFonts w:cstheme="minorHAnsi"/>
          <w:u w:val="single"/>
        </w:rPr>
        <w:t>somatostat</w:t>
      </w:r>
      <w:proofErr w:type="spellEnd"/>
      <w:r w:rsidR="00070983" w:rsidRPr="00F81083">
        <w:rPr>
          <w:rFonts w:cstheme="minorHAnsi"/>
          <w:u w:val="single"/>
        </w:rPr>
        <w:t>. analog</w:t>
      </w:r>
      <w:r w:rsidR="00531BE3" w:rsidRPr="00F81083">
        <w:rPr>
          <w:rFonts w:cstheme="minorHAnsi"/>
          <w:u w:val="single"/>
        </w:rPr>
        <w:t>, viz níže pozn. 11 a 19</w:t>
      </w:r>
      <w:r w:rsidR="00070983">
        <w:rPr>
          <w:rFonts w:cstheme="minorHAnsi"/>
        </w:rPr>
        <w:t>)</w:t>
      </w:r>
      <w:r w:rsidR="00EC73B7">
        <w:rPr>
          <w:rFonts w:cstheme="minorHAnsi"/>
        </w:rPr>
        <w:t>, možné zhoršení koagul</w:t>
      </w:r>
      <w:r w:rsidR="00F81083">
        <w:rPr>
          <w:rFonts w:cstheme="minorHAnsi"/>
        </w:rPr>
        <w:t>ačních</w:t>
      </w:r>
      <w:r w:rsidR="00EC73B7">
        <w:rPr>
          <w:rFonts w:cstheme="minorHAnsi"/>
        </w:rPr>
        <w:t xml:space="preserve"> parametrů (nutnost event. úpravy dávek případných antikoagulancií u pacienta).</w:t>
      </w:r>
      <w:r w:rsidR="00070983">
        <w:rPr>
          <w:rFonts w:cstheme="minorHAnsi"/>
        </w:rPr>
        <w:t xml:space="preserve">  </w:t>
      </w:r>
      <w:r w:rsidR="002E423A">
        <w:rPr>
          <w:rFonts w:eastAsia="Times New Roman" w:cstheme="minorHAnsi"/>
          <w:lang w:eastAsia="cs-CZ"/>
        </w:rPr>
        <w:tab/>
      </w:r>
    </w:p>
    <w:p w:rsidR="002A78C3" w:rsidRPr="007A0AE1" w:rsidRDefault="002A78C3" w:rsidP="002A78C3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528F8" w:rsidRDefault="00FC15E9" w:rsidP="00061346">
      <w:pPr>
        <w:spacing w:after="0"/>
        <w:jc w:val="both"/>
        <w:rPr>
          <w:rFonts w:cstheme="minorHAnsi"/>
        </w:rPr>
      </w:pPr>
      <w:r w:rsidRPr="00D30316">
        <w:rPr>
          <w:rFonts w:cstheme="minorHAnsi"/>
          <w:b/>
          <w:u w:val="single"/>
        </w:rPr>
        <w:t>Stav LP v ČR</w:t>
      </w:r>
      <w:r w:rsidRPr="00D30316">
        <w:rPr>
          <w:rFonts w:cstheme="minorHAnsi"/>
          <w:b/>
          <w:u w:val="single"/>
          <w:vertAlign w:val="superscript"/>
        </w:rPr>
        <w:t xml:space="preserve">2,3 </w:t>
      </w:r>
      <w:r w:rsidRPr="00D30316">
        <w:rPr>
          <w:rFonts w:cstheme="minorHAnsi"/>
          <w:b/>
          <w:u w:val="single"/>
        </w:rPr>
        <w:t xml:space="preserve">k datu </w:t>
      </w:r>
      <w:r w:rsidR="00830A12">
        <w:rPr>
          <w:rFonts w:cstheme="minorHAnsi"/>
          <w:b/>
          <w:u w:val="single"/>
        </w:rPr>
        <w:t>14</w:t>
      </w:r>
      <w:r w:rsidR="00B04A1D">
        <w:rPr>
          <w:rFonts w:cstheme="minorHAnsi"/>
          <w:b/>
          <w:u w:val="single"/>
        </w:rPr>
        <w:t>. 3</w:t>
      </w:r>
      <w:r w:rsidR="00CE6DE0">
        <w:rPr>
          <w:rFonts w:cstheme="minorHAnsi"/>
          <w:b/>
          <w:u w:val="single"/>
        </w:rPr>
        <w:t>. 2023</w:t>
      </w:r>
      <w:r w:rsidRPr="00334272">
        <w:rPr>
          <w:rFonts w:cstheme="minorHAnsi"/>
          <w:b/>
        </w:rPr>
        <w:t>:</w:t>
      </w:r>
      <w:r>
        <w:rPr>
          <w:rFonts w:cstheme="minorHAnsi"/>
        </w:rPr>
        <w:t xml:space="preserve">  </w:t>
      </w:r>
    </w:p>
    <w:p w:rsidR="00F80052" w:rsidRPr="00743069" w:rsidRDefault="0069372A" w:rsidP="00061346">
      <w:pPr>
        <w:spacing w:after="0"/>
        <w:jc w:val="both"/>
      </w:pPr>
      <w:r>
        <w:rPr>
          <w:rFonts w:cstheme="minorHAnsi"/>
        </w:rPr>
        <w:t xml:space="preserve">LP je </w:t>
      </w:r>
      <w:r w:rsidR="00D1362F">
        <w:rPr>
          <w:rFonts w:cstheme="minorHAnsi"/>
        </w:rPr>
        <w:t>registrován</w:t>
      </w:r>
      <w:r w:rsidR="00537CC9">
        <w:rPr>
          <w:rFonts w:cstheme="minorHAnsi"/>
        </w:rPr>
        <w:t xml:space="preserve"> v EU</w:t>
      </w:r>
      <w:r w:rsidR="00D1362F">
        <w:rPr>
          <w:rFonts w:cstheme="minorHAnsi"/>
        </w:rPr>
        <w:t xml:space="preserve"> jako </w:t>
      </w:r>
      <w:proofErr w:type="spellStart"/>
      <w:r w:rsidR="00D1362F" w:rsidRPr="00A126E4">
        <w:rPr>
          <w:rFonts w:cstheme="minorHAnsi"/>
          <w:b/>
        </w:rPr>
        <w:t>orphan</w:t>
      </w:r>
      <w:proofErr w:type="spellEnd"/>
      <w:r w:rsidR="00D1362F">
        <w:rPr>
          <w:rFonts w:cstheme="minorHAnsi"/>
        </w:rPr>
        <w:t xml:space="preserve">, </w:t>
      </w:r>
      <w:r w:rsidR="00634F96" w:rsidRPr="00A126E4">
        <w:rPr>
          <w:rFonts w:cstheme="minorHAnsi"/>
          <w:b/>
        </w:rPr>
        <w:t>správní řízení</w:t>
      </w:r>
      <w:r w:rsidR="00634F96">
        <w:rPr>
          <w:rFonts w:cstheme="minorHAnsi"/>
        </w:rPr>
        <w:t xml:space="preserve"> </w:t>
      </w:r>
      <w:r w:rsidR="00D342F7">
        <w:rPr>
          <w:rFonts w:cstheme="minorHAnsi"/>
        </w:rPr>
        <w:t>(</w:t>
      </w:r>
      <w:proofErr w:type="spellStart"/>
      <w:r w:rsidR="00D342F7">
        <w:rPr>
          <w:rFonts w:cstheme="minorHAnsi"/>
        </w:rPr>
        <w:t>sp</w:t>
      </w:r>
      <w:proofErr w:type="spellEnd"/>
      <w:r w:rsidR="00D342F7">
        <w:rPr>
          <w:rFonts w:cstheme="minorHAnsi"/>
        </w:rPr>
        <w:t xml:space="preserve">. zn. SUKLS262416/2022) </w:t>
      </w:r>
      <w:r w:rsidR="002A7CD2">
        <w:rPr>
          <w:rFonts w:cstheme="minorHAnsi"/>
        </w:rPr>
        <w:t xml:space="preserve">ve věci </w:t>
      </w:r>
      <w:r w:rsidR="006F1E0E">
        <w:rPr>
          <w:rFonts w:cstheme="minorHAnsi"/>
        </w:rPr>
        <w:t>výše</w:t>
      </w:r>
      <w:r w:rsidR="00634F96" w:rsidRPr="004F31F4">
        <w:rPr>
          <w:rFonts w:cstheme="minorHAnsi"/>
          <w:color w:val="000000"/>
          <w:shd w:val="clear" w:color="auto" w:fill="ECECEC"/>
        </w:rPr>
        <w:t xml:space="preserve"> a podmínek úhrady</w:t>
      </w:r>
      <w:r w:rsidR="003821EF">
        <w:rPr>
          <w:rFonts w:cstheme="minorHAnsi"/>
          <w:color w:val="000000"/>
          <w:shd w:val="clear" w:color="auto" w:fill="ECECEC"/>
        </w:rPr>
        <w:t xml:space="preserve"> </w:t>
      </w:r>
      <w:r w:rsidR="003821EF" w:rsidRPr="009C77EE">
        <w:rPr>
          <w:rFonts w:cstheme="minorHAnsi"/>
          <w:b/>
          <w:color w:val="000000"/>
          <w:shd w:val="clear" w:color="auto" w:fill="ECECEC"/>
        </w:rPr>
        <w:t>(</w:t>
      </w:r>
      <w:r w:rsidR="003821EF">
        <w:rPr>
          <w:rFonts w:cstheme="minorHAnsi"/>
          <w:b/>
        </w:rPr>
        <w:t xml:space="preserve">pozn. firmou </w:t>
      </w:r>
      <w:proofErr w:type="spellStart"/>
      <w:r w:rsidR="003821EF">
        <w:rPr>
          <w:rFonts w:cstheme="minorHAnsi"/>
          <w:b/>
        </w:rPr>
        <w:t>R</w:t>
      </w:r>
      <w:r w:rsidR="009C77EE">
        <w:rPr>
          <w:rFonts w:cstheme="minorHAnsi"/>
          <w:b/>
        </w:rPr>
        <w:t>e</w:t>
      </w:r>
      <w:r w:rsidR="003821EF">
        <w:rPr>
          <w:rFonts w:cstheme="minorHAnsi"/>
          <w:b/>
        </w:rPr>
        <w:t>cordati</w:t>
      </w:r>
      <w:proofErr w:type="spellEnd"/>
      <w:r w:rsidR="003821EF">
        <w:rPr>
          <w:rFonts w:cstheme="minorHAnsi"/>
          <w:b/>
        </w:rPr>
        <w:t xml:space="preserve"> je LP žádán</w:t>
      </w:r>
      <w:r w:rsidR="009C77EE">
        <w:rPr>
          <w:rFonts w:cstheme="minorHAnsi"/>
          <w:b/>
          <w:vertAlign w:val="superscript"/>
        </w:rPr>
        <w:t>5</w:t>
      </w:r>
      <w:r w:rsidR="003821EF">
        <w:rPr>
          <w:rFonts w:cstheme="minorHAnsi"/>
          <w:b/>
        </w:rPr>
        <w:t xml:space="preserve"> </w:t>
      </w:r>
      <w:r w:rsidR="009C77EE">
        <w:rPr>
          <w:rFonts w:cstheme="minorHAnsi"/>
          <w:b/>
        </w:rPr>
        <w:t xml:space="preserve">na </w:t>
      </w:r>
      <w:proofErr w:type="spellStart"/>
      <w:r w:rsidR="009C77EE">
        <w:rPr>
          <w:rFonts w:cstheme="minorHAnsi"/>
          <w:b/>
        </w:rPr>
        <w:t>SUKLu</w:t>
      </w:r>
      <w:proofErr w:type="spellEnd"/>
      <w:r w:rsidR="009C77EE">
        <w:rPr>
          <w:rFonts w:cstheme="minorHAnsi"/>
          <w:b/>
        </w:rPr>
        <w:t xml:space="preserve"> j</w:t>
      </w:r>
      <w:r w:rsidR="003821EF">
        <w:rPr>
          <w:rFonts w:cstheme="minorHAnsi"/>
          <w:b/>
        </w:rPr>
        <w:t>en pro první z </w:t>
      </w:r>
      <w:r w:rsidR="009C77EE">
        <w:rPr>
          <w:rFonts w:cstheme="minorHAnsi"/>
          <w:b/>
        </w:rPr>
        <w:t>výše</w:t>
      </w:r>
      <w:r w:rsidR="003821EF">
        <w:rPr>
          <w:rFonts w:cstheme="minorHAnsi"/>
          <w:b/>
        </w:rPr>
        <w:t xml:space="preserve"> uvedených indikací</w:t>
      </w:r>
      <w:r w:rsidR="009C77EE">
        <w:rPr>
          <w:rFonts w:cstheme="minorHAnsi"/>
          <w:b/>
        </w:rPr>
        <w:t>)</w:t>
      </w:r>
      <w:r w:rsidR="002A7CD2">
        <w:t xml:space="preserve"> </w:t>
      </w:r>
      <w:r w:rsidR="002A7CD2" w:rsidRPr="004C18D6">
        <w:t xml:space="preserve">bylo </w:t>
      </w:r>
      <w:r w:rsidR="00D7791B">
        <w:t xml:space="preserve">ale </w:t>
      </w:r>
      <w:r w:rsidR="006F1E0E" w:rsidRPr="004C18D6">
        <w:t xml:space="preserve">zahájeno </w:t>
      </w:r>
      <w:r w:rsidR="002A7CD2" w:rsidRPr="004C18D6">
        <w:t>k</w:t>
      </w:r>
      <w:r w:rsidR="006F1E0E" w:rsidRPr="004C18D6">
        <w:t> </w:t>
      </w:r>
      <w:r w:rsidR="002A7CD2" w:rsidRPr="004C18D6">
        <w:t>datu</w:t>
      </w:r>
      <w:r w:rsidR="006F1E0E" w:rsidRPr="004C18D6">
        <w:t xml:space="preserve"> 29. 11. 2022</w:t>
      </w:r>
      <w:r w:rsidR="00D7791B">
        <w:t xml:space="preserve"> „normální“ procedurou (nikoliv jako „</w:t>
      </w:r>
      <w:proofErr w:type="spellStart"/>
      <w:r w:rsidR="00D7791B">
        <w:t>orphan</w:t>
      </w:r>
      <w:proofErr w:type="spellEnd"/>
      <w:r w:rsidR="00D7791B">
        <w:t>“)</w:t>
      </w:r>
      <w:r w:rsidR="006F1E0E" w:rsidRPr="004C18D6">
        <w:t>,</w:t>
      </w:r>
      <w:r w:rsidR="00743069">
        <w:t xml:space="preserve"> </w:t>
      </w:r>
      <w:r w:rsidR="00743069" w:rsidRPr="00743069">
        <w:rPr>
          <w:b/>
          <w:u w:val="single"/>
        </w:rPr>
        <w:t>13. 3. 2023 vydal SUKL Hodnotící zprávu</w:t>
      </w:r>
      <w:r w:rsidR="00743069" w:rsidRPr="00743069">
        <w:rPr>
          <w:b/>
          <w:u w:val="single"/>
          <w:vertAlign w:val="superscript"/>
        </w:rPr>
        <w:t>89</w:t>
      </w:r>
      <w:r w:rsidR="00743069" w:rsidRPr="00743069">
        <w:rPr>
          <w:b/>
          <w:u w:val="single"/>
        </w:rPr>
        <w:t>, kde navrhuje LP SIGNIFOR úhradu nepřiznat (viz níže pozn. 90)</w:t>
      </w:r>
      <w:r w:rsidR="002A7CD2" w:rsidRPr="00743069">
        <w:rPr>
          <w:b/>
          <w:u w:val="single"/>
        </w:rPr>
        <w:t>.</w:t>
      </w:r>
      <w:r w:rsidR="002A7CD2">
        <w:t xml:space="preserve"> </w:t>
      </w:r>
      <w:r w:rsidR="00300C6E" w:rsidRPr="00300C6E">
        <w:rPr>
          <w:b/>
        </w:rPr>
        <w:t xml:space="preserve">Tzn. aktuálně by byla požadována </w:t>
      </w:r>
      <w:r w:rsidR="00D7791B">
        <w:rPr>
          <w:b/>
        </w:rPr>
        <w:t xml:space="preserve">pro LP </w:t>
      </w:r>
      <w:r w:rsidR="00300C6E" w:rsidRPr="00300C6E">
        <w:rPr>
          <w:b/>
        </w:rPr>
        <w:t>mimořádná úhrada ze zdravotního pojištění dle ustanovení § 16 zákona č. 48/1997 Sb. o veřejném zdravotním pojištění.</w:t>
      </w:r>
      <w:r w:rsidR="00543BD4">
        <w:rPr>
          <w:b/>
        </w:rPr>
        <w:t xml:space="preserve"> </w:t>
      </w:r>
    </w:p>
    <w:p w:rsidR="00F43C7A" w:rsidRDefault="00F43C7A" w:rsidP="00150CA3">
      <w:pPr>
        <w:spacing w:after="0"/>
        <w:jc w:val="both"/>
      </w:pPr>
      <w:r>
        <w:rPr>
          <w:rFonts w:cstheme="minorHAnsi"/>
          <w:b/>
        </w:rPr>
        <w:t>Žadatel o úhradu (</w:t>
      </w:r>
      <w:r w:rsidR="00D7791B">
        <w:rPr>
          <w:rFonts w:cstheme="minorHAnsi"/>
          <w:b/>
        </w:rPr>
        <w:t xml:space="preserve">firma </w:t>
      </w:r>
      <w:proofErr w:type="spellStart"/>
      <w:r>
        <w:rPr>
          <w:rFonts w:cstheme="minorHAnsi"/>
          <w:b/>
        </w:rPr>
        <w:t>Recordati</w:t>
      </w:r>
      <w:proofErr w:type="spellEnd"/>
      <w:r>
        <w:rPr>
          <w:rFonts w:cstheme="minorHAnsi"/>
          <w:b/>
        </w:rPr>
        <w:t>) navrh</w:t>
      </w:r>
      <w:r w:rsidR="00BD313B">
        <w:rPr>
          <w:rFonts w:cstheme="minorHAnsi"/>
          <w:b/>
        </w:rPr>
        <w:t>oval</w:t>
      </w:r>
      <w:r w:rsidRPr="00F43C7A">
        <w:rPr>
          <w:rFonts w:cstheme="minorHAnsi"/>
          <w:b/>
          <w:vertAlign w:val="superscript"/>
        </w:rPr>
        <w:t>5</w:t>
      </w:r>
      <w:r>
        <w:rPr>
          <w:rFonts w:cstheme="minorHAnsi"/>
          <w:b/>
        </w:rPr>
        <w:t xml:space="preserve"> podmínky úhrady následovně</w:t>
      </w:r>
      <w:r w:rsidR="00F654FE">
        <w:rPr>
          <w:rFonts w:cstheme="minorHAnsi"/>
          <w:b/>
        </w:rPr>
        <w:t xml:space="preserve"> </w:t>
      </w:r>
      <w:r w:rsidR="00F654FE" w:rsidRPr="00D7791B">
        <w:rPr>
          <w:rFonts w:cstheme="minorHAnsi"/>
          <w:sz w:val="20"/>
          <w:szCs w:val="20"/>
        </w:rPr>
        <w:t>(pozn. autorem této FE analýzy bylo provedeno zvýraznění skutečností odlišných od schválené indikace (viz výše))</w:t>
      </w:r>
      <w:r>
        <w:rPr>
          <w:rFonts w:cstheme="minorHAnsi"/>
          <w:b/>
        </w:rPr>
        <w:t xml:space="preserve">: </w:t>
      </w:r>
      <w:r w:rsidR="004C18D6" w:rsidRPr="004C18D6">
        <w:rPr>
          <w:rFonts w:cstheme="minorHAnsi"/>
        </w:rPr>
        <w:t>„</w:t>
      </w:r>
      <w:r w:rsidRPr="004C18D6">
        <w:rPr>
          <w:i/>
          <w:iCs/>
        </w:rPr>
        <w:t>j</w:t>
      </w:r>
      <w:r w:rsidRPr="00700154">
        <w:rPr>
          <w:i/>
          <w:iCs/>
        </w:rPr>
        <w:t xml:space="preserve">e hrazen v léčbě nemocných s akromegalií jako léčivo </w:t>
      </w:r>
      <w:r w:rsidRPr="007E0DB9">
        <w:rPr>
          <w:i/>
          <w:iCs/>
          <w:u w:val="single"/>
        </w:rPr>
        <w:t>další volb</w:t>
      </w:r>
      <w:r w:rsidRPr="00700154">
        <w:rPr>
          <w:i/>
          <w:iCs/>
        </w:rPr>
        <w:t xml:space="preserve">y u pacientů, kteří nedosáhli normalizace hormonální aktivity akromegalie jinými léčebnými způsoby a jejich kombinací, tj. léčbou chirurgickou, </w:t>
      </w:r>
      <w:r w:rsidRPr="007E0DB9">
        <w:rPr>
          <w:i/>
          <w:iCs/>
          <w:u w:val="single"/>
        </w:rPr>
        <w:t xml:space="preserve">radiační </w:t>
      </w:r>
      <w:r w:rsidRPr="00700154">
        <w:rPr>
          <w:i/>
          <w:iCs/>
        </w:rPr>
        <w:t xml:space="preserve">a medikamentózní </w:t>
      </w:r>
      <w:proofErr w:type="spellStart"/>
      <w:r w:rsidRPr="007E0DB9">
        <w:rPr>
          <w:i/>
          <w:iCs/>
          <w:u w:val="single"/>
        </w:rPr>
        <w:t>dopaminergními</w:t>
      </w:r>
      <w:proofErr w:type="spellEnd"/>
      <w:r w:rsidRPr="007E0DB9">
        <w:rPr>
          <w:i/>
          <w:iCs/>
          <w:u w:val="single"/>
        </w:rPr>
        <w:t xml:space="preserve"> agonisty</w:t>
      </w:r>
      <w:r w:rsidRPr="00700154">
        <w:rPr>
          <w:i/>
          <w:iCs/>
        </w:rPr>
        <w:t xml:space="preserve"> a </w:t>
      </w:r>
      <w:proofErr w:type="spellStart"/>
      <w:r w:rsidRPr="00700154">
        <w:rPr>
          <w:i/>
          <w:iCs/>
        </w:rPr>
        <w:t>somatostatinovými</w:t>
      </w:r>
      <w:proofErr w:type="spellEnd"/>
      <w:r w:rsidRPr="00700154">
        <w:rPr>
          <w:i/>
          <w:iCs/>
        </w:rPr>
        <w:t xml:space="preserve"> analogy</w:t>
      </w:r>
      <w:r w:rsidR="004C18D6">
        <w:rPr>
          <w:i/>
          <w:iCs/>
        </w:rPr>
        <w:t>“</w:t>
      </w:r>
      <w:r w:rsidRPr="00700154">
        <w:rPr>
          <w:i/>
          <w:iCs/>
        </w:rPr>
        <w:t>.</w:t>
      </w:r>
      <w:r w:rsidR="00101BEB">
        <w:rPr>
          <w:iCs/>
        </w:rPr>
        <w:t xml:space="preserve"> Podmínky úhrady pro LP SIGNIFOR </w:t>
      </w:r>
      <w:r w:rsidR="00D7791B">
        <w:rPr>
          <w:iCs/>
        </w:rPr>
        <w:t>byly</w:t>
      </w:r>
      <w:r w:rsidR="00101BEB">
        <w:rPr>
          <w:iCs/>
        </w:rPr>
        <w:t xml:space="preserve"> navrhovány v úplně stejné formulaci jako už má hrazený</w:t>
      </w:r>
      <w:r w:rsidR="002914DD" w:rsidRPr="002914DD">
        <w:rPr>
          <w:iCs/>
          <w:vertAlign w:val="superscript"/>
        </w:rPr>
        <w:t>1</w:t>
      </w:r>
      <w:r w:rsidR="00101BEB">
        <w:rPr>
          <w:iCs/>
        </w:rPr>
        <w:t xml:space="preserve"> LP SOMAVERT</w:t>
      </w:r>
      <w:r w:rsidR="002914DD">
        <w:rPr>
          <w:iCs/>
        </w:rPr>
        <w:t xml:space="preserve"> (</w:t>
      </w:r>
      <w:r w:rsidR="00D7791B">
        <w:rPr>
          <w:iCs/>
        </w:rPr>
        <w:t xml:space="preserve">obsahuje účinnou látku </w:t>
      </w:r>
      <w:proofErr w:type="spellStart"/>
      <w:r w:rsidR="002914DD">
        <w:rPr>
          <w:iCs/>
        </w:rPr>
        <w:t>pegvisomant</w:t>
      </w:r>
      <w:proofErr w:type="spellEnd"/>
      <w:r w:rsidR="00CB1B17">
        <w:rPr>
          <w:iCs/>
        </w:rPr>
        <w:t xml:space="preserve"> – viz níže pozn. 25</w:t>
      </w:r>
      <w:r w:rsidR="002914DD">
        <w:rPr>
          <w:iCs/>
        </w:rPr>
        <w:t xml:space="preserve">), LP SOMAVERT má ale trochu odlišněji formulovanou indikaci </w:t>
      </w:r>
      <w:r w:rsidR="00D7791B">
        <w:rPr>
          <w:iCs/>
        </w:rPr>
        <w:t>v</w:t>
      </w:r>
      <w:r w:rsidR="002914DD">
        <w:rPr>
          <w:iCs/>
        </w:rPr>
        <w:t xml:space="preserve"> SPC</w:t>
      </w:r>
      <w:r w:rsidR="002914DD" w:rsidRPr="002914DD">
        <w:rPr>
          <w:iCs/>
          <w:vertAlign w:val="superscript"/>
        </w:rPr>
        <w:t>6</w:t>
      </w:r>
      <w:r w:rsidR="002914DD">
        <w:rPr>
          <w:iCs/>
        </w:rPr>
        <w:t>.</w:t>
      </w:r>
      <w:r w:rsidR="00CC679F">
        <w:rPr>
          <w:iCs/>
        </w:rPr>
        <w:t xml:space="preserve"> </w:t>
      </w:r>
      <w:r w:rsidR="00CC679F">
        <w:rPr>
          <w:b/>
          <w:bCs/>
        </w:rPr>
        <w:t>Žadatel</w:t>
      </w:r>
      <w:r w:rsidR="00BD313B">
        <w:rPr>
          <w:b/>
          <w:bCs/>
        </w:rPr>
        <w:t xml:space="preserve"> také</w:t>
      </w:r>
      <w:r w:rsidR="00CC679F">
        <w:rPr>
          <w:b/>
          <w:bCs/>
        </w:rPr>
        <w:t xml:space="preserve"> navrh</w:t>
      </w:r>
      <w:r w:rsidR="00BD313B">
        <w:rPr>
          <w:b/>
          <w:bCs/>
        </w:rPr>
        <w:t>oval</w:t>
      </w:r>
      <w:r w:rsidR="00CC679F" w:rsidRPr="00CC679F">
        <w:rPr>
          <w:b/>
          <w:bCs/>
          <w:vertAlign w:val="superscript"/>
        </w:rPr>
        <w:t>5</w:t>
      </w:r>
      <w:r w:rsidR="00CC679F">
        <w:rPr>
          <w:b/>
          <w:bCs/>
        </w:rPr>
        <w:t xml:space="preserve"> LP SIGNIFOR zařadit do zcela nové </w:t>
      </w:r>
      <w:proofErr w:type="spellStart"/>
      <w:r w:rsidR="00CC679F">
        <w:rPr>
          <w:b/>
          <w:bCs/>
        </w:rPr>
        <w:t>pseudoreferenční</w:t>
      </w:r>
      <w:proofErr w:type="spellEnd"/>
      <w:r w:rsidR="00CC679F">
        <w:rPr>
          <w:b/>
          <w:bCs/>
        </w:rPr>
        <w:t xml:space="preserve"> skupiny, protože (podle něj) LP SIGNIFOR není srovnatelně účinný s komparovaným LP SOMAVERT s obsahem </w:t>
      </w:r>
      <w:proofErr w:type="spellStart"/>
      <w:r w:rsidR="00CC679F">
        <w:rPr>
          <w:b/>
          <w:bCs/>
        </w:rPr>
        <w:t>pegvisomantu</w:t>
      </w:r>
      <w:proofErr w:type="spellEnd"/>
      <w:r w:rsidR="00CC679F" w:rsidRPr="00A605EF">
        <w:t>,</w:t>
      </w:r>
      <w:r w:rsidR="00CC679F">
        <w:rPr>
          <w:b/>
          <w:bCs/>
        </w:rPr>
        <w:t xml:space="preserve"> </w:t>
      </w:r>
      <w:r w:rsidR="00CC679F" w:rsidRPr="00A605EF">
        <w:t xml:space="preserve">neboť tento, rozdílně od </w:t>
      </w:r>
      <w:r w:rsidR="00CC679F">
        <w:t>LP</w:t>
      </w:r>
      <w:r w:rsidR="00CC679F" w:rsidRPr="00A605EF">
        <w:t xml:space="preserve"> SIGNIFOR, nedisponuje centrálním, ale pouze periferním účinkem</w:t>
      </w:r>
      <w:r w:rsidR="00263584">
        <w:t xml:space="preserve"> (viz níže pozn. 25)</w:t>
      </w:r>
      <w:r w:rsidR="00CC679F" w:rsidRPr="00A605EF">
        <w:t xml:space="preserve">, </w:t>
      </w:r>
      <w:r w:rsidR="00CC679F">
        <w:t>dále</w:t>
      </w:r>
      <w:r w:rsidR="00CC679F" w:rsidRPr="00A605EF">
        <w:t xml:space="preserve"> se</w:t>
      </w:r>
      <w:r w:rsidR="00CC679F">
        <w:t xml:space="preserve"> </w:t>
      </w:r>
      <w:r w:rsidR="00CC679F" w:rsidRPr="00CC679F">
        <w:rPr>
          <w:b/>
        </w:rPr>
        <w:t>LP SOMAVERT</w:t>
      </w:r>
      <w:r w:rsidR="00A44600">
        <w:rPr>
          <w:b/>
        </w:rPr>
        <w:t xml:space="preserve"> </w:t>
      </w:r>
      <w:r w:rsidR="00A44600" w:rsidRPr="00A44600">
        <w:t>(</w:t>
      </w:r>
      <w:r w:rsidR="00A44600">
        <w:rPr>
          <w:iCs/>
        </w:rPr>
        <w:t>viz níže pozn. 25</w:t>
      </w:r>
      <w:r w:rsidR="00A44600" w:rsidRPr="00A44600">
        <w:t>)</w:t>
      </w:r>
      <w:r w:rsidR="00A44600">
        <w:rPr>
          <w:b/>
        </w:rPr>
        <w:t xml:space="preserve"> </w:t>
      </w:r>
      <w:r w:rsidR="00CC679F" w:rsidRPr="00CC679F">
        <w:rPr>
          <w:b/>
        </w:rPr>
        <w:t>často kombinuje s</w:t>
      </w:r>
      <w:r w:rsidR="00F11670">
        <w:rPr>
          <w:b/>
        </w:rPr>
        <w:t>e</w:t>
      </w:r>
      <w:r w:rsidR="00D7791B">
        <w:rPr>
          <w:b/>
        </w:rPr>
        <w:t> </w:t>
      </w:r>
      <w:proofErr w:type="spellStart"/>
      <w:r w:rsidR="00D7791B">
        <w:rPr>
          <w:b/>
        </w:rPr>
        <w:t>somatostatinovými</w:t>
      </w:r>
      <w:proofErr w:type="spellEnd"/>
      <w:r w:rsidR="00D7791B">
        <w:rPr>
          <w:b/>
        </w:rPr>
        <w:t xml:space="preserve"> analogy (tj.</w:t>
      </w:r>
      <w:r w:rsidR="00CC679F" w:rsidRPr="00CC679F">
        <w:rPr>
          <w:b/>
        </w:rPr>
        <w:t xml:space="preserve"> </w:t>
      </w:r>
      <w:proofErr w:type="spellStart"/>
      <w:r w:rsidR="00CC679F" w:rsidRPr="00CC679F">
        <w:rPr>
          <w:b/>
        </w:rPr>
        <w:t>lanreotidem</w:t>
      </w:r>
      <w:proofErr w:type="spellEnd"/>
      <w:r w:rsidR="00CC679F" w:rsidRPr="00CC679F">
        <w:rPr>
          <w:b/>
        </w:rPr>
        <w:t xml:space="preserve"> nebo </w:t>
      </w:r>
      <w:proofErr w:type="spellStart"/>
      <w:r w:rsidR="00CC679F" w:rsidRPr="00CC679F">
        <w:rPr>
          <w:b/>
        </w:rPr>
        <w:t>oktreotidem</w:t>
      </w:r>
      <w:proofErr w:type="spellEnd"/>
      <w:r w:rsidR="00D7791B">
        <w:rPr>
          <w:b/>
        </w:rPr>
        <w:t xml:space="preserve"> - </w:t>
      </w:r>
      <w:r w:rsidR="00D7791B" w:rsidRPr="00FC601F">
        <w:rPr>
          <w:rFonts w:cstheme="minorHAnsi"/>
        </w:rPr>
        <w:t>viz níže pozn. 19</w:t>
      </w:r>
      <w:r w:rsidR="00D7791B">
        <w:rPr>
          <w:rFonts w:cstheme="minorHAnsi"/>
        </w:rPr>
        <w:t>)</w:t>
      </w:r>
      <w:r w:rsidR="00CC679F">
        <w:t xml:space="preserve">, </w:t>
      </w:r>
      <w:r w:rsidR="00CC679F" w:rsidRPr="00FD0D33">
        <w:t>disponujícími centrálním účinkem</w:t>
      </w:r>
      <w:r w:rsidR="00CC679F" w:rsidRPr="00A605EF">
        <w:t>.</w:t>
      </w:r>
      <w:r w:rsidR="009F35DB">
        <w:t xml:space="preserve"> SUKL zařadil</w:t>
      </w:r>
      <w:r w:rsidR="009F35DB" w:rsidRPr="009F35DB">
        <w:rPr>
          <w:vertAlign w:val="superscript"/>
        </w:rPr>
        <w:t>89</w:t>
      </w:r>
      <w:r w:rsidR="009F35DB">
        <w:t xml:space="preserve"> léčivou látku </w:t>
      </w:r>
      <w:proofErr w:type="spellStart"/>
      <w:r w:rsidR="009F35DB">
        <w:t>pasireotid</w:t>
      </w:r>
      <w:proofErr w:type="spellEnd"/>
      <w:r w:rsidR="009F35DB">
        <w:t xml:space="preserve"> do skupiny č. 77 (</w:t>
      </w:r>
      <w:r w:rsidR="00D7791B">
        <w:t xml:space="preserve">tj. </w:t>
      </w:r>
      <w:r w:rsidR="009F35DB">
        <w:t>hormony hypotala</w:t>
      </w:r>
      <w:r w:rsidR="003154C1">
        <w:t>mu a jejich analoga) přílohy č.</w:t>
      </w:r>
      <w:r w:rsidR="00D7791B">
        <w:t xml:space="preserve"> </w:t>
      </w:r>
      <w:r w:rsidR="009F35DB">
        <w:t>2 zákona o veřejném zdravotním pojištění.</w:t>
      </w:r>
    </w:p>
    <w:p w:rsidR="00150CA3" w:rsidRPr="007A0AE1" w:rsidRDefault="00150CA3" w:rsidP="00150CA3">
      <w:pPr>
        <w:spacing w:after="0"/>
        <w:jc w:val="both"/>
        <w:rPr>
          <w:iCs/>
          <w:sz w:val="18"/>
          <w:szCs w:val="18"/>
        </w:rPr>
      </w:pPr>
    </w:p>
    <w:p w:rsidR="003D6912" w:rsidRPr="001245EE" w:rsidRDefault="00737ECB" w:rsidP="00061346">
      <w:pPr>
        <w:spacing w:after="0"/>
        <w:jc w:val="both"/>
        <w:rPr>
          <w:rFonts w:cstheme="minorHAnsi"/>
          <w:b/>
        </w:rPr>
      </w:pPr>
      <w:r w:rsidRPr="00F5278E">
        <w:rPr>
          <w:rFonts w:cstheme="minorHAnsi"/>
          <w:b/>
          <w:u w:val="single"/>
        </w:rPr>
        <w:t>Základní c</w:t>
      </w:r>
      <w:r w:rsidR="003D6912" w:rsidRPr="00F5278E">
        <w:rPr>
          <w:rFonts w:cstheme="minorHAnsi"/>
          <w:b/>
          <w:u w:val="single"/>
        </w:rPr>
        <w:t>harakterizac</w:t>
      </w:r>
      <w:r w:rsidRPr="00F5278E">
        <w:rPr>
          <w:rFonts w:cstheme="minorHAnsi"/>
          <w:b/>
          <w:u w:val="single"/>
        </w:rPr>
        <w:t>e</w:t>
      </w:r>
      <w:r w:rsidR="003D6912" w:rsidRPr="00F5278E">
        <w:rPr>
          <w:rFonts w:cstheme="minorHAnsi"/>
          <w:b/>
          <w:u w:val="single"/>
        </w:rPr>
        <w:t xml:space="preserve"> onemocnění</w:t>
      </w:r>
      <w:r w:rsidR="003D6912" w:rsidRPr="001245EE">
        <w:rPr>
          <w:rFonts w:cstheme="minorHAnsi"/>
          <w:b/>
        </w:rPr>
        <w:t xml:space="preserve">:  </w:t>
      </w:r>
    </w:p>
    <w:p w:rsidR="00FB0E2A" w:rsidRDefault="0070793A" w:rsidP="00984019">
      <w:pPr>
        <w:spacing w:after="0"/>
        <w:jc w:val="both"/>
        <w:rPr>
          <w:rFonts w:cstheme="minorHAnsi"/>
        </w:rPr>
      </w:pPr>
      <w:r w:rsidRPr="009F35DB">
        <w:rPr>
          <w:rFonts w:cstheme="minorHAnsi"/>
          <w:b/>
        </w:rPr>
        <w:t>Akromegalie je klinický syndrom, který je důsledkem nadměrné sekrece růstového hormonu</w:t>
      </w:r>
      <w:r w:rsidRPr="009F35DB">
        <w:rPr>
          <w:rFonts w:cstheme="minorHAnsi"/>
        </w:rPr>
        <w:t xml:space="preserve"> (</w:t>
      </w:r>
      <w:r w:rsidR="006A155D">
        <w:rPr>
          <w:rFonts w:cstheme="minorHAnsi"/>
        </w:rPr>
        <w:t xml:space="preserve">tzv. </w:t>
      </w:r>
      <w:r w:rsidRPr="009F35DB">
        <w:rPr>
          <w:rFonts w:cstheme="minorHAnsi"/>
        </w:rPr>
        <w:t>GH</w:t>
      </w:r>
      <w:r w:rsidR="006829EB" w:rsidRPr="009F35DB">
        <w:rPr>
          <w:rFonts w:cstheme="minorHAnsi"/>
        </w:rPr>
        <w:t>, viz níže pozn.</w:t>
      </w:r>
      <w:r w:rsidR="006A155D">
        <w:rPr>
          <w:rFonts w:cstheme="minorHAnsi"/>
        </w:rPr>
        <w:t xml:space="preserve"> </w:t>
      </w:r>
      <w:r w:rsidR="006829EB" w:rsidRPr="009F35DB">
        <w:rPr>
          <w:rFonts w:cstheme="minorHAnsi"/>
        </w:rPr>
        <w:t>13</w:t>
      </w:r>
      <w:r w:rsidRPr="009F35DB">
        <w:rPr>
          <w:rFonts w:cstheme="minorHAnsi"/>
        </w:rPr>
        <w:t>)</w:t>
      </w:r>
      <w:r w:rsidR="006829EB" w:rsidRPr="009F35DB">
        <w:rPr>
          <w:rFonts w:cstheme="minorHAnsi"/>
        </w:rPr>
        <w:t>, j</w:t>
      </w:r>
      <w:r w:rsidRPr="009F35DB">
        <w:rPr>
          <w:rFonts w:cstheme="minorHAnsi"/>
        </w:rPr>
        <w:t>e</w:t>
      </w:r>
      <w:r w:rsidR="006A155D">
        <w:rPr>
          <w:rFonts w:cstheme="minorHAnsi"/>
        </w:rPr>
        <w:t>jí</w:t>
      </w:r>
      <w:r w:rsidRPr="009F35DB">
        <w:rPr>
          <w:rFonts w:cstheme="minorHAnsi"/>
        </w:rPr>
        <w:t xml:space="preserve"> </w:t>
      </w:r>
      <w:r w:rsidRPr="009F35DB">
        <w:rPr>
          <w:rFonts w:cstheme="minorHAnsi"/>
          <w:b/>
        </w:rPr>
        <w:t xml:space="preserve">roční </w:t>
      </w:r>
      <w:r w:rsidR="006829EB" w:rsidRPr="009F35DB">
        <w:rPr>
          <w:rFonts w:cstheme="minorHAnsi"/>
          <w:b/>
        </w:rPr>
        <w:t>incidence</w:t>
      </w:r>
      <w:r w:rsidRPr="009F35DB">
        <w:rPr>
          <w:rFonts w:cstheme="minorHAnsi"/>
          <w:b/>
        </w:rPr>
        <w:t xml:space="preserve"> je </w:t>
      </w:r>
      <w:r w:rsidR="006829EB" w:rsidRPr="009F35DB">
        <w:rPr>
          <w:rFonts w:cstheme="minorHAnsi"/>
          <w:b/>
        </w:rPr>
        <w:t>6-8</w:t>
      </w:r>
      <w:r w:rsidRPr="009F35DB">
        <w:rPr>
          <w:rFonts w:cstheme="minorHAnsi"/>
          <w:b/>
        </w:rPr>
        <w:t xml:space="preserve"> na milion lidí</w:t>
      </w:r>
      <w:r w:rsidR="006829EB" w:rsidRPr="009F35DB">
        <w:rPr>
          <w:rFonts w:cstheme="minorHAnsi"/>
        </w:rPr>
        <w:t>, p</w:t>
      </w:r>
      <w:r w:rsidRPr="009F35DB">
        <w:rPr>
          <w:rFonts w:cstheme="minorHAnsi"/>
        </w:rPr>
        <w:t>růměrný věk při diagnóze je 40 až 45 let</w:t>
      </w:r>
      <w:r w:rsidR="006829EB" w:rsidRPr="009F35DB">
        <w:rPr>
          <w:rFonts w:cstheme="minorHAnsi"/>
          <w:vertAlign w:val="superscript"/>
        </w:rPr>
        <w:t>35</w:t>
      </w:r>
      <w:r w:rsidRPr="009F35DB">
        <w:rPr>
          <w:rFonts w:cstheme="minorHAnsi"/>
        </w:rPr>
        <w:t>.</w:t>
      </w:r>
      <w:r w:rsidR="00E86712" w:rsidRPr="009F35DB">
        <w:rPr>
          <w:rFonts w:cstheme="minorHAnsi"/>
        </w:rPr>
        <w:t xml:space="preserve"> </w:t>
      </w:r>
      <w:r w:rsidR="00E86712" w:rsidRPr="009F35DB">
        <w:rPr>
          <w:rFonts w:cstheme="minorHAnsi"/>
          <w:b/>
        </w:rPr>
        <w:t>Prevalence</w:t>
      </w:r>
      <w:r w:rsidR="006A155D">
        <w:rPr>
          <w:rFonts w:cstheme="minorHAnsi"/>
          <w:b/>
        </w:rPr>
        <w:t xml:space="preserve"> akromegalie</w:t>
      </w:r>
      <w:r w:rsidR="00E86712" w:rsidRPr="009F35DB">
        <w:rPr>
          <w:rFonts w:cstheme="minorHAnsi"/>
          <w:b/>
        </w:rPr>
        <w:t xml:space="preserve"> se udává mezi 2,8 – 13,7 na 100.000 lid</w:t>
      </w:r>
      <w:r w:rsidR="00E86712" w:rsidRPr="009F35DB">
        <w:rPr>
          <w:rFonts w:cstheme="minorHAnsi"/>
        </w:rPr>
        <w:t>í</w:t>
      </w:r>
      <w:r w:rsidR="00E86712" w:rsidRPr="009F35DB">
        <w:rPr>
          <w:rFonts w:cstheme="minorHAnsi"/>
          <w:vertAlign w:val="superscript"/>
        </w:rPr>
        <w:t>41</w:t>
      </w:r>
      <w:r w:rsidR="00E86712" w:rsidRPr="009F35DB">
        <w:rPr>
          <w:rFonts w:cstheme="minorHAnsi"/>
        </w:rPr>
        <w:t>.</w:t>
      </w:r>
      <w:r w:rsidR="006829EB" w:rsidRPr="009F35DB">
        <w:rPr>
          <w:rFonts w:cstheme="minorHAnsi"/>
        </w:rPr>
        <w:t xml:space="preserve"> </w:t>
      </w:r>
      <w:r w:rsidR="006829EB" w:rsidRPr="009F35DB">
        <w:rPr>
          <w:rFonts w:cstheme="minorHAnsi"/>
          <w:b/>
        </w:rPr>
        <w:t xml:space="preserve">Nejčastější příčinou akromegalie je </w:t>
      </w:r>
      <w:proofErr w:type="spellStart"/>
      <w:r w:rsidR="006829EB" w:rsidRPr="009F35DB">
        <w:rPr>
          <w:rFonts w:cstheme="minorHAnsi"/>
          <w:b/>
        </w:rPr>
        <w:t>somatotrofní</w:t>
      </w:r>
      <w:proofErr w:type="spellEnd"/>
      <w:r w:rsidR="006829EB" w:rsidRPr="009F35DB">
        <w:rPr>
          <w:rFonts w:cstheme="minorHAnsi"/>
          <w:b/>
        </w:rPr>
        <w:t xml:space="preserve"> (GH-</w:t>
      </w:r>
      <w:proofErr w:type="spellStart"/>
      <w:r w:rsidR="006829EB" w:rsidRPr="009F35DB">
        <w:rPr>
          <w:rFonts w:cstheme="minorHAnsi"/>
          <w:b/>
        </w:rPr>
        <w:t>sekretující</w:t>
      </w:r>
      <w:proofErr w:type="spellEnd"/>
      <w:r w:rsidR="006829EB" w:rsidRPr="009F35DB">
        <w:rPr>
          <w:rFonts w:cstheme="minorHAnsi"/>
          <w:b/>
        </w:rPr>
        <w:t>) adenom předního laloku hypofýzy (</w:t>
      </w:r>
      <w:r w:rsidR="006846DB" w:rsidRPr="009F35DB">
        <w:rPr>
          <w:rFonts w:cstheme="minorHAnsi"/>
          <w:b/>
        </w:rPr>
        <w:t>cca v 95 % případů</w:t>
      </w:r>
      <w:r w:rsidR="006846DB" w:rsidRPr="009F35DB">
        <w:rPr>
          <w:rFonts w:cstheme="minorHAnsi"/>
          <w:b/>
          <w:vertAlign w:val="superscript"/>
        </w:rPr>
        <w:t>41</w:t>
      </w:r>
      <w:r w:rsidR="006846DB" w:rsidRPr="009F35DB">
        <w:rPr>
          <w:rFonts w:cstheme="minorHAnsi"/>
          <w:b/>
        </w:rPr>
        <w:t xml:space="preserve">, </w:t>
      </w:r>
      <w:r w:rsidR="00691E31" w:rsidRPr="009F35DB">
        <w:rPr>
          <w:rFonts w:cstheme="minorHAnsi"/>
        </w:rPr>
        <w:t>někdy se</w:t>
      </w:r>
      <w:r w:rsidR="006A155D">
        <w:rPr>
          <w:rFonts w:cstheme="minorHAnsi"/>
        </w:rPr>
        <w:t xml:space="preserve"> tyto adenomy</w:t>
      </w:r>
      <w:r w:rsidR="00691E31" w:rsidRPr="009F35DB">
        <w:rPr>
          <w:rFonts w:cstheme="minorHAnsi"/>
        </w:rPr>
        <w:t xml:space="preserve"> také nazývají jako neuroendokrinní tumory hypofýzy – tzv. PitNET</w:t>
      </w:r>
      <w:r w:rsidR="00691E31" w:rsidRPr="009F35DB">
        <w:rPr>
          <w:rFonts w:cstheme="minorHAnsi"/>
          <w:vertAlign w:val="superscript"/>
        </w:rPr>
        <w:t>65</w:t>
      </w:r>
      <w:r w:rsidR="00691E31" w:rsidRPr="009F35DB">
        <w:rPr>
          <w:rFonts w:cstheme="minorHAnsi"/>
          <w:b/>
        </w:rPr>
        <w:t xml:space="preserve">, </w:t>
      </w:r>
      <w:r w:rsidR="006829EB" w:rsidRPr="009F35DB">
        <w:rPr>
          <w:rFonts w:cstheme="minorHAnsi"/>
          <w:b/>
        </w:rPr>
        <w:t>viz Přílohu č. 9</w:t>
      </w:r>
      <w:r w:rsidR="00C1751D" w:rsidRPr="009F35DB">
        <w:rPr>
          <w:rFonts w:cstheme="minorHAnsi"/>
          <w:b/>
        </w:rPr>
        <w:t>, a pozn. 64</w:t>
      </w:r>
      <w:r w:rsidR="006846DB" w:rsidRPr="009F35DB">
        <w:rPr>
          <w:rFonts w:cstheme="minorHAnsi"/>
          <w:b/>
        </w:rPr>
        <w:t>)</w:t>
      </w:r>
      <w:r w:rsidR="006829EB" w:rsidRPr="009F35DB">
        <w:rPr>
          <w:rFonts w:cstheme="minorHAnsi"/>
        </w:rPr>
        <w:t>, aktivační mutace</w:t>
      </w:r>
      <w:r w:rsidR="008C399D" w:rsidRPr="009F35DB">
        <w:rPr>
          <w:rFonts w:cstheme="minorHAnsi"/>
        </w:rPr>
        <w:t xml:space="preserve"> genu GNAS</w:t>
      </w:r>
      <w:r w:rsidR="00684A76" w:rsidRPr="009F35DB">
        <w:rPr>
          <w:rFonts w:cstheme="minorHAnsi"/>
        </w:rPr>
        <w:t xml:space="preserve"> (viz níže pozn. 64)</w:t>
      </w:r>
      <w:r w:rsidR="00691E31" w:rsidRPr="009F35DB">
        <w:rPr>
          <w:rFonts w:cstheme="minorHAnsi"/>
        </w:rPr>
        <w:t xml:space="preserve"> </w:t>
      </w:r>
      <w:r w:rsidR="008C399D" w:rsidRPr="009F35DB">
        <w:rPr>
          <w:rFonts w:cstheme="minorHAnsi"/>
        </w:rPr>
        <w:t xml:space="preserve">pro </w:t>
      </w:r>
      <w:r w:rsidR="006829EB" w:rsidRPr="009F35DB">
        <w:rPr>
          <w:rFonts w:cstheme="minorHAnsi"/>
        </w:rPr>
        <w:t>alfa podjednotk</w:t>
      </w:r>
      <w:r w:rsidR="008C399D" w:rsidRPr="009F35DB">
        <w:rPr>
          <w:rFonts w:cstheme="minorHAnsi"/>
        </w:rPr>
        <w:t xml:space="preserve">u </w:t>
      </w:r>
      <w:r w:rsidR="006829EB" w:rsidRPr="009F35DB">
        <w:rPr>
          <w:rFonts w:cstheme="minorHAnsi"/>
        </w:rPr>
        <w:t>stimulační</w:t>
      </w:r>
      <w:r w:rsidR="008C399D" w:rsidRPr="009F35DB">
        <w:rPr>
          <w:rFonts w:cstheme="minorHAnsi"/>
        </w:rPr>
        <w:t>ho</w:t>
      </w:r>
      <w:r w:rsidR="006829EB" w:rsidRPr="009F35DB">
        <w:rPr>
          <w:rFonts w:cstheme="minorHAnsi"/>
        </w:rPr>
        <w:t xml:space="preserve"> protein</w:t>
      </w:r>
      <w:r w:rsidR="008C399D" w:rsidRPr="009F35DB">
        <w:rPr>
          <w:rFonts w:cstheme="minorHAnsi"/>
        </w:rPr>
        <w:t>u</w:t>
      </w:r>
      <w:r w:rsidR="006829EB" w:rsidRPr="009F35DB">
        <w:rPr>
          <w:rFonts w:cstheme="minorHAnsi"/>
        </w:rPr>
        <w:t xml:space="preserve"> </w:t>
      </w:r>
      <w:proofErr w:type="spellStart"/>
      <w:r w:rsidR="006829EB" w:rsidRPr="009F35DB">
        <w:rPr>
          <w:rFonts w:cstheme="minorHAnsi"/>
        </w:rPr>
        <w:t>guaninnukleotidu</w:t>
      </w:r>
      <w:proofErr w:type="spellEnd"/>
      <w:r w:rsidR="006829EB" w:rsidRPr="009F35DB">
        <w:rPr>
          <w:rFonts w:cstheme="minorHAnsi"/>
        </w:rPr>
        <w:t xml:space="preserve"> (</w:t>
      </w:r>
      <w:r w:rsidR="008C399D" w:rsidRPr="009F35DB">
        <w:rPr>
          <w:rFonts w:cstheme="minorHAnsi"/>
        </w:rPr>
        <w:t>tzv. „</w:t>
      </w:r>
      <w:proofErr w:type="spellStart"/>
      <w:r w:rsidR="002945F4" w:rsidRPr="009F35DB">
        <w:rPr>
          <w:rFonts w:cstheme="minorHAnsi"/>
        </w:rPr>
        <w:t>Gs</w:t>
      </w:r>
      <w:proofErr w:type="spellEnd"/>
      <w:r w:rsidR="002945F4" w:rsidRPr="009F35DB">
        <w:rPr>
          <w:rFonts w:cstheme="minorHAnsi"/>
        </w:rPr>
        <w:t>α</w:t>
      </w:r>
      <w:r w:rsidR="008C399D" w:rsidRPr="009F35DB">
        <w:rPr>
          <w:rFonts w:cstheme="minorHAnsi"/>
        </w:rPr>
        <w:t>“</w:t>
      </w:r>
      <w:r w:rsidR="002945F4" w:rsidRPr="009F35DB">
        <w:rPr>
          <w:rFonts w:cstheme="minorHAnsi"/>
        </w:rPr>
        <w:t xml:space="preserve"> – viz také Přílohu č. 18</w:t>
      </w:r>
      <w:r w:rsidR="006829EB" w:rsidRPr="009F35DB">
        <w:rPr>
          <w:rFonts w:cstheme="minorHAnsi"/>
        </w:rPr>
        <w:t xml:space="preserve">) se nachází přibližně u 40 % </w:t>
      </w:r>
      <w:proofErr w:type="spellStart"/>
      <w:r w:rsidR="006829EB" w:rsidRPr="009F35DB">
        <w:rPr>
          <w:rFonts w:cstheme="minorHAnsi"/>
        </w:rPr>
        <w:t>somatotrofních</w:t>
      </w:r>
      <w:proofErr w:type="spellEnd"/>
      <w:r w:rsidR="006829EB" w:rsidRPr="009F35DB">
        <w:rPr>
          <w:rFonts w:cstheme="minorHAnsi"/>
        </w:rPr>
        <w:t xml:space="preserve"> adenomů</w:t>
      </w:r>
      <w:r w:rsidR="00691E31" w:rsidRPr="009F35DB">
        <w:rPr>
          <w:rFonts w:cstheme="minorHAnsi"/>
        </w:rPr>
        <w:t xml:space="preserve"> (viz níže pozn. 64) </w:t>
      </w:r>
      <w:r w:rsidR="006829EB" w:rsidRPr="009F35DB">
        <w:rPr>
          <w:rFonts w:cstheme="minorHAnsi"/>
        </w:rPr>
        <w:t xml:space="preserve">- tyto mutace mají za následek </w:t>
      </w:r>
      <w:r w:rsidR="00691E31" w:rsidRPr="009F35DB">
        <w:rPr>
          <w:rFonts w:cstheme="minorHAnsi"/>
        </w:rPr>
        <w:t xml:space="preserve">konstitutivní aktivaci </w:t>
      </w:r>
      <w:proofErr w:type="spellStart"/>
      <w:r w:rsidR="00691E31" w:rsidRPr="009F35DB">
        <w:rPr>
          <w:rFonts w:cstheme="minorHAnsi"/>
        </w:rPr>
        <w:t>adenylyl</w:t>
      </w:r>
      <w:r w:rsidR="006829EB" w:rsidRPr="009F35DB">
        <w:rPr>
          <w:rFonts w:cstheme="minorHAnsi"/>
        </w:rPr>
        <w:t>cyklázy</w:t>
      </w:r>
      <w:proofErr w:type="spellEnd"/>
      <w:r w:rsidR="006829EB" w:rsidRPr="006829EB">
        <w:rPr>
          <w:rFonts w:cstheme="minorHAnsi"/>
        </w:rPr>
        <w:t>, která může hrát roli jak v buněčném dělení, tak v nadměrné sekreci GH těmito adenomy</w:t>
      </w:r>
      <w:r w:rsidR="006829EB">
        <w:rPr>
          <w:rFonts w:cstheme="minorHAnsi"/>
        </w:rPr>
        <w:t xml:space="preserve">), </w:t>
      </w:r>
      <w:proofErr w:type="spellStart"/>
      <w:r w:rsidR="006A155D">
        <w:rPr>
          <w:rFonts w:cstheme="minorHAnsi"/>
        </w:rPr>
        <w:t>somatotrofní</w:t>
      </w:r>
      <w:proofErr w:type="spellEnd"/>
      <w:r w:rsidR="006829EB" w:rsidRPr="006829EB">
        <w:rPr>
          <w:rFonts w:cstheme="minorHAnsi"/>
        </w:rPr>
        <w:t xml:space="preserve"> adenomy tvoří přibližně </w:t>
      </w:r>
      <w:r w:rsidR="006829EB">
        <w:rPr>
          <w:rFonts w:cstheme="minorHAnsi"/>
        </w:rPr>
        <w:t>1/3</w:t>
      </w:r>
      <w:r w:rsidR="006829EB" w:rsidRPr="006829EB">
        <w:rPr>
          <w:rFonts w:cstheme="minorHAnsi"/>
        </w:rPr>
        <w:t xml:space="preserve"> všech adenomů hypofýzy </w:t>
      </w:r>
      <w:proofErr w:type="spellStart"/>
      <w:r w:rsidR="006829EB" w:rsidRPr="006829EB">
        <w:rPr>
          <w:rFonts w:cstheme="minorHAnsi"/>
        </w:rPr>
        <w:t>secernujících</w:t>
      </w:r>
      <w:proofErr w:type="spellEnd"/>
      <w:r w:rsidR="006829EB" w:rsidRPr="006829EB">
        <w:rPr>
          <w:rFonts w:cstheme="minorHAnsi"/>
        </w:rPr>
        <w:t xml:space="preserve"> hormony</w:t>
      </w:r>
      <w:r w:rsidR="006829EB" w:rsidRPr="006829EB">
        <w:rPr>
          <w:rFonts w:cstheme="minorHAnsi"/>
          <w:vertAlign w:val="superscript"/>
        </w:rPr>
        <w:t>35</w:t>
      </w:r>
      <w:r w:rsidR="006829EB" w:rsidRPr="006829EB">
        <w:rPr>
          <w:rFonts w:cstheme="minorHAnsi"/>
        </w:rPr>
        <w:t xml:space="preserve">. Nadbytek GH, ke kterému dochází před fúzí </w:t>
      </w:r>
      <w:proofErr w:type="spellStart"/>
      <w:r w:rsidR="006829EB" w:rsidRPr="006829EB">
        <w:rPr>
          <w:rFonts w:cstheme="minorHAnsi"/>
        </w:rPr>
        <w:t>epifyzárních</w:t>
      </w:r>
      <w:proofErr w:type="spellEnd"/>
      <w:r w:rsidR="006829EB" w:rsidRPr="006829EB">
        <w:rPr>
          <w:rFonts w:cstheme="minorHAnsi"/>
        </w:rPr>
        <w:t xml:space="preserve"> růstových plotének u dítěte nebo dospívajícího, se nazývá hypofyzární gigantismus</w:t>
      </w:r>
      <w:r w:rsidR="006829EB" w:rsidRPr="006829EB">
        <w:rPr>
          <w:rFonts w:cstheme="minorHAnsi"/>
          <w:vertAlign w:val="superscript"/>
        </w:rPr>
        <w:t>35</w:t>
      </w:r>
      <w:r w:rsidR="006829EB" w:rsidRPr="006829EB">
        <w:rPr>
          <w:rFonts w:cstheme="minorHAnsi"/>
        </w:rPr>
        <w:t>.</w:t>
      </w:r>
      <w:r w:rsidR="006829EB">
        <w:rPr>
          <w:rFonts w:cstheme="minorHAnsi"/>
        </w:rPr>
        <w:t xml:space="preserve"> Obecně n</w:t>
      </w:r>
      <w:r w:rsidR="00FB0E2A" w:rsidRPr="00FB0E2A">
        <w:rPr>
          <w:rFonts w:cstheme="minorHAnsi"/>
        </w:rPr>
        <w:t xml:space="preserve">ádory hypofýzy tvoří asi 15 % </w:t>
      </w:r>
      <w:r w:rsidR="006A155D">
        <w:rPr>
          <w:rFonts w:cstheme="minorHAnsi"/>
        </w:rPr>
        <w:t xml:space="preserve">ze všech </w:t>
      </w:r>
      <w:r w:rsidR="00FB0E2A" w:rsidRPr="00FB0E2A">
        <w:rPr>
          <w:rFonts w:cstheme="minorHAnsi"/>
        </w:rPr>
        <w:t>primárních intrakraniálních novotvarů</w:t>
      </w:r>
      <w:r w:rsidR="00FB0E2A">
        <w:rPr>
          <w:rFonts w:cstheme="minorHAnsi"/>
        </w:rPr>
        <w:t xml:space="preserve"> (v</w:t>
      </w:r>
      <w:r w:rsidR="00FB0E2A" w:rsidRPr="00FB0E2A">
        <w:rPr>
          <w:rFonts w:cstheme="minorHAnsi"/>
        </w:rPr>
        <w:t>zhledem k</w:t>
      </w:r>
      <w:r w:rsidR="00DE777D">
        <w:rPr>
          <w:rFonts w:cstheme="minorHAnsi"/>
        </w:rPr>
        <w:t>e</w:t>
      </w:r>
      <w:r w:rsidR="00FB0E2A" w:rsidRPr="00FB0E2A">
        <w:rPr>
          <w:rFonts w:cstheme="minorHAnsi"/>
        </w:rPr>
        <w:t xml:space="preserve"> kritickému umístění žlázy </w:t>
      </w:r>
      <w:r w:rsidR="006A155D">
        <w:rPr>
          <w:rFonts w:cstheme="minorHAnsi"/>
        </w:rPr>
        <w:t xml:space="preserve">ale </w:t>
      </w:r>
      <w:r w:rsidR="00FB0E2A" w:rsidRPr="00FB0E2A">
        <w:rPr>
          <w:rFonts w:cstheme="minorHAnsi"/>
        </w:rPr>
        <w:t>způsobují expanduj</w:t>
      </w:r>
      <w:r w:rsidR="00FB0E2A">
        <w:rPr>
          <w:rFonts w:cstheme="minorHAnsi"/>
        </w:rPr>
        <w:t>ící nádory kompresivní příznaky</w:t>
      </w:r>
      <w:r w:rsidR="006A155D">
        <w:rPr>
          <w:rFonts w:cstheme="minorHAnsi"/>
        </w:rPr>
        <w:t>)</w:t>
      </w:r>
      <w:r w:rsidR="00FB0E2A">
        <w:rPr>
          <w:rFonts w:cstheme="minorHAnsi"/>
        </w:rPr>
        <w:t>, k</w:t>
      </w:r>
      <w:r w:rsidR="00FB0E2A" w:rsidRPr="00FB0E2A">
        <w:rPr>
          <w:rFonts w:cstheme="minorHAnsi"/>
        </w:rPr>
        <w:t xml:space="preserve">dyž nádory vznikají v hypofyzárních </w:t>
      </w:r>
      <w:proofErr w:type="spellStart"/>
      <w:r w:rsidR="00FB0E2A" w:rsidRPr="00FB0E2A">
        <w:rPr>
          <w:rFonts w:cstheme="minorHAnsi"/>
        </w:rPr>
        <w:t>somatotrofních</w:t>
      </w:r>
      <w:proofErr w:type="spellEnd"/>
      <w:r w:rsidR="00FB0E2A" w:rsidRPr="00FB0E2A">
        <w:rPr>
          <w:rFonts w:cstheme="minorHAnsi"/>
        </w:rPr>
        <w:t xml:space="preserve"> buňkách</w:t>
      </w:r>
      <w:r w:rsidR="00A0671B">
        <w:rPr>
          <w:rFonts w:cstheme="minorHAnsi"/>
        </w:rPr>
        <w:t xml:space="preserve"> (viz níže pozn. 33</w:t>
      </w:r>
      <w:r w:rsidR="00EB30E9">
        <w:rPr>
          <w:rFonts w:cstheme="minorHAnsi"/>
        </w:rPr>
        <w:t xml:space="preserve"> a 64</w:t>
      </w:r>
      <w:r w:rsidR="00A0671B">
        <w:rPr>
          <w:rFonts w:cstheme="minorHAnsi"/>
        </w:rPr>
        <w:t>)</w:t>
      </w:r>
      <w:r w:rsidR="00FB0E2A" w:rsidRPr="00FB0E2A">
        <w:rPr>
          <w:rFonts w:cstheme="minorHAnsi"/>
        </w:rPr>
        <w:t xml:space="preserve">, aberantní sekrece </w:t>
      </w:r>
      <w:r w:rsidR="006829EB">
        <w:rPr>
          <w:rFonts w:cstheme="minorHAnsi"/>
        </w:rPr>
        <w:t>GH</w:t>
      </w:r>
      <w:r w:rsidR="00FB0E2A" w:rsidRPr="00FB0E2A">
        <w:rPr>
          <w:rFonts w:cstheme="minorHAnsi"/>
        </w:rPr>
        <w:t xml:space="preserve"> vede k charakteristickým rysům akromegalie</w:t>
      </w:r>
      <w:r w:rsidR="00FB0E2A" w:rsidRPr="00FB0E2A">
        <w:rPr>
          <w:rFonts w:cstheme="minorHAnsi"/>
          <w:vertAlign w:val="superscript"/>
        </w:rPr>
        <w:t>24</w:t>
      </w:r>
      <w:r w:rsidR="00FB0E2A" w:rsidRPr="00FB0E2A">
        <w:rPr>
          <w:rFonts w:cstheme="minorHAnsi"/>
        </w:rPr>
        <w:t>.</w:t>
      </w:r>
      <w:r w:rsidR="00DE777D">
        <w:rPr>
          <w:rFonts w:cstheme="minorHAnsi"/>
        </w:rPr>
        <w:t xml:space="preserve"> </w:t>
      </w:r>
      <w:r w:rsidR="004D46DD" w:rsidRPr="004D46DD">
        <w:rPr>
          <w:rFonts w:cstheme="minorHAnsi"/>
          <w:b/>
        </w:rPr>
        <w:t>Vysoké sérové koncentrace GH a</w:t>
      </w:r>
      <w:r w:rsidR="003C44C1">
        <w:rPr>
          <w:rFonts w:cstheme="minorHAnsi"/>
          <w:b/>
        </w:rPr>
        <w:t xml:space="preserve"> </w:t>
      </w:r>
      <w:r w:rsidR="003C44C1" w:rsidRPr="003C44C1">
        <w:rPr>
          <w:rFonts w:cstheme="minorHAnsi"/>
          <w:b/>
        </w:rPr>
        <w:t>inzulínu podobného růstového faktoru (tzv</w:t>
      </w:r>
      <w:r w:rsidR="003C44C1">
        <w:rPr>
          <w:rFonts w:cstheme="minorHAnsi"/>
        </w:rPr>
        <w:t xml:space="preserve">. </w:t>
      </w:r>
      <w:r w:rsidR="004D46DD" w:rsidRPr="004D46DD">
        <w:rPr>
          <w:rFonts w:cstheme="minorHAnsi"/>
          <w:b/>
        </w:rPr>
        <w:t>IGF-1</w:t>
      </w:r>
      <w:r w:rsidR="003C44C1">
        <w:rPr>
          <w:rFonts w:cstheme="minorHAnsi"/>
          <w:b/>
        </w:rPr>
        <w:t>, který</w:t>
      </w:r>
      <w:r w:rsidR="004D46DD" w:rsidRPr="004D46DD">
        <w:rPr>
          <w:rFonts w:cstheme="minorHAnsi"/>
          <w:b/>
        </w:rPr>
        <w:t xml:space="preserve"> je závislý na GH – viz Přílohu č. 3</w:t>
      </w:r>
      <w:r w:rsidR="003C44C1">
        <w:rPr>
          <w:rFonts w:cstheme="minorHAnsi"/>
          <w:b/>
        </w:rPr>
        <w:t xml:space="preserve"> a pozn. 13</w:t>
      </w:r>
      <w:r w:rsidR="004D46DD" w:rsidRPr="004D46DD">
        <w:rPr>
          <w:rFonts w:cstheme="minorHAnsi"/>
          <w:b/>
        </w:rPr>
        <w:t>)</w:t>
      </w:r>
      <w:r w:rsidR="006A155D">
        <w:rPr>
          <w:rFonts w:cstheme="minorHAnsi"/>
          <w:b/>
        </w:rPr>
        <w:t xml:space="preserve"> způsobují</w:t>
      </w:r>
      <w:r w:rsidR="004D46DD" w:rsidRPr="004D46DD">
        <w:rPr>
          <w:rFonts w:cstheme="minorHAnsi"/>
          <w:b/>
        </w:rPr>
        <w:t xml:space="preserve"> somatické i metabolické účinky</w:t>
      </w:r>
      <w:r w:rsidR="004D46DD">
        <w:rPr>
          <w:rFonts w:cstheme="minorHAnsi"/>
        </w:rPr>
        <w:t xml:space="preserve"> (</w:t>
      </w:r>
      <w:r w:rsidR="004D46DD" w:rsidRPr="004D46DD">
        <w:rPr>
          <w:rFonts w:cstheme="minorHAnsi"/>
          <w:u w:val="single"/>
        </w:rPr>
        <w:t>somatické účinky zahrnují</w:t>
      </w:r>
      <w:r w:rsidR="006A155D">
        <w:rPr>
          <w:rFonts w:cstheme="minorHAnsi"/>
          <w:u w:val="single"/>
        </w:rPr>
        <w:t>:</w:t>
      </w:r>
      <w:r w:rsidR="004D46DD" w:rsidRPr="004D46DD">
        <w:rPr>
          <w:rFonts w:cstheme="minorHAnsi"/>
        </w:rPr>
        <w:t xml:space="preserve"> stimulaci růstu mnoha tkání</w:t>
      </w:r>
      <w:r w:rsidR="00AF2741">
        <w:rPr>
          <w:rFonts w:cstheme="minorHAnsi"/>
        </w:rPr>
        <w:t xml:space="preserve"> (běžné jsou u pacientů KV onemocnění</w:t>
      </w:r>
      <w:r w:rsidR="00984019">
        <w:rPr>
          <w:rFonts w:cstheme="minorHAnsi"/>
        </w:rPr>
        <w:t xml:space="preserve"> (nejčastější jsou arytmie, hypertenze a chlopenní postižení</w:t>
      </w:r>
      <w:r w:rsidR="00984019" w:rsidRPr="00984019">
        <w:rPr>
          <w:rFonts w:cstheme="minorHAnsi"/>
          <w:vertAlign w:val="superscript"/>
        </w:rPr>
        <w:t>24</w:t>
      </w:r>
      <w:r w:rsidR="006A155D">
        <w:rPr>
          <w:rFonts w:cstheme="minorHAnsi"/>
          <w:vertAlign w:val="superscript"/>
        </w:rPr>
        <w:t>,</w:t>
      </w:r>
      <w:r w:rsidR="00AF2741" w:rsidRPr="00AF2741">
        <w:rPr>
          <w:rFonts w:cstheme="minorHAnsi"/>
          <w:vertAlign w:val="superscript"/>
        </w:rPr>
        <w:t>41</w:t>
      </w:r>
      <w:r w:rsidR="00AF2741">
        <w:rPr>
          <w:rFonts w:cstheme="minorHAnsi"/>
        </w:rPr>
        <w:t>)</w:t>
      </w:r>
      <w:r w:rsidR="004D46DD" w:rsidRPr="004D46DD">
        <w:rPr>
          <w:rFonts w:cstheme="minorHAnsi"/>
        </w:rPr>
        <w:t>, jako je kůže, pojivová tkáň, chrupavka</w:t>
      </w:r>
      <w:r w:rsidR="00AF2741">
        <w:rPr>
          <w:rFonts w:cstheme="minorHAnsi"/>
        </w:rPr>
        <w:t xml:space="preserve"> (osteoartritidou a poškozením kloubů</w:t>
      </w:r>
      <w:r w:rsidR="00984019">
        <w:rPr>
          <w:rFonts w:cstheme="minorHAnsi"/>
        </w:rPr>
        <w:t xml:space="preserve"> (</w:t>
      </w:r>
      <w:r w:rsidR="006A155D">
        <w:rPr>
          <w:rFonts w:cstheme="minorHAnsi"/>
        </w:rPr>
        <w:t xml:space="preserve">tj. </w:t>
      </w:r>
      <w:r w:rsidR="00984019" w:rsidRPr="00984019">
        <w:rPr>
          <w:rFonts w:cstheme="minorHAnsi"/>
        </w:rPr>
        <w:t xml:space="preserve">ztluštělá kloubní chrupavka, </w:t>
      </w:r>
      <w:proofErr w:type="spellStart"/>
      <w:r w:rsidR="00984019" w:rsidRPr="00984019">
        <w:rPr>
          <w:rFonts w:cstheme="minorHAnsi"/>
        </w:rPr>
        <w:t>periartikulární</w:t>
      </w:r>
      <w:proofErr w:type="spellEnd"/>
      <w:r w:rsidR="00984019" w:rsidRPr="00984019">
        <w:rPr>
          <w:rFonts w:cstheme="minorHAnsi"/>
        </w:rPr>
        <w:t xml:space="preserve"> kalcifikace,</w:t>
      </w:r>
      <w:r w:rsidR="00984019">
        <w:rPr>
          <w:rFonts w:cstheme="minorHAnsi"/>
        </w:rPr>
        <w:t xml:space="preserve"> </w:t>
      </w:r>
      <w:r w:rsidR="00984019" w:rsidRPr="00984019">
        <w:rPr>
          <w:rFonts w:cstheme="minorHAnsi"/>
        </w:rPr>
        <w:t>přerůstání osteofytů a synovitida</w:t>
      </w:r>
      <w:r w:rsidR="00984019" w:rsidRPr="00984019">
        <w:rPr>
          <w:rFonts w:cstheme="minorHAnsi"/>
          <w:vertAlign w:val="superscript"/>
        </w:rPr>
        <w:t>24</w:t>
      </w:r>
      <w:r w:rsidR="00984019">
        <w:rPr>
          <w:rFonts w:cstheme="minorHAnsi"/>
        </w:rPr>
        <w:t>)</w:t>
      </w:r>
      <w:r w:rsidR="00AF2741">
        <w:rPr>
          <w:rFonts w:cstheme="minorHAnsi"/>
        </w:rPr>
        <w:t xml:space="preserve"> je postiženo až 90 % pacientů</w:t>
      </w:r>
      <w:r w:rsidR="00AF2741" w:rsidRPr="00AF2741">
        <w:rPr>
          <w:rFonts w:cstheme="minorHAnsi"/>
          <w:vertAlign w:val="superscript"/>
        </w:rPr>
        <w:t>41</w:t>
      </w:r>
      <w:r w:rsidR="00AF2741">
        <w:rPr>
          <w:rFonts w:cstheme="minorHAnsi"/>
        </w:rPr>
        <w:t>),</w:t>
      </w:r>
      <w:r w:rsidR="004D46DD" w:rsidRPr="004D46DD">
        <w:rPr>
          <w:rFonts w:cstheme="minorHAnsi"/>
        </w:rPr>
        <w:t xml:space="preserve"> kosti, vnitř</w:t>
      </w:r>
      <w:r w:rsidR="00AF2741">
        <w:rPr>
          <w:rFonts w:cstheme="minorHAnsi"/>
        </w:rPr>
        <w:t>ní orgány</w:t>
      </w:r>
      <w:r w:rsidR="007D4AE3">
        <w:rPr>
          <w:rFonts w:cstheme="minorHAnsi"/>
        </w:rPr>
        <w:t xml:space="preserve"> (např. respirační onemocnění a spánková apnoe postihuje až 60 % pacientů</w:t>
      </w:r>
      <w:r w:rsidR="007D4AE3" w:rsidRPr="007D4AE3">
        <w:rPr>
          <w:rFonts w:cstheme="minorHAnsi"/>
          <w:vertAlign w:val="superscript"/>
        </w:rPr>
        <w:t>41</w:t>
      </w:r>
      <w:r w:rsidR="007D4AE3">
        <w:rPr>
          <w:rFonts w:cstheme="minorHAnsi"/>
        </w:rPr>
        <w:t>)</w:t>
      </w:r>
      <w:r w:rsidR="004D46DD" w:rsidRPr="004D46DD">
        <w:rPr>
          <w:rFonts w:cstheme="minorHAnsi"/>
        </w:rPr>
        <w:t xml:space="preserve"> a mnoho epiteliálních tkání</w:t>
      </w:r>
      <w:r w:rsidR="004D46DD">
        <w:rPr>
          <w:rFonts w:cstheme="minorHAnsi"/>
        </w:rPr>
        <w:t xml:space="preserve">, </w:t>
      </w:r>
      <w:r w:rsidR="004D46DD" w:rsidRPr="004D46DD">
        <w:rPr>
          <w:rFonts w:cstheme="minorHAnsi"/>
          <w:u w:val="single"/>
        </w:rPr>
        <w:t>metabolické účinky zahrnují</w:t>
      </w:r>
      <w:r w:rsidR="006A155D">
        <w:rPr>
          <w:rFonts w:cstheme="minorHAnsi"/>
          <w:u w:val="single"/>
        </w:rPr>
        <w:t>:</w:t>
      </w:r>
      <w:r w:rsidR="004D46DD" w:rsidRPr="004D46DD">
        <w:rPr>
          <w:rFonts w:cstheme="minorHAnsi"/>
        </w:rPr>
        <w:t xml:space="preserve"> retenci dusíku, antagonismus inzulínu a lipolýzu</w:t>
      </w:r>
      <w:r w:rsidR="007D4AE3">
        <w:rPr>
          <w:rFonts w:cstheme="minorHAnsi"/>
        </w:rPr>
        <w:t xml:space="preserve"> (DM 2. typu se rozvine cca u 25 % pacientů</w:t>
      </w:r>
      <w:r w:rsidR="007D4AE3" w:rsidRPr="007D4AE3">
        <w:rPr>
          <w:rFonts w:cstheme="minorHAnsi"/>
          <w:vertAlign w:val="superscript"/>
        </w:rPr>
        <w:t>41</w:t>
      </w:r>
      <w:r w:rsidR="007D4AE3">
        <w:rPr>
          <w:rFonts w:cstheme="minorHAnsi"/>
        </w:rPr>
        <w:t>)</w:t>
      </w:r>
      <w:r w:rsidR="004D46DD">
        <w:rPr>
          <w:rFonts w:cstheme="minorHAnsi"/>
        </w:rPr>
        <w:t xml:space="preserve"> – viz Přílohu č. 3), </w:t>
      </w:r>
      <w:r w:rsidR="004D46DD" w:rsidRPr="004D46DD">
        <w:rPr>
          <w:rFonts w:cstheme="minorHAnsi"/>
          <w:b/>
        </w:rPr>
        <w:t xml:space="preserve">kromě toho samotný </w:t>
      </w:r>
      <w:proofErr w:type="spellStart"/>
      <w:r w:rsidR="004D46DD" w:rsidRPr="004D46DD">
        <w:rPr>
          <w:rFonts w:cstheme="minorHAnsi"/>
          <w:b/>
        </w:rPr>
        <w:t>somatotrofní</w:t>
      </w:r>
      <w:proofErr w:type="spellEnd"/>
      <w:r w:rsidR="004D46DD" w:rsidRPr="004D46DD">
        <w:rPr>
          <w:rFonts w:cstheme="minorHAnsi"/>
          <w:b/>
        </w:rPr>
        <w:t xml:space="preserve"> adenom může způsobovat </w:t>
      </w:r>
      <w:proofErr w:type="spellStart"/>
      <w:r w:rsidR="006A155D">
        <w:rPr>
          <w:rFonts w:cstheme="minorHAnsi"/>
          <w:b/>
        </w:rPr>
        <w:t>tzv.</w:t>
      </w:r>
      <w:r w:rsidR="004D46DD" w:rsidRPr="004D46DD">
        <w:rPr>
          <w:rFonts w:cstheme="minorHAnsi"/>
          <w:b/>
        </w:rPr>
        <w:t>„kompresivní</w:t>
      </w:r>
      <w:proofErr w:type="spellEnd"/>
      <w:r w:rsidR="004D46DD" w:rsidRPr="004D46DD">
        <w:rPr>
          <w:rFonts w:cstheme="minorHAnsi"/>
          <w:b/>
        </w:rPr>
        <w:t>“ příznaky kvůli své velikos</w:t>
      </w:r>
      <w:r w:rsidR="004D46DD" w:rsidRPr="00040DED">
        <w:rPr>
          <w:rFonts w:cstheme="minorHAnsi"/>
          <w:b/>
        </w:rPr>
        <w:t>ti</w:t>
      </w:r>
      <w:r w:rsidR="00040DED" w:rsidRPr="00040DED">
        <w:rPr>
          <w:rFonts w:cstheme="minorHAnsi"/>
          <w:b/>
        </w:rPr>
        <w:t xml:space="preserve"> </w:t>
      </w:r>
      <w:r w:rsidR="00040DED">
        <w:rPr>
          <w:rFonts w:cstheme="minorHAnsi"/>
        </w:rPr>
        <w:t>(</w:t>
      </w:r>
      <w:r w:rsidR="006A155D" w:rsidRPr="006A155D">
        <w:rPr>
          <w:rFonts w:cstheme="minorHAnsi"/>
          <w:u w:val="single"/>
        </w:rPr>
        <w:t>1.</w:t>
      </w:r>
      <w:r w:rsidR="006A155D">
        <w:rPr>
          <w:rFonts w:cstheme="minorHAnsi"/>
        </w:rPr>
        <w:t xml:space="preserve"> </w:t>
      </w:r>
      <w:r w:rsidR="009D7937" w:rsidRPr="009D7937">
        <w:rPr>
          <w:rFonts w:cstheme="minorHAnsi"/>
          <w:u w:val="single"/>
        </w:rPr>
        <w:t>přímý „kompresivní“ efekt tumorové masy</w:t>
      </w:r>
      <w:r w:rsidR="00046E0C">
        <w:rPr>
          <w:rFonts w:cstheme="minorHAnsi"/>
          <w:u w:val="single"/>
        </w:rPr>
        <w:t xml:space="preserve"> (viz také Přílohu č. 24)</w:t>
      </w:r>
      <w:r w:rsidR="009D7937">
        <w:rPr>
          <w:rFonts w:cstheme="minorHAnsi"/>
        </w:rPr>
        <w:t xml:space="preserve">: </w:t>
      </w:r>
      <w:r w:rsidR="00040DED" w:rsidRPr="00040DED">
        <w:rPr>
          <w:rFonts w:cstheme="minorHAnsi"/>
        </w:rPr>
        <w:t>bolesti hlavy, defekty zorného pole (klasicky</w:t>
      </w:r>
      <w:r w:rsidR="006A155D">
        <w:rPr>
          <w:rFonts w:cstheme="minorHAnsi"/>
        </w:rPr>
        <w:t xml:space="preserve"> se vyskytuje</w:t>
      </w:r>
      <w:r w:rsidR="00040DED" w:rsidRPr="00040DED">
        <w:rPr>
          <w:rFonts w:cstheme="minorHAnsi"/>
        </w:rPr>
        <w:t xml:space="preserve"> bitemporální </w:t>
      </w:r>
      <w:proofErr w:type="spellStart"/>
      <w:r w:rsidR="00040DED" w:rsidRPr="00040DED">
        <w:rPr>
          <w:rFonts w:cstheme="minorHAnsi"/>
        </w:rPr>
        <w:t>hemianopsie</w:t>
      </w:r>
      <w:proofErr w:type="spellEnd"/>
      <w:r w:rsidR="00040DED" w:rsidRPr="00040DED">
        <w:rPr>
          <w:rFonts w:cstheme="minorHAnsi"/>
        </w:rPr>
        <w:t>) a obrny hlavových nervů</w:t>
      </w:r>
      <w:r w:rsidR="009D7937">
        <w:rPr>
          <w:rFonts w:cstheme="minorHAnsi"/>
        </w:rPr>
        <w:t xml:space="preserve">, </w:t>
      </w:r>
      <w:r w:rsidR="006A155D" w:rsidRPr="006A155D">
        <w:rPr>
          <w:rFonts w:cstheme="minorHAnsi"/>
          <w:u w:val="single"/>
        </w:rPr>
        <w:t>2.</w:t>
      </w:r>
      <w:r w:rsidR="006A155D">
        <w:rPr>
          <w:rFonts w:cstheme="minorHAnsi"/>
        </w:rPr>
        <w:t xml:space="preserve"> </w:t>
      </w:r>
      <w:r w:rsidR="009D7937" w:rsidRPr="009D7937">
        <w:rPr>
          <w:rFonts w:cstheme="minorHAnsi"/>
          <w:u w:val="single"/>
        </w:rPr>
        <w:t>ovlivnění funkce hypofýzy</w:t>
      </w:r>
      <w:r w:rsidR="009D7937">
        <w:rPr>
          <w:rFonts w:cstheme="minorHAnsi"/>
        </w:rPr>
        <w:t xml:space="preserve">: </w:t>
      </w:r>
      <w:proofErr w:type="spellStart"/>
      <w:r w:rsidR="009D7937">
        <w:rPr>
          <w:rFonts w:cstheme="minorHAnsi"/>
        </w:rPr>
        <w:t>s</w:t>
      </w:r>
      <w:r w:rsidR="009D7937" w:rsidRPr="009D7937">
        <w:rPr>
          <w:rFonts w:cstheme="minorHAnsi"/>
        </w:rPr>
        <w:t>omatotrofní</w:t>
      </w:r>
      <w:proofErr w:type="spellEnd"/>
      <w:r w:rsidR="009D7937" w:rsidRPr="009D7937">
        <w:rPr>
          <w:rFonts w:cstheme="minorHAnsi"/>
        </w:rPr>
        <w:t xml:space="preserve"> </w:t>
      </w:r>
      <w:proofErr w:type="spellStart"/>
      <w:r w:rsidR="009D7937" w:rsidRPr="009D7937">
        <w:rPr>
          <w:rFonts w:cstheme="minorHAnsi"/>
        </w:rPr>
        <w:t>makroadenom</w:t>
      </w:r>
      <w:proofErr w:type="spellEnd"/>
      <w:r w:rsidR="009D7937" w:rsidRPr="009D7937">
        <w:rPr>
          <w:rFonts w:cstheme="minorHAnsi"/>
        </w:rPr>
        <w:t xml:space="preserve"> může vzhledem ke své velikosti způsobit sníženou sekreci dalších hypofyzárních hormonů, nejčastěji gonadotropinů</w:t>
      </w:r>
      <w:r w:rsidR="009D7937">
        <w:rPr>
          <w:rFonts w:cstheme="minorHAnsi"/>
        </w:rPr>
        <w:t xml:space="preserve"> (m</w:t>
      </w:r>
      <w:r w:rsidR="009D7937" w:rsidRPr="009D7937">
        <w:rPr>
          <w:rFonts w:cstheme="minorHAnsi"/>
        </w:rPr>
        <w:t xml:space="preserve">noho žen s akromegalií má </w:t>
      </w:r>
      <w:r w:rsidR="006A155D">
        <w:rPr>
          <w:rFonts w:cstheme="minorHAnsi"/>
        </w:rPr>
        <w:t xml:space="preserve">tudíž </w:t>
      </w:r>
      <w:r w:rsidR="009D7937" w:rsidRPr="009D7937">
        <w:rPr>
          <w:rFonts w:cstheme="minorHAnsi"/>
        </w:rPr>
        <w:t>menstruační dysfunkci, s galaktoreou nebo bez ní, a některé mají návaly horka a vaginální atrofii v důsledku nedostatku estrogenu</w:t>
      </w:r>
      <w:r w:rsidR="009D7937">
        <w:rPr>
          <w:rFonts w:cstheme="minorHAnsi"/>
        </w:rPr>
        <w:t>, m</w:t>
      </w:r>
      <w:r w:rsidR="009D7937" w:rsidRPr="009D7937">
        <w:rPr>
          <w:rFonts w:cstheme="minorHAnsi"/>
        </w:rPr>
        <w:t xml:space="preserve">uži mohou mít erektilní dysfunkci, ztrátu libida, snížený růst </w:t>
      </w:r>
      <w:r w:rsidR="009D7937">
        <w:rPr>
          <w:rFonts w:cstheme="minorHAnsi"/>
        </w:rPr>
        <w:t xml:space="preserve">vousů a zmenšení objemu varlat), </w:t>
      </w:r>
      <w:proofErr w:type="spellStart"/>
      <w:r w:rsidR="009D7937">
        <w:rPr>
          <w:rFonts w:cstheme="minorHAnsi"/>
        </w:rPr>
        <w:t>h</w:t>
      </w:r>
      <w:r w:rsidR="009D7937" w:rsidRPr="009D7937">
        <w:rPr>
          <w:rFonts w:cstheme="minorHAnsi"/>
        </w:rPr>
        <w:t>yperprolaktinémie</w:t>
      </w:r>
      <w:proofErr w:type="spellEnd"/>
      <w:r w:rsidR="009D7937" w:rsidRPr="009D7937">
        <w:rPr>
          <w:rFonts w:cstheme="minorHAnsi"/>
        </w:rPr>
        <w:t xml:space="preserve"> se vyskytuje přibližně u 30 </w:t>
      </w:r>
      <w:r w:rsidR="009D7937">
        <w:rPr>
          <w:rFonts w:cstheme="minorHAnsi"/>
        </w:rPr>
        <w:t>%</w:t>
      </w:r>
      <w:r w:rsidR="009D7937" w:rsidRPr="009D7937">
        <w:rPr>
          <w:rFonts w:cstheme="minorHAnsi"/>
        </w:rPr>
        <w:t xml:space="preserve"> pacientů</w:t>
      </w:r>
      <w:r w:rsidR="00040DED">
        <w:rPr>
          <w:rFonts w:cstheme="minorHAnsi"/>
        </w:rPr>
        <w:t>)</w:t>
      </w:r>
      <w:r w:rsidR="004D46DD" w:rsidRPr="004D46DD">
        <w:rPr>
          <w:rFonts w:cstheme="minorHAnsi"/>
          <w:vertAlign w:val="superscript"/>
        </w:rPr>
        <w:t>35</w:t>
      </w:r>
      <w:r w:rsidR="004D46DD">
        <w:rPr>
          <w:rFonts w:cstheme="minorHAnsi"/>
        </w:rPr>
        <w:t>.</w:t>
      </w:r>
      <w:r w:rsidR="007A5084">
        <w:rPr>
          <w:rFonts w:cstheme="minorHAnsi"/>
        </w:rPr>
        <w:t xml:space="preserve"> </w:t>
      </w:r>
      <w:r w:rsidR="00DE777D" w:rsidRPr="00DE777D">
        <w:rPr>
          <w:rFonts w:cstheme="minorHAnsi"/>
        </w:rPr>
        <w:t xml:space="preserve">Řízení sekrece GH je </w:t>
      </w:r>
      <w:r w:rsidR="003C44C1">
        <w:rPr>
          <w:rFonts w:cstheme="minorHAnsi"/>
        </w:rPr>
        <w:lastRenderedPageBreak/>
        <w:t>ovli</w:t>
      </w:r>
      <w:r w:rsidR="00671255">
        <w:rPr>
          <w:rFonts w:cstheme="minorHAnsi"/>
        </w:rPr>
        <w:t>v</w:t>
      </w:r>
      <w:r w:rsidR="003C44C1">
        <w:rPr>
          <w:rFonts w:cstheme="minorHAnsi"/>
        </w:rPr>
        <w:t>ňováno</w:t>
      </w:r>
      <w:r w:rsidR="00DE777D" w:rsidRPr="00DE777D">
        <w:rPr>
          <w:rFonts w:cstheme="minorHAnsi"/>
        </w:rPr>
        <w:t xml:space="preserve"> </w:t>
      </w:r>
      <w:r w:rsidR="00671255">
        <w:rPr>
          <w:rFonts w:cstheme="minorHAnsi"/>
        </w:rPr>
        <w:t xml:space="preserve">mj.: </w:t>
      </w:r>
      <w:r w:rsidR="00DE777D" w:rsidRPr="00DE777D">
        <w:rPr>
          <w:rFonts w:cstheme="minorHAnsi"/>
        </w:rPr>
        <w:t>hypotalamickým hormonem uvolňujícím růstový hormon (</w:t>
      </w:r>
      <w:r w:rsidR="003C44C1">
        <w:rPr>
          <w:rFonts w:cstheme="minorHAnsi"/>
        </w:rPr>
        <w:t xml:space="preserve">tzv. </w:t>
      </w:r>
      <w:r w:rsidR="00DE777D" w:rsidRPr="00DE777D">
        <w:rPr>
          <w:rFonts w:cstheme="minorHAnsi"/>
        </w:rPr>
        <w:t>GHRH)</w:t>
      </w:r>
      <w:r w:rsidR="003C44C1">
        <w:rPr>
          <w:rFonts w:cstheme="minorHAnsi"/>
        </w:rPr>
        <w:t xml:space="preserve">, </w:t>
      </w:r>
      <w:proofErr w:type="spellStart"/>
      <w:r w:rsidR="003C44C1">
        <w:rPr>
          <w:rFonts w:cstheme="minorHAnsi"/>
        </w:rPr>
        <w:t>somatostatinem</w:t>
      </w:r>
      <w:proofErr w:type="spellEnd"/>
      <w:r w:rsidR="003C44C1">
        <w:rPr>
          <w:rFonts w:cstheme="minorHAnsi"/>
        </w:rPr>
        <w:t xml:space="preserve">, </w:t>
      </w:r>
      <w:proofErr w:type="spellStart"/>
      <w:r w:rsidR="00DE777D" w:rsidRPr="00DE777D">
        <w:rPr>
          <w:rFonts w:cstheme="minorHAnsi"/>
        </w:rPr>
        <w:t>somatotrofně</w:t>
      </w:r>
      <w:proofErr w:type="spellEnd"/>
      <w:r w:rsidR="00DE777D" w:rsidRPr="00DE777D">
        <w:rPr>
          <w:rFonts w:cstheme="minorHAnsi"/>
        </w:rPr>
        <w:t xml:space="preserve"> specifickými transkripčními faktory a negativní zpětnou vazbou </w:t>
      </w:r>
      <w:r w:rsidR="003C44C1">
        <w:rPr>
          <w:rFonts w:cstheme="minorHAnsi"/>
        </w:rPr>
        <w:t xml:space="preserve">je sekrece GH </w:t>
      </w:r>
      <w:r w:rsidR="00DE777D" w:rsidRPr="00DE777D">
        <w:rPr>
          <w:rFonts w:cstheme="minorHAnsi"/>
        </w:rPr>
        <w:t>řízen</w:t>
      </w:r>
      <w:r w:rsidR="003C44C1">
        <w:rPr>
          <w:rFonts w:cstheme="minorHAnsi"/>
        </w:rPr>
        <w:t>á</w:t>
      </w:r>
      <w:r w:rsidR="00DE777D" w:rsidRPr="00DE777D">
        <w:rPr>
          <w:rFonts w:cstheme="minorHAnsi"/>
        </w:rPr>
        <w:t xml:space="preserve"> </w:t>
      </w:r>
      <w:r w:rsidR="003C44C1">
        <w:rPr>
          <w:rFonts w:cstheme="minorHAnsi"/>
        </w:rPr>
        <w:t xml:space="preserve">také </w:t>
      </w:r>
      <w:r w:rsidR="00DE777D" w:rsidRPr="00DE777D">
        <w:rPr>
          <w:rFonts w:cstheme="minorHAnsi"/>
        </w:rPr>
        <w:t>IGF-I</w:t>
      </w:r>
      <w:r w:rsidR="00DE777D" w:rsidRPr="00DE777D">
        <w:rPr>
          <w:rFonts w:cstheme="minorHAnsi"/>
          <w:vertAlign w:val="superscript"/>
        </w:rPr>
        <w:t>24</w:t>
      </w:r>
      <w:r w:rsidR="00DE777D">
        <w:rPr>
          <w:rFonts w:cstheme="minorHAnsi"/>
        </w:rPr>
        <w:t xml:space="preserve"> - viz </w:t>
      </w:r>
      <w:r w:rsidR="00671255">
        <w:rPr>
          <w:rFonts w:cstheme="minorHAnsi"/>
        </w:rPr>
        <w:t xml:space="preserve">podrobněji </w:t>
      </w:r>
      <w:r w:rsidR="00DE777D">
        <w:rPr>
          <w:rFonts w:cstheme="minorHAnsi"/>
        </w:rPr>
        <w:t>Přílohu č. 3</w:t>
      </w:r>
      <w:r w:rsidR="00DE777D" w:rsidRPr="00DE777D">
        <w:rPr>
          <w:rFonts w:cstheme="minorHAnsi"/>
        </w:rPr>
        <w:t>.</w:t>
      </w:r>
      <w:r w:rsidR="0093789C">
        <w:rPr>
          <w:rFonts w:cstheme="minorHAnsi"/>
        </w:rPr>
        <w:t xml:space="preserve"> </w:t>
      </w:r>
      <w:r w:rsidR="0093789C" w:rsidRPr="0093789C">
        <w:rPr>
          <w:rFonts w:cstheme="minorHAnsi"/>
        </w:rPr>
        <w:t xml:space="preserve">Nástup akromegalie je </w:t>
      </w:r>
      <w:r w:rsidR="00671255">
        <w:rPr>
          <w:rFonts w:cstheme="minorHAnsi"/>
        </w:rPr>
        <w:t>obvykle „skrytý“</w:t>
      </w:r>
      <w:r w:rsidR="0093789C" w:rsidRPr="0093789C">
        <w:rPr>
          <w:rFonts w:cstheme="minorHAnsi"/>
        </w:rPr>
        <w:t xml:space="preserve"> a její progrese je obvykle</w:t>
      </w:r>
      <w:r w:rsidR="00671255">
        <w:rPr>
          <w:rFonts w:cstheme="minorHAnsi"/>
        </w:rPr>
        <w:t xml:space="preserve"> také</w:t>
      </w:r>
      <w:r w:rsidR="0093789C" w:rsidRPr="0093789C">
        <w:rPr>
          <w:rFonts w:cstheme="minorHAnsi"/>
        </w:rPr>
        <w:t xml:space="preserve"> velmi pomalá</w:t>
      </w:r>
      <w:r w:rsidR="0093789C">
        <w:rPr>
          <w:rFonts w:cstheme="minorHAnsi"/>
        </w:rPr>
        <w:t xml:space="preserve">, </w:t>
      </w:r>
      <w:r w:rsidR="0093789C" w:rsidRPr="0093789C">
        <w:rPr>
          <w:rFonts w:cstheme="minorHAnsi"/>
          <w:b/>
        </w:rPr>
        <w:t>průměrný interval od nástupu příznaků do diagnózy</w:t>
      </w:r>
      <w:r w:rsidR="00671255">
        <w:rPr>
          <w:rFonts w:cstheme="minorHAnsi"/>
          <w:b/>
        </w:rPr>
        <w:t xml:space="preserve"> akromegalie</w:t>
      </w:r>
      <w:r w:rsidR="0093789C" w:rsidRPr="0093789C">
        <w:rPr>
          <w:rFonts w:cstheme="minorHAnsi"/>
          <w:b/>
        </w:rPr>
        <w:t xml:space="preserve"> je přibližně 12 let</w:t>
      </w:r>
      <w:r w:rsidR="0093789C" w:rsidRPr="0093789C">
        <w:rPr>
          <w:rFonts w:cstheme="minorHAnsi"/>
        </w:rPr>
        <w:t>, ale určení nástupu, které se obvykle provádí ze starých fotografií, je velmi obtížné</w:t>
      </w:r>
      <w:r w:rsidR="0093789C" w:rsidRPr="0093789C">
        <w:rPr>
          <w:rFonts w:cstheme="minorHAnsi"/>
          <w:vertAlign w:val="superscript"/>
        </w:rPr>
        <w:t>35</w:t>
      </w:r>
      <w:r w:rsidR="0093789C" w:rsidRPr="0093789C">
        <w:rPr>
          <w:rFonts w:cstheme="minorHAnsi"/>
        </w:rPr>
        <w:t xml:space="preserve">. Při diagnóze má většina pacientů </w:t>
      </w:r>
      <w:proofErr w:type="spellStart"/>
      <w:r w:rsidR="0093789C" w:rsidRPr="0093789C">
        <w:rPr>
          <w:rFonts w:cstheme="minorHAnsi"/>
        </w:rPr>
        <w:t>makroadenomy</w:t>
      </w:r>
      <w:proofErr w:type="spellEnd"/>
      <w:r w:rsidR="0093789C" w:rsidRPr="0093789C">
        <w:rPr>
          <w:rFonts w:cstheme="minorHAnsi"/>
        </w:rPr>
        <w:t xml:space="preserve"> (</w:t>
      </w:r>
      <w:r w:rsidR="00D810F1">
        <w:rPr>
          <w:rFonts w:cstheme="minorHAnsi"/>
        </w:rPr>
        <w:t xml:space="preserve">tj. </w:t>
      </w:r>
      <w:r w:rsidR="0093789C" w:rsidRPr="0093789C">
        <w:rPr>
          <w:rFonts w:cstheme="minorHAnsi"/>
        </w:rPr>
        <w:t>průměr nádoru 10 mm nebo větší)</w:t>
      </w:r>
      <w:r w:rsidR="00D810F1">
        <w:rPr>
          <w:rFonts w:cstheme="minorHAnsi"/>
        </w:rPr>
        <w:t>,</w:t>
      </w:r>
      <w:r w:rsidR="0093789C" w:rsidRPr="0093789C">
        <w:rPr>
          <w:rFonts w:cstheme="minorHAnsi"/>
        </w:rPr>
        <w:t xml:space="preserve"> některé adenomy se rozšiřují </w:t>
      </w:r>
      <w:r w:rsidR="00D810F1">
        <w:rPr>
          <w:rFonts w:cstheme="minorHAnsi"/>
        </w:rPr>
        <w:t xml:space="preserve">i </w:t>
      </w:r>
      <w:r w:rsidR="0093789C" w:rsidRPr="0093789C">
        <w:rPr>
          <w:rFonts w:cstheme="minorHAnsi"/>
        </w:rPr>
        <w:t xml:space="preserve">do </w:t>
      </w:r>
      <w:proofErr w:type="spellStart"/>
      <w:r w:rsidR="0093789C" w:rsidRPr="0093789C">
        <w:rPr>
          <w:rFonts w:cstheme="minorHAnsi"/>
        </w:rPr>
        <w:t>parase</w:t>
      </w:r>
      <w:r w:rsidR="0093789C">
        <w:rPr>
          <w:rFonts w:cstheme="minorHAnsi"/>
        </w:rPr>
        <w:t>lární</w:t>
      </w:r>
      <w:proofErr w:type="spellEnd"/>
      <w:r w:rsidR="0093789C">
        <w:rPr>
          <w:rFonts w:cstheme="minorHAnsi"/>
        </w:rPr>
        <w:t xml:space="preserve"> nebo </w:t>
      </w:r>
      <w:proofErr w:type="spellStart"/>
      <w:r w:rsidR="0093789C">
        <w:rPr>
          <w:rFonts w:cstheme="minorHAnsi"/>
        </w:rPr>
        <w:t>supraselární</w:t>
      </w:r>
      <w:proofErr w:type="spellEnd"/>
      <w:r w:rsidR="0093789C">
        <w:rPr>
          <w:rFonts w:cstheme="minorHAnsi"/>
        </w:rPr>
        <w:t xml:space="preserve"> oblasti</w:t>
      </w:r>
      <w:r w:rsidR="00046E0C">
        <w:rPr>
          <w:rFonts w:cstheme="minorHAnsi"/>
        </w:rPr>
        <w:t xml:space="preserve"> (</w:t>
      </w:r>
      <w:r w:rsidR="00046E0C" w:rsidRPr="00046E0C">
        <w:rPr>
          <w:rFonts w:cstheme="minorHAnsi"/>
        </w:rPr>
        <w:t>viz také Přílohy č. 23 a 24</w:t>
      </w:r>
      <w:r w:rsidR="00046E0C">
        <w:rPr>
          <w:rFonts w:cstheme="minorHAnsi"/>
        </w:rPr>
        <w:t>)</w:t>
      </w:r>
      <w:r w:rsidR="0093789C">
        <w:rPr>
          <w:rFonts w:cstheme="minorHAnsi"/>
        </w:rPr>
        <w:t>, c</w:t>
      </w:r>
      <w:r w:rsidR="0093789C" w:rsidRPr="0093789C">
        <w:rPr>
          <w:rFonts w:cstheme="minorHAnsi"/>
        </w:rPr>
        <w:t xml:space="preserve">elkově přibližně 60 </w:t>
      </w:r>
      <w:r w:rsidR="0093789C">
        <w:rPr>
          <w:rFonts w:cstheme="minorHAnsi"/>
        </w:rPr>
        <w:t>%</w:t>
      </w:r>
      <w:r w:rsidR="0093789C" w:rsidRPr="0093789C">
        <w:rPr>
          <w:rFonts w:cstheme="minorHAnsi"/>
        </w:rPr>
        <w:t xml:space="preserve"> pacientů má bolesti hlavy a 10 </w:t>
      </w:r>
      <w:r w:rsidR="00671255">
        <w:rPr>
          <w:rFonts w:cstheme="minorHAnsi"/>
        </w:rPr>
        <w:t>%</w:t>
      </w:r>
      <w:r w:rsidR="0093789C" w:rsidRPr="0093789C">
        <w:rPr>
          <w:rFonts w:cstheme="minorHAnsi"/>
        </w:rPr>
        <w:t xml:space="preserve"> má vizuální </w:t>
      </w:r>
      <w:r w:rsidR="00671255">
        <w:rPr>
          <w:rFonts w:cstheme="minorHAnsi"/>
        </w:rPr>
        <w:t xml:space="preserve">nežádoucí </w:t>
      </w:r>
      <w:r w:rsidR="0093789C" w:rsidRPr="0093789C">
        <w:rPr>
          <w:rFonts w:cstheme="minorHAnsi"/>
        </w:rPr>
        <w:t>příznaky</w:t>
      </w:r>
      <w:r w:rsidR="0093789C" w:rsidRPr="0093789C">
        <w:rPr>
          <w:rFonts w:cstheme="minorHAnsi"/>
          <w:vertAlign w:val="superscript"/>
        </w:rPr>
        <w:t>35</w:t>
      </w:r>
      <w:r w:rsidR="0093789C">
        <w:rPr>
          <w:rFonts w:cstheme="minorHAnsi"/>
        </w:rPr>
        <w:t>.</w:t>
      </w:r>
      <w:r w:rsidR="00C24DE0">
        <w:rPr>
          <w:rFonts w:cstheme="minorHAnsi"/>
        </w:rPr>
        <w:t xml:space="preserve"> </w:t>
      </w:r>
      <w:r w:rsidR="00746BE1">
        <w:rPr>
          <w:rFonts w:cstheme="minorHAnsi"/>
        </w:rPr>
        <w:t xml:space="preserve"> </w:t>
      </w:r>
      <w:r w:rsidR="005454CC" w:rsidRPr="005454CC">
        <w:rPr>
          <w:rFonts w:cstheme="minorHAnsi"/>
          <w:b/>
        </w:rPr>
        <w:t>Ačkoli je mortalita u pacientů s akromegalií ve srovnání s kontrolní populací stále zvýšená (viz Přílohu č. 11</w:t>
      </w:r>
      <w:r w:rsidR="00731941">
        <w:rPr>
          <w:rFonts w:cstheme="minorHAnsi"/>
          <w:b/>
        </w:rPr>
        <w:t>, viz níže pozn. 38</w:t>
      </w:r>
      <w:r w:rsidR="005454CC" w:rsidRPr="005454CC">
        <w:rPr>
          <w:rFonts w:cstheme="minorHAnsi"/>
          <w:b/>
        </w:rPr>
        <w:t>), míra</w:t>
      </w:r>
      <w:r w:rsidR="00D810F1">
        <w:rPr>
          <w:rFonts w:cstheme="minorHAnsi"/>
          <w:b/>
        </w:rPr>
        <w:t xml:space="preserve"> mortality</w:t>
      </w:r>
      <w:r w:rsidR="005454CC" w:rsidRPr="005454CC">
        <w:rPr>
          <w:rFonts w:cstheme="minorHAnsi"/>
          <w:b/>
        </w:rPr>
        <w:t xml:space="preserve"> se v průběhu času snižuje</w:t>
      </w:r>
      <w:r w:rsidR="00D15D5E">
        <w:rPr>
          <w:rFonts w:cstheme="minorHAnsi"/>
          <w:b/>
        </w:rPr>
        <w:t xml:space="preserve"> </w:t>
      </w:r>
      <w:r w:rsidR="00D15D5E" w:rsidRPr="00D15D5E">
        <w:rPr>
          <w:rFonts w:cstheme="minorHAnsi"/>
        </w:rPr>
        <w:t>(</w:t>
      </w:r>
      <w:r w:rsidR="00D810F1">
        <w:rPr>
          <w:rFonts w:cstheme="minorHAnsi"/>
        </w:rPr>
        <w:t xml:space="preserve">dle dostupných údajů je </w:t>
      </w:r>
      <w:r w:rsidR="00D15D5E" w:rsidRPr="00D15D5E">
        <w:rPr>
          <w:rFonts w:cstheme="minorHAnsi"/>
        </w:rPr>
        <w:t xml:space="preserve">pravděpodobně </w:t>
      </w:r>
      <w:r w:rsidR="00D15D5E" w:rsidRPr="00D15D5E">
        <w:rPr>
          <w:rFonts w:cstheme="minorHAnsi"/>
          <w:b/>
        </w:rPr>
        <w:t>riziko úmrtí u žen s akromegalií vyšší než u mužů</w:t>
      </w:r>
      <w:r w:rsidR="00D15D5E" w:rsidRPr="00D15D5E">
        <w:rPr>
          <w:rFonts w:cstheme="minorHAnsi"/>
        </w:rPr>
        <w:t xml:space="preserve"> – viz níže pozn. 37)</w:t>
      </w:r>
      <w:r w:rsidR="005454CC">
        <w:rPr>
          <w:rFonts w:cstheme="minorHAnsi"/>
        </w:rPr>
        <w:t xml:space="preserve"> - p</w:t>
      </w:r>
      <w:r w:rsidR="005454CC" w:rsidRPr="005454CC">
        <w:rPr>
          <w:rFonts w:cstheme="minorHAnsi"/>
        </w:rPr>
        <w:t xml:space="preserve">ředpokládá se, že to souvisí s častějším používáním operace hypofýzy, chirurgy </w:t>
      </w:r>
      <w:r w:rsidR="00CD2837" w:rsidRPr="005454CC">
        <w:rPr>
          <w:rFonts w:cstheme="minorHAnsi"/>
        </w:rPr>
        <w:t>zkušenějším</w:t>
      </w:r>
      <w:r w:rsidR="00CD2837">
        <w:rPr>
          <w:rFonts w:cstheme="minorHAnsi"/>
        </w:rPr>
        <w:t>i v provádění hypofyzárních operací,</w:t>
      </w:r>
      <w:r w:rsidR="005454CC" w:rsidRPr="005454CC">
        <w:rPr>
          <w:rFonts w:cstheme="minorHAnsi"/>
        </w:rPr>
        <w:t xml:space="preserve"> sníženou prevalencí </w:t>
      </w:r>
      <w:proofErr w:type="spellStart"/>
      <w:r w:rsidR="005454CC" w:rsidRPr="005454CC">
        <w:rPr>
          <w:rFonts w:cstheme="minorHAnsi"/>
        </w:rPr>
        <w:t>hypopituitarismu</w:t>
      </w:r>
      <w:proofErr w:type="spellEnd"/>
      <w:r w:rsidR="005454CC" w:rsidRPr="005454CC">
        <w:rPr>
          <w:rFonts w:cstheme="minorHAnsi"/>
        </w:rPr>
        <w:t xml:space="preserve"> a </w:t>
      </w:r>
      <w:r w:rsidR="00CD2837">
        <w:rPr>
          <w:rFonts w:cstheme="minorHAnsi"/>
        </w:rPr>
        <w:t xml:space="preserve">větší </w:t>
      </w:r>
      <w:r w:rsidR="005454CC" w:rsidRPr="005454CC">
        <w:rPr>
          <w:rFonts w:cstheme="minorHAnsi"/>
        </w:rPr>
        <w:t xml:space="preserve">dostupností více možností </w:t>
      </w:r>
      <w:r w:rsidR="005454CC">
        <w:rPr>
          <w:rFonts w:cstheme="minorHAnsi"/>
        </w:rPr>
        <w:t>farmakoterapie</w:t>
      </w:r>
      <w:r w:rsidR="005454CC" w:rsidRPr="005454CC">
        <w:rPr>
          <w:rFonts w:cstheme="minorHAnsi"/>
          <w:vertAlign w:val="superscript"/>
        </w:rPr>
        <w:t>35</w:t>
      </w:r>
      <w:r w:rsidR="005454CC">
        <w:rPr>
          <w:rFonts w:cstheme="minorHAnsi"/>
        </w:rPr>
        <w:t xml:space="preserve">, </w:t>
      </w:r>
      <w:r w:rsidR="00C24DE0" w:rsidRPr="005454CC">
        <w:rPr>
          <w:rFonts w:cstheme="minorHAnsi"/>
          <w:b/>
        </w:rPr>
        <w:t>účinnější terapi</w:t>
      </w:r>
      <w:r w:rsidR="005454CC" w:rsidRPr="005454CC">
        <w:rPr>
          <w:rFonts w:cstheme="minorHAnsi"/>
          <w:b/>
        </w:rPr>
        <w:t>e</w:t>
      </w:r>
      <w:r w:rsidR="00CD2837">
        <w:rPr>
          <w:rFonts w:cstheme="minorHAnsi"/>
          <w:b/>
        </w:rPr>
        <w:t xml:space="preserve"> totiž</w:t>
      </w:r>
      <w:r w:rsidR="00C24DE0" w:rsidRPr="005454CC">
        <w:rPr>
          <w:rFonts w:cstheme="minorHAnsi"/>
          <w:b/>
        </w:rPr>
        <w:t xml:space="preserve"> přináší vyšší míru biochemické kontroly a </w:t>
      </w:r>
      <w:r w:rsidR="00CD2837">
        <w:rPr>
          <w:rFonts w:cstheme="minorHAnsi"/>
          <w:b/>
        </w:rPr>
        <w:t xml:space="preserve">tím </w:t>
      </w:r>
      <w:r w:rsidR="00C24DE0" w:rsidRPr="005454CC">
        <w:rPr>
          <w:rFonts w:cstheme="minorHAnsi"/>
          <w:b/>
        </w:rPr>
        <w:t>snižuje pravděpodobnost rozvoje respiračních a kardiovaskulárních komorbidit, které zvyšují úmrtnos</w:t>
      </w:r>
      <w:r w:rsidR="00CD2837">
        <w:rPr>
          <w:rFonts w:cstheme="minorHAnsi"/>
        </w:rPr>
        <w:t xml:space="preserve">t </w:t>
      </w:r>
      <w:r w:rsidR="00CD2837" w:rsidRPr="00CD2837">
        <w:rPr>
          <w:rFonts w:cstheme="minorHAnsi"/>
          <w:b/>
        </w:rPr>
        <w:t>u pacientů</w:t>
      </w:r>
      <w:r w:rsidR="00C24DE0" w:rsidRPr="00CD2837">
        <w:rPr>
          <w:rFonts w:cstheme="minorHAnsi"/>
          <w:b/>
          <w:vertAlign w:val="superscript"/>
        </w:rPr>
        <w:t>29</w:t>
      </w:r>
      <w:r w:rsidR="00C24DE0" w:rsidRPr="00C24DE0">
        <w:rPr>
          <w:rFonts w:cstheme="minorHAnsi"/>
        </w:rPr>
        <w:t>.</w:t>
      </w:r>
      <w:r w:rsidR="00C24DE0">
        <w:rPr>
          <w:rFonts w:cstheme="minorHAnsi"/>
        </w:rPr>
        <w:t xml:space="preserve"> </w:t>
      </w:r>
      <w:r w:rsidR="00D00B9D">
        <w:rPr>
          <w:rFonts w:cstheme="minorHAnsi"/>
        </w:rPr>
        <w:t>Pac</w:t>
      </w:r>
      <w:r w:rsidR="00CD2837">
        <w:rPr>
          <w:rFonts w:cstheme="minorHAnsi"/>
        </w:rPr>
        <w:t>.</w:t>
      </w:r>
      <w:r w:rsidR="00D00B9D">
        <w:rPr>
          <w:rFonts w:cstheme="minorHAnsi"/>
        </w:rPr>
        <w:t xml:space="preserve"> s akromegalií mají tak</w:t>
      </w:r>
      <w:r w:rsidR="00CD2837">
        <w:rPr>
          <w:rFonts w:cstheme="minorHAnsi"/>
        </w:rPr>
        <w:t>é</w:t>
      </w:r>
      <w:r w:rsidR="00D00B9D">
        <w:rPr>
          <w:rFonts w:cstheme="minorHAnsi"/>
        </w:rPr>
        <w:t xml:space="preserve"> zvýšené riziko vzniku onkolog</w:t>
      </w:r>
      <w:r w:rsidR="00046E0C">
        <w:rPr>
          <w:rFonts w:cstheme="minorHAnsi"/>
        </w:rPr>
        <w:t>.</w:t>
      </w:r>
      <w:r w:rsidR="00D00B9D">
        <w:rPr>
          <w:rFonts w:cstheme="minorHAnsi"/>
        </w:rPr>
        <w:t xml:space="preserve"> onemocnění – viz Přílohu č. 12</w:t>
      </w:r>
    </w:p>
    <w:p w:rsidR="00730501" w:rsidRPr="00CD2837" w:rsidRDefault="003A145F" w:rsidP="00075D75">
      <w:pPr>
        <w:spacing w:after="0"/>
        <w:jc w:val="both"/>
        <w:rPr>
          <w:rFonts w:cstheme="minorHAnsi"/>
        </w:rPr>
      </w:pPr>
      <w:r w:rsidRPr="003A145F">
        <w:rPr>
          <w:rFonts w:eastAsia="ScalaLancetPro-Bold" w:cs="ScalaLancetPro-Bold"/>
          <w:bCs/>
          <w:u w:val="single"/>
        </w:rPr>
        <w:t>Cílem terapie u pacientů s akromegalií je snížit sérovou koncentraci IGF-1 do normálního rozmezí pro věk a pohlaví pacienta, kontrolovat velikost adenomu</w:t>
      </w:r>
      <w:r>
        <w:rPr>
          <w:rFonts w:eastAsia="ScalaLancetPro-Bold" w:cs="ScalaLancetPro-Bold"/>
          <w:bCs/>
          <w:u w:val="single"/>
        </w:rPr>
        <w:t>,</w:t>
      </w:r>
      <w:r w:rsidRPr="003A145F">
        <w:rPr>
          <w:rFonts w:eastAsia="ScalaLancetPro-Bold" w:cs="ScalaLancetPro-Bold"/>
          <w:bCs/>
          <w:u w:val="single"/>
        </w:rPr>
        <w:t xml:space="preserve"> redukovat účinky tumorové masy, zlepšovat symptomy </w:t>
      </w:r>
      <w:r>
        <w:rPr>
          <w:rFonts w:eastAsia="ScalaLancetPro-Bold" w:cs="ScalaLancetPro-Bold"/>
          <w:bCs/>
          <w:u w:val="single"/>
        </w:rPr>
        <w:t xml:space="preserve">onemocnění </w:t>
      </w:r>
      <w:r w:rsidRPr="003A145F">
        <w:rPr>
          <w:rFonts w:eastAsia="ScalaLancetPro-Bold" w:cs="ScalaLancetPro-Bold"/>
          <w:bCs/>
          <w:u w:val="single"/>
        </w:rPr>
        <w:t>a zvrátit metabolické abnormality</w:t>
      </w:r>
      <w:r w:rsidRPr="003A145F">
        <w:rPr>
          <w:rFonts w:eastAsia="ScalaLancetPro-Bold" w:cs="ScalaLancetPro-Bold"/>
          <w:bCs/>
        </w:rPr>
        <w:t xml:space="preserve">, jako je </w:t>
      </w:r>
      <w:r>
        <w:rPr>
          <w:rFonts w:eastAsia="ScalaLancetPro-Bold" w:cs="ScalaLancetPro-Bold"/>
          <w:bCs/>
        </w:rPr>
        <w:t>DM</w:t>
      </w:r>
      <w:r w:rsidRPr="003A145F">
        <w:rPr>
          <w:rFonts w:eastAsia="ScalaLancetPro-Bold" w:cs="ScalaLancetPro-Bold"/>
          <w:bCs/>
          <w:vertAlign w:val="superscript"/>
        </w:rPr>
        <w:t>39</w:t>
      </w:r>
      <w:r>
        <w:rPr>
          <w:rFonts w:eastAsia="ScalaLancetPro-Bold" w:cs="ScalaLancetPro-Bold"/>
          <w:bCs/>
        </w:rPr>
        <w:t xml:space="preserve">. </w:t>
      </w:r>
      <w:r w:rsidR="00075D75" w:rsidRPr="00075D75">
        <w:rPr>
          <w:rFonts w:eastAsia="ScalaLancetPro-Bold" w:cs="ScalaLancetPro-Bold"/>
          <w:bCs/>
        </w:rPr>
        <w:t xml:space="preserve">Ačkoli je pro klinickou léčbu akromegalie důležité zohlednění </w:t>
      </w:r>
      <w:r w:rsidR="00CD2837">
        <w:rPr>
          <w:rFonts w:eastAsia="ScalaLancetPro-Bold" w:cs="ScalaLancetPro-Bold"/>
          <w:bCs/>
        </w:rPr>
        <w:t xml:space="preserve">charakteristik </w:t>
      </w:r>
      <w:r w:rsidR="00075D75" w:rsidRPr="00075D75">
        <w:rPr>
          <w:rFonts w:eastAsia="ScalaLancetPro-Bold" w:cs="ScalaLancetPro-Bold"/>
          <w:bCs/>
        </w:rPr>
        <w:t xml:space="preserve">nádoru a klinických </w:t>
      </w:r>
      <w:r w:rsidR="00075D75" w:rsidRPr="0014479F">
        <w:rPr>
          <w:rFonts w:eastAsia="ScalaLancetPro-Bold" w:cs="ScalaLancetPro-Bold"/>
          <w:bCs/>
        </w:rPr>
        <w:t xml:space="preserve">proměnných, </w:t>
      </w:r>
      <w:r w:rsidR="00075D75" w:rsidRPr="0014479F">
        <w:rPr>
          <w:rFonts w:eastAsia="ScalaLancetPro-Bold" w:cs="ScalaLancetPro-Bold"/>
          <w:b/>
          <w:bCs/>
        </w:rPr>
        <w:t xml:space="preserve">biochemická kontrola je základním kamenem, na kterém je postavena úspěšná léčba - v současnosti je tedy </w:t>
      </w:r>
      <w:r w:rsidR="00075D75" w:rsidRPr="0014479F">
        <w:rPr>
          <w:rFonts w:eastAsia="ScalaLancetPro-Bold" w:cs="ScalaLancetPro-Bold"/>
          <w:b/>
          <w:bCs/>
          <w:u w:val="single"/>
        </w:rPr>
        <w:t>normalizace GH a IGF-1 stále primárním cílem léčby akromegalie a biochemické parametry by měly být</w:t>
      </w:r>
      <w:r w:rsidR="00CD2837">
        <w:rPr>
          <w:rFonts w:eastAsia="ScalaLancetPro-Bold" w:cs="ScalaLancetPro-Bold"/>
          <w:b/>
          <w:bCs/>
          <w:u w:val="single"/>
        </w:rPr>
        <w:t xml:space="preserve"> také</w:t>
      </w:r>
      <w:r w:rsidR="00075D75" w:rsidRPr="0014479F">
        <w:rPr>
          <w:rFonts w:eastAsia="ScalaLancetPro-Bold" w:cs="ScalaLancetPro-Bold"/>
          <w:b/>
          <w:bCs/>
          <w:u w:val="single"/>
        </w:rPr>
        <w:t xml:space="preserve"> použity k hodnocení aktivity onemocnění</w:t>
      </w:r>
      <w:r w:rsidR="00075D75" w:rsidRPr="0014479F">
        <w:rPr>
          <w:rFonts w:eastAsia="ScalaLancetPro-Bold" w:cs="ScalaLancetPro-Bold"/>
          <w:b/>
          <w:bCs/>
          <w:u w:val="single"/>
          <w:vertAlign w:val="superscript"/>
        </w:rPr>
        <w:t>27</w:t>
      </w:r>
      <w:r w:rsidR="00075D75" w:rsidRPr="0014479F">
        <w:rPr>
          <w:rFonts w:cstheme="minorHAnsi"/>
          <w:b/>
        </w:rPr>
        <w:t>- viz níže pozn. 13</w:t>
      </w:r>
      <w:r w:rsidR="00DE50F1" w:rsidRPr="0014479F">
        <w:rPr>
          <w:rFonts w:cstheme="minorHAnsi"/>
          <w:b/>
        </w:rPr>
        <w:t>, 40</w:t>
      </w:r>
      <w:r w:rsidR="009C6E0E" w:rsidRPr="0014479F">
        <w:rPr>
          <w:rFonts w:cstheme="minorHAnsi"/>
          <w:b/>
        </w:rPr>
        <w:t xml:space="preserve"> a Přílohu č. 10</w:t>
      </w:r>
      <w:r w:rsidR="0051693F" w:rsidRPr="0014479F">
        <w:rPr>
          <w:rFonts w:cstheme="minorHAnsi"/>
          <w:b/>
        </w:rPr>
        <w:t xml:space="preserve">.  U pacientů s akromegalií je klinicky důležitým cílem </w:t>
      </w:r>
      <w:r w:rsidR="00CD2837">
        <w:rPr>
          <w:rFonts w:cstheme="minorHAnsi"/>
          <w:b/>
        </w:rPr>
        <w:t xml:space="preserve">samozřejmě </w:t>
      </w:r>
      <w:r w:rsidR="0051693F" w:rsidRPr="0014479F">
        <w:rPr>
          <w:rFonts w:cstheme="minorHAnsi"/>
          <w:b/>
        </w:rPr>
        <w:t>také kontrola růstu nádoru a v</w:t>
      </w:r>
      <w:r w:rsidR="0051693F" w:rsidRPr="0051693F">
        <w:rPr>
          <w:rFonts w:cstheme="minorHAnsi"/>
          <w:b/>
        </w:rPr>
        <w:t xml:space="preserve"> ideálním případě snížení</w:t>
      </w:r>
      <w:r w:rsidR="0051693F">
        <w:rPr>
          <w:rFonts w:cstheme="minorHAnsi"/>
          <w:b/>
        </w:rPr>
        <w:t xml:space="preserve"> jeho</w:t>
      </w:r>
      <w:r w:rsidR="0051693F" w:rsidRPr="0051693F">
        <w:rPr>
          <w:rFonts w:cstheme="minorHAnsi"/>
          <w:b/>
        </w:rPr>
        <w:t xml:space="preserve"> velikosti</w:t>
      </w:r>
      <w:r w:rsidR="0051693F">
        <w:rPr>
          <w:rFonts w:cstheme="minorHAnsi"/>
          <w:b/>
        </w:rPr>
        <w:t xml:space="preserve"> </w:t>
      </w:r>
      <w:r w:rsidR="0051693F" w:rsidRPr="0051693F">
        <w:rPr>
          <w:rFonts w:cstheme="minorHAnsi"/>
        </w:rPr>
        <w:t xml:space="preserve">– doporučuje se </w:t>
      </w:r>
      <w:r w:rsidR="00CD2837">
        <w:rPr>
          <w:rFonts w:cstheme="minorHAnsi"/>
        </w:rPr>
        <w:t xml:space="preserve">ale </w:t>
      </w:r>
      <w:r w:rsidR="0051693F" w:rsidRPr="0051693F">
        <w:rPr>
          <w:rFonts w:cstheme="minorHAnsi"/>
        </w:rPr>
        <w:t xml:space="preserve">pokračovat v hodnocení redukce maximálního rozměru </w:t>
      </w:r>
      <w:r w:rsidR="00CD2837">
        <w:rPr>
          <w:rFonts w:cstheme="minorHAnsi"/>
        </w:rPr>
        <w:t>tumorózní masy</w:t>
      </w:r>
      <w:r w:rsidR="0051693F" w:rsidRPr="0051693F">
        <w:rPr>
          <w:rFonts w:cstheme="minorHAnsi"/>
        </w:rPr>
        <w:t>, spíše než celkového objemu nádoru, který není standardizován</w:t>
      </w:r>
      <w:r w:rsidR="0051693F" w:rsidRPr="0051693F">
        <w:rPr>
          <w:rFonts w:cstheme="minorHAnsi"/>
          <w:vertAlign w:val="superscript"/>
        </w:rPr>
        <w:t>27</w:t>
      </w:r>
      <w:r w:rsidR="0051693F" w:rsidRPr="0051693F">
        <w:rPr>
          <w:rFonts w:cstheme="minorHAnsi"/>
        </w:rPr>
        <w:t>.</w:t>
      </w:r>
      <w:r w:rsidR="00902D8F">
        <w:rPr>
          <w:rFonts w:cstheme="minorHAnsi"/>
        </w:rPr>
        <w:t xml:space="preserve"> </w:t>
      </w:r>
      <w:r w:rsidR="00902D8F" w:rsidRPr="00902D8F">
        <w:rPr>
          <w:rFonts w:cstheme="minorHAnsi"/>
        </w:rPr>
        <w:t xml:space="preserve">Protože </w:t>
      </w:r>
      <w:r w:rsidR="00902D8F" w:rsidRPr="00902D8F">
        <w:rPr>
          <w:rFonts w:cstheme="minorHAnsi"/>
          <w:b/>
        </w:rPr>
        <w:t>symptomy a komorbidity</w:t>
      </w:r>
      <w:r w:rsidR="009C0CF0">
        <w:rPr>
          <w:rFonts w:cstheme="minorHAnsi"/>
          <w:b/>
        </w:rPr>
        <w:t xml:space="preserve"> (viz Přílohu č. 3)</w:t>
      </w:r>
      <w:r w:rsidR="00902D8F" w:rsidRPr="00902D8F">
        <w:rPr>
          <w:rFonts w:cstheme="minorHAnsi"/>
          <w:b/>
        </w:rPr>
        <w:t xml:space="preserve"> spojené s akromegalií ovlivňují </w:t>
      </w:r>
      <w:r w:rsidR="00CD2837">
        <w:rPr>
          <w:rFonts w:cstheme="minorHAnsi"/>
          <w:b/>
        </w:rPr>
        <w:t xml:space="preserve">také </w:t>
      </w:r>
      <w:r w:rsidR="00902D8F" w:rsidRPr="00902D8F">
        <w:rPr>
          <w:rFonts w:cstheme="minorHAnsi"/>
          <w:b/>
        </w:rPr>
        <w:t xml:space="preserve">kvalitu života a přežití, je jejich prevence a kontrola </w:t>
      </w:r>
      <w:r w:rsidR="00E6769E">
        <w:rPr>
          <w:rFonts w:cstheme="minorHAnsi"/>
          <w:b/>
        </w:rPr>
        <w:t xml:space="preserve">(viz níže pozn. 40) </w:t>
      </w:r>
      <w:r w:rsidR="00902D8F" w:rsidRPr="00902D8F">
        <w:rPr>
          <w:rFonts w:cstheme="minorHAnsi"/>
          <w:b/>
        </w:rPr>
        <w:t xml:space="preserve">také </w:t>
      </w:r>
      <w:r w:rsidR="00CD2837">
        <w:rPr>
          <w:rFonts w:cstheme="minorHAnsi"/>
          <w:b/>
        </w:rPr>
        <w:t xml:space="preserve">důležitým </w:t>
      </w:r>
      <w:r w:rsidR="00902D8F" w:rsidRPr="00902D8F">
        <w:rPr>
          <w:rFonts w:cstheme="minorHAnsi"/>
          <w:b/>
        </w:rPr>
        <w:t>cílem léčby</w:t>
      </w:r>
      <w:r w:rsidR="00CD2837">
        <w:rPr>
          <w:rFonts w:cstheme="minorHAnsi"/>
        </w:rPr>
        <w:t xml:space="preserve"> - </w:t>
      </w:r>
      <w:r w:rsidR="00902D8F">
        <w:rPr>
          <w:rFonts w:cstheme="minorHAnsi"/>
        </w:rPr>
        <w:t>d</w:t>
      </w:r>
      <w:r w:rsidR="00902D8F" w:rsidRPr="00902D8F">
        <w:rPr>
          <w:rFonts w:cstheme="minorHAnsi"/>
        </w:rPr>
        <w:t>oporučuje</w:t>
      </w:r>
      <w:r w:rsidR="00902D8F">
        <w:rPr>
          <w:rFonts w:cstheme="minorHAnsi"/>
        </w:rPr>
        <w:t xml:space="preserve"> se tedy je</w:t>
      </w:r>
      <w:r w:rsidR="00902D8F" w:rsidRPr="00902D8F">
        <w:rPr>
          <w:rFonts w:cstheme="minorHAnsi"/>
        </w:rPr>
        <w:t xml:space="preserve"> </w:t>
      </w:r>
      <w:r w:rsidR="00902D8F">
        <w:rPr>
          <w:rFonts w:cstheme="minorHAnsi"/>
        </w:rPr>
        <w:t>pečlivě hodnotit</w:t>
      </w:r>
      <w:r w:rsidR="00CD2837">
        <w:rPr>
          <w:rFonts w:cstheme="minorHAnsi"/>
        </w:rPr>
        <w:t>, klinicky sledovat a případně i „agresivně“ léčit</w:t>
      </w:r>
      <w:r w:rsidR="00902D8F" w:rsidRPr="00902D8F">
        <w:rPr>
          <w:rFonts w:cstheme="minorHAnsi"/>
          <w:vertAlign w:val="superscript"/>
        </w:rPr>
        <w:t>27</w:t>
      </w:r>
      <w:r w:rsidR="00902D8F">
        <w:rPr>
          <w:rFonts w:cstheme="minorHAnsi"/>
        </w:rPr>
        <w:t>.</w:t>
      </w:r>
      <w:r w:rsidR="005332A2">
        <w:rPr>
          <w:rFonts w:cstheme="minorHAnsi"/>
        </w:rPr>
        <w:t xml:space="preserve"> </w:t>
      </w:r>
      <w:r w:rsidR="005332A2" w:rsidRPr="005332A2">
        <w:rPr>
          <w:rFonts w:cstheme="minorHAnsi"/>
          <w:b/>
          <w:u w:val="single"/>
        </w:rPr>
        <w:t xml:space="preserve">Když koncentrace GH a IGF-1 v séru klesnou k normálu, charakteristické přerůstání měkkých tkání a </w:t>
      </w:r>
      <w:r w:rsidR="00CD2837">
        <w:rPr>
          <w:rFonts w:cstheme="minorHAnsi"/>
          <w:b/>
          <w:u w:val="single"/>
        </w:rPr>
        <w:t xml:space="preserve">s tím </w:t>
      </w:r>
      <w:r w:rsidR="005332A2" w:rsidRPr="005332A2">
        <w:rPr>
          <w:rFonts w:cstheme="minorHAnsi"/>
          <w:b/>
          <w:u w:val="single"/>
        </w:rPr>
        <w:t>související symptomy postupně ustupují</w:t>
      </w:r>
      <w:r w:rsidR="00CD2837">
        <w:rPr>
          <w:rFonts w:cstheme="minorHAnsi"/>
          <w:b/>
          <w:u w:val="single"/>
        </w:rPr>
        <w:t xml:space="preserve">, </w:t>
      </w:r>
      <w:r w:rsidR="005332A2" w:rsidRPr="005332A2">
        <w:rPr>
          <w:rFonts w:cstheme="minorHAnsi"/>
          <w:b/>
          <w:u w:val="single"/>
        </w:rPr>
        <w:t xml:space="preserve">metabolické abnormality (jako je DM) se </w:t>
      </w:r>
      <w:r w:rsidR="00CD2837">
        <w:rPr>
          <w:rFonts w:cstheme="minorHAnsi"/>
          <w:b/>
          <w:u w:val="single"/>
        </w:rPr>
        <w:t xml:space="preserve">také </w:t>
      </w:r>
      <w:r w:rsidR="005332A2" w:rsidRPr="005332A2">
        <w:rPr>
          <w:rFonts w:cstheme="minorHAnsi"/>
          <w:b/>
          <w:u w:val="single"/>
        </w:rPr>
        <w:t xml:space="preserve">zlepšují, naděje na dožití </w:t>
      </w:r>
      <w:r w:rsidR="00CD2837">
        <w:rPr>
          <w:rFonts w:cstheme="minorHAnsi"/>
          <w:b/>
          <w:u w:val="single"/>
        </w:rPr>
        <w:t xml:space="preserve">se </w:t>
      </w:r>
      <w:r w:rsidR="005332A2" w:rsidRPr="005332A2">
        <w:rPr>
          <w:rFonts w:cstheme="minorHAnsi"/>
          <w:b/>
          <w:u w:val="single"/>
        </w:rPr>
        <w:t xml:space="preserve">vrací na úroveň běžné populace, kostní abnormality </w:t>
      </w:r>
      <w:r w:rsidR="00CD2837">
        <w:rPr>
          <w:rFonts w:cstheme="minorHAnsi"/>
          <w:b/>
          <w:u w:val="single"/>
        </w:rPr>
        <w:t>ale</w:t>
      </w:r>
      <w:r w:rsidR="005332A2" w:rsidRPr="005332A2">
        <w:rPr>
          <w:rFonts w:cstheme="minorHAnsi"/>
          <w:b/>
          <w:u w:val="single"/>
        </w:rPr>
        <w:t xml:space="preserve"> obecně neustupují a kloubní symptomy přetrvávají</w:t>
      </w:r>
      <w:r w:rsidR="005332A2" w:rsidRPr="005332A2">
        <w:rPr>
          <w:rFonts w:cstheme="minorHAnsi"/>
          <w:b/>
        </w:rPr>
        <w:t xml:space="preserve"> </w:t>
      </w:r>
      <w:r w:rsidR="005332A2">
        <w:rPr>
          <w:rFonts w:cstheme="minorHAnsi"/>
        </w:rPr>
        <w:t>(viz údaje výše)</w:t>
      </w:r>
      <w:r w:rsidR="005332A2" w:rsidRPr="005332A2">
        <w:rPr>
          <w:rFonts w:cstheme="minorHAnsi"/>
          <w:vertAlign w:val="superscript"/>
        </w:rPr>
        <w:t>39</w:t>
      </w:r>
      <w:r w:rsidR="005332A2" w:rsidRPr="005332A2">
        <w:rPr>
          <w:rFonts w:cstheme="minorHAnsi"/>
        </w:rPr>
        <w:t>.</w:t>
      </w:r>
      <w:r w:rsidR="00DE50F1">
        <w:rPr>
          <w:rFonts w:cstheme="minorHAnsi"/>
        </w:rPr>
        <w:t xml:space="preserve"> </w:t>
      </w:r>
      <w:r w:rsidR="00DE50F1" w:rsidRPr="00DE50F1">
        <w:rPr>
          <w:rFonts w:cstheme="minorHAnsi"/>
        </w:rPr>
        <w:t xml:space="preserve">Odhaduje se, že u 50 až 70 </w:t>
      </w:r>
      <w:r w:rsidR="00DE50F1">
        <w:rPr>
          <w:rFonts w:cstheme="minorHAnsi"/>
        </w:rPr>
        <w:t>%</w:t>
      </w:r>
      <w:r w:rsidR="00DE50F1" w:rsidRPr="00DE50F1">
        <w:rPr>
          <w:rFonts w:cstheme="minorHAnsi"/>
        </w:rPr>
        <w:t xml:space="preserve"> pacientů s akromegalií léčených pouze chirurgickým zákrokem nebo chirurgickým zákrokem kombinovaným s</w:t>
      </w:r>
      <w:r w:rsidR="00CD2837">
        <w:rPr>
          <w:rFonts w:cstheme="minorHAnsi"/>
        </w:rPr>
        <w:t xml:space="preserve"> RT (viz níže pozn. 51) </w:t>
      </w:r>
      <w:r w:rsidR="00DE50F1" w:rsidRPr="00DE50F1">
        <w:rPr>
          <w:rFonts w:cstheme="minorHAnsi"/>
        </w:rPr>
        <w:t>se vyvine</w:t>
      </w:r>
      <w:r w:rsidR="00CD2837">
        <w:rPr>
          <w:rFonts w:cstheme="minorHAnsi"/>
        </w:rPr>
        <w:t xml:space="preserve"> následný</w:t>
      </w:r>
      <w:r w:rsidR="00DE50F1" w:rsidRPr="00DE50F1">
        <w:rPr>
          <w:rFonts w:cstheme="minorHAnsi"/>
        </w:rPr>
        <w:t xml:space="preserve"> deficit GH, což je komplikace spojená se sníženou kvalitou života</w:t>
      </w:r>
      <w:r w:rsidR="00DE50F1">
        <w:rPr>
          <w:rFonts w:cstheme="minorHAnsi"/>
        </w:rPr>
        <w:t xml:space="preserve"> - d</w:t>
      </w:r>
      <w:r w:rsidR="00DE50F1" w:rsidRPr="00DE50F1">
        <w:rPr>
          <w:rFonts w:cstheme="minorHAnsi"/>
        </w:rPr>
        <w:t xml:space="preserve">opad léčby růstovým hormonem u těch, u kterých se rozvinul nedostatek </w:t>
      </w:r>
      <w:r w:rsidR="001743DD">
        <w:rPr>
          <w:rFonts w:cstheme="minorHAnsi"/>
        </w:rPr>
        <w:t>GH</w:t>
      </w:r>
      <w:r w:rsidR="00DE50F1" w:rsidRPr="00DE50F1">
        <w:rPr>
          <w:rFonts w:cstheme="minorHAnsi"/>
        </w:rPr>
        <w:t xml:space="preserve">, je však </w:t>
      </w:r>
      <w:r w:rsidR="00CD2837">
        <w:rPr>
          <w:rFonts w:cstheme="minorHAnsi"/>
        </w:rPr>
        <w:t>zatím</w:t>
      </w:r>
      <w:r w:rsidR="00DE50F1" w:rsidRPr="00DE50F1">
        <w:rPr>
          <w:rFonts w:cstheme="minorHAnsi"/>
        </w:rPr>
        <w:t xml:space="preserve"> nejasný</w:t>
      </w:r>
      <w:r w:rsidR="00DE50F1" w:rsidRPr="00DE50F1">
        <w:rPr>
          <w:rFonts w:cstheme="minorHAnsi"/>
          <w:vertAlign w:val="superscript"/>
        </w:rPr>
        <w:t>39</w:t>
      </w:r>
      <w:r w:rsidR="00DE50F1">
        <w:rPr>
          <w:rFonts w:cstheme="minorHAnsi"/>
        </w:rPr>
        <w:t>.</w:t>
      </w:r>
    </w:p>
    <w:p w:rsidR="00D02287" w:rsidRPr="00F90BA1" w:rsidRDefault="00D02287" w:rsidP="00061346">
      <w:pPr>
        <w:spacing w:after="0"/>
        <w:jc w:val="both"/>
        <w:rPr>
          <w:rFonts w:cstheme="minorHAnsi"/>
          <w:b/>
          <w:sz w:val="26"/>
          <w:szCs w:val="26"/>
          <w:u w:val="single"/>
        </w:rPr>
      </w:pPr>
    </w:p>
    <w:p w:rsidR="00C143A1" w:rsidRDefault="00C143A1" w:rsidP="00061346">
      <w:pPr>
        <w:spacing w:after="0"/>
        <w:jc w:val="both"/>
        <w:rPr>
          <w:rFonts w:cstheme="minorHAnsi"/>
          <w:b/>
          <w:u w:val="single"/>
        </w:rPr>
      </w:pPr>
      <w:r w:rsidRPr="003A370A">
        <w:rPr>
          <w:rFonts w:cstheme="minorHAnsi"/>
          <w:b/>
          <w:u w:val="single"/>
        </w:rPr>
        <w:t>Postave</w:t>
      </w:r>
      <w:r w:rsidR="00006D6C" w:rsidRPr="003A370A">
        <w:rPr>
          <w:rFonts w:cstheme="minorHAnsi"/>
          <w:b/>
          <w:u w:val="single"/>
        </w:rPr>
        <w:t>ní léčiva v klinické praxi:</w:t>
      </w:r>
    </w:p>
    <w:p w:rsidR="00D02287" w:rsidRPr="009A634D" w:rsidRDefault="00D02287" w:rsidP="00061346">
      <w:pPr>
        <w:spacing w:after="0"/>
        <w:jc w:val="both"/>
        <w:rPr>
          <w:rFonts w:cstheme="minorHAnsi"/>
          <w:b/>
          <w:sz w:val="4"/>
          <w:szCs w:val="4"/>
          <w:u w:val="single"/>
        </w:rPr>
      </w:pPr>
    </w:p>
    <w:p w:rsidR="00C1590A" w:rsidRDefault="00C1590A" w:rsidP="00CC60EF">
      <w:pPr>
        <w:spacing w:after="0"/>
        <w:jc w:val="both"/>
      </w:pPr>
      <w:r w:rsidRPr="00C1590A">
        <w:rPr>
          <w:u w:val="single"/>
        </w:rPr>
        <w:t>Současný nejčastěji používaný algoritmus léčby akromegalie v ČR dle zdroje uvedeného níže pod pozn. 77</w:t>
      </w:r>
      <w:r>
        <w:t>:</w:t>
      </w:r>
    </w:p>
    <w:p w:rsidR="00C1590A" w:rsidRDefault="00D02287" w:rsidP="00CC60EF">
      <w:pPr>
        <w:spacing w:after="0"/>
        <w:jc w:val="both"/>
      </w:pPr>
      <w:r>
        <w:rPr>
          <w:noProof/>
          <w:lang w:eastAsia="cs-CZ"/>
        </w:rPr>
        <w:drawing>
          <wp:inline distT="0" distB="0" distL="0" distR="0">
            <wp:extent cx="6837045" cy="3221355"/>
            <wp:effectExtent l="0" t="0" r="190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F8E" w:rsidRDefault="00440559" w:rsidP="009B5F8E">
      <w:pPr>
        <w:spacing w:after="0"/>
        <w:jc w:val="both"/>
        <w:rPr>
          <w:rFonts w:cstheme="minorHAnsi"/>
        </w:rPr>
      </w:pPr>
      <w:r>
        <w:lastRenderedPageBreak/>
        <w:t>A</w:t>
      </w:r>
      <w:r w:rsidR="008703DB">
        <w:t>lgoritmus multidisciplinárního managementu pacientů s </w:t>
      </w:r>
      <w:proofErr w:type="spellStart"/>
      <w:r w:rsidR="008703DB">
        <w:t>akromegálií</w:t>
      </w:r>
      <w:proofErr w:type="spellEnd"/>
      <w:r w:rsidR="008703DB">
        <w:t xml:space="preserve"> </w:t>
      </w:r>
      <w:r>
        <w:t>dle zahraničních zdrojů je uveden v</w:t>
      </w:r>
      <w:r w:rsidR="008052DD">
        <w:t> </w:t>
      </w:r>
      <w:r w:rsidR="008703DB">
        <w:t>Příloh</w:t>
      </w:r>
      <w:r>
        <w:t>ách</w:t>
      </w:r>
      <w:r w:rsidR="008052DD">
        <w:t xml:space="preserve"> </w:t>
      </w:r>
      <w:r w:rsidR="008703DB">
        <w:t>č.</w:t>
      </w:r>
      <w:r w:rsidR="00D6118F">
        <w:t xml:space="preserve"> 13 a 14</w:t>
      </w:r>
      <w:r w:rsidR="008703DB">
        <w:t>.</w:t>
      </w:r>
      <w:r w:rsidR="008052DD">
        <w:t xml:space="preserve"> </w:t>
      </w:r>
      <w:r w:rsidR="009B5F8E" w:rsidRPr="00F074C5">
        <w:rPr>
          <w:rFonts w:cs="CIDFont+F5"/>
          <w:b/>
          <w:u w:val="single"/>
        </w:rPr>
        <w:t>Rozdíl praxe v ČR oproti zahraničním doporučením</w:t>
      </w:r>
      <w:r w:rsidR="00FE3693">
        <w:rPr>
          <w:rFonts w:cs="CIDFont+F5"/>
          <w:b/>
          <w:u w:val="single"/>
        </w:rPr>
        <w:t xml:space="preserve"> (viz Příloha č. 13)</w:t>
      </w:r>
      <w:r w:rsidR="009B5F8E" w:rsidRPr="00F074C5">
        <w:rPr>
          <w:rFonts w:cs="CIDFont+F5"/>
          <w:b/>
          <w:u w:val="single"/>
        </w:rPr>
        <w:t xml:space="preserve"> je především v časnějším a častějším využití stereotaktické </w:t>
      </w:r>
      <w:r w:rsidR="00F074C5" w:rsidRPr="00F074C5">
        <w:rPr>
          <w:rFonts w:cs="CIDFont+F5"/>
          <w:b/>
          <w:u w:val="single"/>
        </w:rPr>
        <w:t>radiochirurgie</w:t>
      </w:r>
      <w:r w:rsidR="00F074C5" w:rsidRPr="00F074C5">
        <w:rPr>
          <w:rFonts w:cs="CIDFont+F5"/>
          <w:b/>
        </w:rPr>
        <w:t xml:space="preserve"> (tzv. „SRS“,</w:t>
      </w:r>
      <w:r w:rsidR="00F074C5" w:rsidRPr="00F074C5">
        <w:rPr>
          <w:rFonts w:cs="CIDFont+F5"/>
        </w:rPr>
        <w:t xml:space="preserve"> </w:t>
      </w:r>
      <w:r w:rsidR="00F074C5" w:rsidRPr="00F074C5">
        <w:rPr>
          <w:rFonts w:cs="URWPalladioL-Roma"/>
        </w:rPr>
        <w:t>nejčastěji používanou SRS metodou je tzv. gama nůž</w:t>
      </w:r>
      <w:r w:rsidR="00F074C5" w:rsidRPr="00F074C5">
        <w:rPr>
          <w:rFonts w:cs="CIDFont+F5"/>
        </w:rPr>
        <w:t xml:space="preserve"> – jedná se o radioterapeutickou metodu</w:t>
      </w:r>
      <w:r w:rsidR="00194C16">
        <w:rPr>
          <w:rFonts w:cs="CIDFont+F5"/>
        </w:rPr>
        <w:t xml:space="preserve"> (tzv. RT)</w:t>
      </w:r>
      <w:r w:rsidR="00F074C5" w:rsidRPr="00F074C5">
        <w:rPr>
          <w:rFonts w:cs="CIDFont+F5"/>
        </w:rPr>
        <w:t>, viz podrobněji níže pozn. 51)</w:t>
      </w:r>
      <w:r w:rsidR="009B5F8E" w:rsidRPr="00F074C5">
        <w:rPr>
          <w:rFonts w:cs="CIDFont+F5"/>
        </w:rPr>
        <w:t xml:space="preserve"> </w:t>
      </w:r>
      <w:r w:rsidR="009B5F8E" w:rsidRPr="00FE3693">
        <w:rPr>
          <w:rFonts w:cs="CIDFont+F5"/>
          <w:b/>
        </w:rPr>
        <w:t xml:space="preserve">všude, kde </w:t>
      </w:r>
      <w:r w:rsidR="00F074C5" w:rsidRPr="00FE3693">
        <w:rPr>
          <w:rFonts w:cs="CIDFont+F5"/>
          <w:b/>
        </w:rPr>
        <w:t xml:space="preserve">ji </w:t>
      </w:r>
      <w:r w:rsidR="009B5F8E" w:rsidRPr="00FE3693">
        <w:rPr>
          <w:rFonts w:cs="CIDFont+F5"/>
          <w:b/>
        </w:rPr>
        <w:t>lze aplikovat</w:t>
      </w:r>
      <w:r w:rsidR="00F74648">
        <w:rPr>
          <w:rFonts w:cs="CIDFont+F5"/>
          <w:b/>
        </w:rPr>
        <w:t xml:space="preserve"> </w:t>
      </w:r>
      <w:r w:rsidR="00F74648" w:rsidRPr="00FE3693">
        <w:rPr>
          <w:rFonts w:cs="CIDFont+F5"/>
          <w:b/>
        </w:rPr>
        <w:t>při reziduálním adenomu</w:t>
      </w:r>
      <w:r w:rsidR="009B5F8E" w:rsidRPr="00FE3693">
        <w:rPr>
          <w:rFonts w:cs="CIDFont+F5"/>
          <w:b/>
        </w:rPr>
        <w:t xml:space="preserve"> (</w:t>
      </w:r>
      <w:r w:rsidR="00F074C5" w:rsidRPr="00FE3693">
        <w:rPr>
          <w:rFonts w:cs="CIDFont+F5"/>
          <w:b/>
        </w:rPr>
        <w:t xml:space="preserve">tzn. </w:t>
      </w:r>
      <w:r w:rsidR="009B5F8E" w:rsidRPr="00FE3693">
        <w:rPr>
          <w:rFonts w:cs="CIDFont+F5"/>
          <w:b/>
        </w:rPr>
        <w:t xml:space="preserve">kde není riziko poškození </w:t>
      </w:r>
      <w:r w:rsidR="00194C16">
        <w:rPr>
          <w:rFonts w:cs="CIDFont+F5"/>
          <w:b/>
        </w:rPr>
        <w:t xml:space="preserve">jiných </w:t>
      </w:r>
      <w:r w:rsidR="009B5F8E" w:rsidRPr="00FE3693">
        <w:rPr>
          <w:rFonts w:cs="CIDFont+F5"/>
          <w:b/>
        </w:rPr>
        <w:t>struktur ozářením, především optických nervů)</w:t>
      </w:r>
      <w:r w:rsidR="00F074C5" w:rsidRPr="00FE3693">
        <w:rPr>
          <w:rFonts w:cs="CIDFont+F5"/>
          <w:b/>
          <w:vertAlign w:val="superscript"/>
        </w:rPr>
        <w:t>77</w:t>
      </w:r>
      <w:r w:rsidR="00F074C5" w:rsidRPr="00FE3693">
        <w:rPr>
          <w:rFonts w:cs="CIDFont+F5"/>
          <w:b/>
        </w:rPr>
        <w:t>. Zařazení SRS</w:t>
      </w:r>
      <w:r w:rsidR="009B5F8E" w:rsidRPr="00FE3693">
        <w:rPr>
          <w:rFonts w:cs="CIDFont+F5"/>
          <w:b/>
        </w:rPr>
        <w:t xml:space="preserve"> do terapie ve většině případů zabrání dalšímu růstu rezidua</w:t>
      </w:r>
      <w:r w:rsidR="00194C16">
        <w:rPr>
          <w:rFonts w:cs="CIDFont+F5"/>
          <w:b/>
        </w:rPr>
        <w:t xml:space="preserve"> adenomu</w:t>
      </w:r>
      <w:r w:rsidR="009B5F8E" w:rsidRPr="00FE3693">
        <w:rPr>
          <w:rFonts w:cs="CIDFont+F5"/>
          <w:b/>
        </w:rPr>
        <w:t xml:space="preserve"> a postupně vede </w:t>
      </w:r>
      <w:r w:rsidR="00194C16">
        <w:rPr>
          <w:rFonts w:cs="CIDFont+F5"/>
          <w:b/>
        </w:rPr>
        <w:t xml:space="preserve">také </w:t>
      </w:r>
      <w:r w:rsidR="009B5F8E" w:rsidRPr="00FE3693">
        <w:rPr>
          <w:rFonts w:cs="CIDFont+F5"/>
          <w:b/>
        </w:rPr>
        <w:t>k vyhasnutí hormonální aktivity rezidua</w:t>
      </w:r>
      <w:r w:rsidR="00F074C5" w:rsidRPr="00FE3693">
        <w:rPr>
          <w:rFonts w:cs="CIDFont+F5"/>
          <w:b/>
        </w:rPr>
        <w:t xml:space="preserve"> adenomu</w:t>
      </w:r>
      <w:r w:rsidR="009B5F8E" w:rsidRPr="00FE3693">
        <w:rPr>
          <w:rFonts w:cs="CIDFont+F5"/>
          <w:b/>
        </w:rPr>
        <w:t xml:space="preserve"> – medián normalizace IGF1 </w:t>
      </w:r>
      <w:r w:rsidR="00F074C5" w:rsidRPr="00FE3693">
        <w:rPr>
          <w:rFonts w:cs="CIDFont+F5"/>
          <w:b/>
        </w:rPr>
        <w:t>v kohortě</w:t>
      </w:r>
      <w:r w:rsidR="009B5F8E" w:rsidRPr="00FE3693">
        <w:rPr>
          <w:rFonts w:cs="CIDFont+F5"/>
          <w:b/>
        </w:rPr>
        <w:t xml:space="preserve"> pacientů</w:t>
      </w:r>
      <w:r w:rsidR="00F074C5" w:rsidRPr="00FE3693">
        <w:rPr>
          <w:rFonts w:cs="CIDFont+F5"/>
          <w:b/>
        </w:rPr>
        <w:t xml:space="preserve"> v ČR</w:t>
      </w:r>
      <w:r w:rsidR="009B5F8E" w:rsidRPr="00FE3693">
        <w:rPr>
          <w:rFonts w:cs="CIDFont+F5"/>
          <w:b/>
        </w:rPr>
        <w:t xml:space="preserve"> byl 4,5 roku</w:t>
      </w:r>
      <w:r w:rsidR="009B5F8E" w:rsidRPr="00FE3693">
        <w:rPr>
          <w:rFonts w:cs="CIDFont+F5"/>
          <w:b/>
          <w:vertAlign w:val="superscript"/>
        </w:rPr>
        <w:t>77</w:t>
      </w:r>
      <w:r w:rsidR="009B5F8E">
        <w:rPr>
          <w:rFonts w:cs="CIDFont+F5"/>
        </w:rPr>
        <w:t>.  V zahraničí je RT obvykle</w:t>
      </w:r>
      <w:r w:rsidR="009B5F8E" w:rsidRPr="00CF6037">
        <w:rPr>
          <w:rFonts w:cstheme="minorHAnsi"/>
        </w:rPr>
        <w:t xml:space="preserve"> vyhrazena </w:t>
      </w:r>
      <w:r w:rsidR="00430878">
        <w:rPr>
          <w:rFonts w:cstheme="minorHAnsi"/>
        </w:rPr>
        <w:t xml:space="preserve">až </w:t>
      </w:r>
      <w:r w:rsidR="009B5F8E" w:rsidRPr="00CF6037">
        <w:rPr>
          <w:rFonts w:cstheme="minorHAnsi"/>
        </w:rPr>
        <w:t>pro pac</w:t>
      </w:r>
      <w:r w:rsidR="009B5F8E">
        <w:rPr>
          <w:rFonts w:cstheme="minorHAnsi"/>
        </w:rPr>
        <w:t>.</w:t>
      </w:r>
      <w:r w:rsidR="009B5F8E" w:rsidRPr="00CF6037">
        <w:rPr>
          <w:rFonts w:cstheme="minorHAnsi"/>
        </w:rPr>
        <w:t>, kteří selhali</w:t>
      </w:r>
      <w:r w:rsidR="009B5F8E">
        <w:rPr>
          <w:rFonts w:cstheme="minorHAnsi"/>
        </w:rPr>
        <w:t xml:space="preserve"> či</w:t>
      </w:r>
      <w:r w:rsidR="009B5F8E" w:rsidRPr="00CF6037">
        <w:rPr>
          <w:rFonts w:cstheme="minorHAnsi"/>
        </w:rPr>
        <w:t xml:space="preserve"> nejsou vhodní pro chirurg</w:t>
      </w:r>
      <w:r w:rsidR="00194C16">
        <w:rPr>
          <w:rFonts w:cstheme="minorHAnsi"/>
        </w:rPr>
        <w:t>ickou</w:t>
      </w:r>
      <w:r w:rsidR="00066E0C">
        <w:rPr>
          <w:rFonts w:cstheme="minorHAnsi"/>
        </w:rPr>
        <w:t xml:space="preserve"> </w:t>
      </w:r>
      <w:r w:rsidR="009B5F8E">
        <w:rPr>
          <w:rFonts w:cstheme="minorHAnsi"/>
        </w:rPr>
        <w:t>léčbu</w:t>
      </w:r>
      <w:r w:rsidR="009B5F8E" w:rsidRPr="00CF6037">
        <w:rPr>
          <w:rFonts w:cstheme="minorHAnsi"/>
        </w:rPr>
        <w:t xml:space="preserve"> a/nebo </w:t>
      </w:r>
      <w:r w:rsidR="009B5F8E">
        <w:rPr>
          <w:rFonts w:cstheme="minorHAnsi"/>
        </w:rPr>
        <w:t>farmakoterapii</w:t>
      </w:r>
      <w:r w:rsidR="009B5F8E" w:rsidRPr="00CF6037">
        <w:rPr>
          <w:rFonts w:cstheme="minorHAnsi"/>
        </w:rPr>
        <w:t xml:space="preserve"> </w:t>
      </w:r>
      <w:r w:rsidR="00194C16">
        <w:rPr>
          <w:rFonts w:cstheme="minorHAnsi"/>
        </w:rPr>
        <w:t>či zákrok</w:t>
      </w:r>
      <w:r w:rsidR="009B5F8E" w:rsidRPr="00CF6037">
        <w:rPr>
          <w:rFonts w:cstheme="minorHAnsi"/>
        </w:rPr>
        <w:t xml:space="preserve"> odmí</w:t>
      </w:r>
      <w:r w:rsidR="009B5F8E">
        <w:rPr>
          <w:rFonts w:cstheme="minorHAnsi"/>
        </w:rPr>
        <w:t>tají</w:t>
      </w:r>
      <w:r w:rsidR="009B5F8E">
        <w:rPr>
          <w:rFonts w:cstheme="minorHAnsi"/>
          <w:vertAlign w:val="superscript"/>
        </w:rPr>
        <w:t>27</w:t>
      </w:r>
      <w:r w:rsidR="009B5F8E" w:rsidRPr="00CF6037">
        <w:rPr>
          <w:rFonts w:cstheme="minorHAnsi"/>
        </w:rPr>
        <w:t>.</w:t>
      </w:r>
    </w:p>
    <w:p w:rsidR="00EB3537" w:rsidRDefault="00CC60EF" w:rsidP="009B5F8E">
      <w:pPr>
        <w:autoSpaceDE w:val="0"/>
        <w:autoSpaceDN w:val="0"/>
        <w:adjustRightInd w:val="0"/>
        <w:spacing w:after="0" w:line="240" w:lineRule="auto"/>
        <w:jc w:val="both"/>
      </w:pPr>
      <w:r w:rsidRPr="00753AE2">
        <w:rPr>
          <w:u w:val="single"/>
        </w:rPr>
        <w:t>U pacientů, kteří nedosahují biochemické kontroly (viz pozn. 13) po operaci</w:t>
      </w:r>
      <w:r w:rsidR="000A5D37">
        <w:rPr>
          <w:u w:val="single"/>
        </w:rPr>
        <w:t xml:space="preserve"> (jedná se zejména o tzv</w:t>
      </w:r>
      <w:r w:rsidR="000A5D37" w:rsidRPr="000A5D37">
        <w:rPr>
          <w:u w:val="single"/>
        </w:rPr>
        <w:t xml:space="preserve">. </w:t>
      </w:r>
      <w:proofErr w:type="spellStart"/>
      <w:r w:rsidR="000A5D37" w:rsidRPr="000A5D37">
        <w:rPr>
          <w:u w:val="single"/>
        </w:rPr>
        <w:t>transfenoidální</w:t>
      </w:r>
      <w:proofErr w:type="spellEnd"/>
      <w:r w:rsidR="000A5D37" w:rsidRPr="000A5D37">
        <w:rPr>
          <w:u w:val="single"/>
        </w:rPr>
        <w:t xml:space="preserve"> chirurgick</w:t>
      </w:r>
      <w:r w:rsidR="000A5D37">
        <w:rPr>
          <w:u w:val="single"/>
        </w:rPr>
        <w:t>ý</w:t>
      </w:r>
      <w:r w:rsidR="000A5D37" w:rsidRPr="000A5D37">
        <w:rPr>
          <w:u w:val="single"/>
        </w:rPr>
        <w:t xml:space="preserve"> zákrok („TSS“</w:t>
      </w:r>
      <w:r w:rsidR="00C26B42">
        <w:rPr>
          <w:u w:val="single"/>
        </w:rPr>
        <w:t>, viz podrobněji níže pozn. 54</w:t>
      </w:r>
      <w:r w:rsidR="00E532B6">
        <w:rPr>
          <w:u w:val="single"/>
        </w:rPr>
        <w:t xml:space="preserve"> a Příloha č. 24</w:t>
      </w:r>
      <w:r w:rsidR="000A5D37" w:rsidRPr="000A5D37">
        <w:rPr>
          <w:u w:val="single"/>
        </w:rPr>
        <w:t>)</w:t>
      </w:r>
      <w:r w:rsidR="00430878">
        <w:rPr>
          <w:u w:val="single"/>
        </w:rPr>
        <w:t>, v ČR ještě navíc po SRS</w:t>
      </w:r>
      <w:r w:rsidR="0033377C" w:rsidRPr="0033377C">
        <w:rPr>
          <w:u w:val="single"/>
          <w:vertAlign w:val="superscript"/>
        </w:rPr>
        <w:t>51</w:t>
      </w:r>
      <w:r w:rsidR="00430878">
        <w:rPr>
          <w:u w:val="single"/>
        </w:rPr>
        <w:t xml:space="preserve"> rezidua adenomu</w:t>
      </w:r>
      <w:r w:rsidR="00430878" w:rsidRPr="00430878">
        <w:rPr>
          <w:u w:val="single"/>
          <w:vertAlign w:val="superscript"/>
        </w:rPr>
        <w:t>77</w:t>
      </w:r>
      <w:r w:rsidR="003E3349">
        <w:rPr>
          <w:u w:val="single"/>
        </w:rPr>
        <w:t>)</w:t>
      </w:r>
      <w:r w:rsidRPr="000A5D37">
        <w:rPr>
          <w:u w:val="single"/>
        </w:rPr>
        <w:t>, se do</w:t>
      </w:r>
      <w:r w:rsidRPr="00753AE2">
        <w:rPr>
          <w:u w:val="single"/>
        </w:rPr>
        <w:t xml:space="preserve">poručuje </w:t>
      </w:r>
      <w:r w:rsidR="00560B61">
        <w:rPr>
          <w:u w:val="single"/>
        </w:rPr>
        <w:t>farmakoterapie</w:t>
      </w:r>
      <w:r w:rsidR="008C7898" w:rsidRPr="00753AE2">
        <w:rPr>
          <w:u w:val="single"/>
        </w:rPr>
        <w:t>,</w:t>
      </w:r>
      <w:r w:rsidR="008C7898">
        <w:t xml:space="preserve"> </w:t>
      </w:r>
      <w:r w:rsidR="008C7898" w:rsidRPr="00C26B42">
        <w:rPr>
          <w:u w:val="single"/>
        </w:rPr>
        <w:t xml:space="preserve">primární farmakoterapie je vyhrazena </w:t>
      </w:r>
      <w:r w:rsidR="00C15764">
        <w:rPr>
          <w:u w:val="single"/>
        </w:rPr>
        <w:t xml:space="preserve">jen </w:t>
      </w:r>
      <w:r w:rsidR="008C7898" w:rsidRPr="00C26B42">
        <w:rPr>
          <w:u w:val="single"/>
        </w:rPr>
        <w:t>pro pacienty s KI nebo odmítající operaci</w:t>
      </w:r>
      <w:r w:rsidR="00781AD0">
        <w:rPr>
          <w:u w:val="single"/>
        </w:rPr>
        <w:t xml:space="preserve"> (viz podrobněji níže pozn. 55)</w:t>
      </w:r>
      <w:r w:rsidR="008C7898" w:rsidRPr="008C7898">
        <w:t xml:space="preserve">, a může být </w:t>
      </w:r>
      <w:r w:rsidR="00C15764">
        <w:t xml:space="preserve">event. </w:t>
      </w:r>
      <w:r w:rsidR="008C7898" w:rsidRPr="008C7898">
        <w:t>zvážena u</w:t>
      </w:r>
      <w:r w:rsidR="008C7898">
        <w:t xml:space="preserve"> vybraných pac</w:t>
      </w:r>
      <w:r w:rsidR="00560B61">
        <w:t>.</w:t>
      </w:r>
      <w:r w:rsidR="008C7898">
        <w:t>, u nichž není předpoklad</w:t>
      </w:r>
      <w:r w:rsidR="008C7898" w:rsidRPr="008C7898">
        <w:t xml:space="preserve"> dobrých výsledků chirurgického </w:t>
      </w:r>
      <w:r w:rsidR="00C15764">
        <w:t xml:space="preserve">zákroku </w:t>
      </w:r>
      <w:r w:rsidR="00560B61" w:rsidRPr="00560B61">
        <w:rPr>
          <w:u w:val="single"/>
        </w:rPr>
        <w:t>(viz Přílohu č. 13</w:t>
      </w:r>
      <w:r w:rsidR="00560B61">
        <w:t>)</w:t>
      </w:r>
      <w:r w:rsidRPr="00CC60EF">
        <w:rPr>
          <w:vertAlign w:val="superscript"/>
        </w:rPr>
        <w:t>27</w:t>
      </w:r>
      <w:r>
        <w:t xml:space="preserve">. </w:t>
      </w:r>
      <w:r w:rsidR="00E07673">
        <w:t xml:space="preserve">Zajímavostí je, že </w:t>
      </w:r>
      <w:r w:rsidR="00E07673" w:rsidRPr="00D6118F">
        <w:rPr>
          <w:b/>
        </w:rPr>
        <w:t>ženy</w:t>
      </w:r>
      <w:r w:rsidR="00E07673">
        <w:t xml:space="preserve"> (</w:t>
      </w:r>
      <w:r w:rsidR="00E07673" w:rsidRPr="00E07673">
        <w:t xml:space="preserve">zvláště </w:t>
      </w:r>
      <w:r w:rsidR="00E07673">
        <w:t xml:space="preserve">ty </w:t>
      </w:r>
      <w:r w:rsidR="00E07673" w:rsidRPr="00E07673">
        <w:t>v postmenopauzálním období</w:t>
      </w:r>
      <w:r w:rsidR="00E07673">
        <w:t>)</w:t>
      </w:r>
      <w:r w:rsidR="00E07673" w:rsidRPr="00E07673">
        <w:t xml:space="preserve"> </w:t>
      </w:r>
      <w:r w:rsidR="00E07673" w:rsidRPr="00D6118F">
        <w:rPr>
          <w:b/>
        </w:rPr>
        <w:t>mohou vykazovat nižší míru chirurgické remise po</w:t>
      </w:r>
      <w:r w:rsidR="00E07673">
        <w:t xml:space="preserve"> </w:t>
      </w:r>
      <w:r w:rsidR="00E07673" w:rsidRPr="000A5D37">
        <w:rPr>
          <w:b/>
        </w:rPr>
        <w:t>TSS</w:t>
      </w:r>
      <w:r w:rsidR="00E07673" w:rsidRPr="00E07673">
        <w:t>, protože mají tendenci mít větší a invazivnější nádory, které jsou hůře přístupné celkové resekci</w:t>
      </w:r>
      <w:r w:rsidR="00D6118F" w:rsidRPr="00D6118F">
        <w:rPr>
          <w:vertAlign w:val="superscript"/>
        </w:rPr>
        <w:t>29</w:t>
      </w:r>
      <w:r w:rsidR="00E07673" w:rsidRPr="00E07673">
        <w:t>.</w:t>
      </w:r>
      <w:r w:rsidR="003F62AB">
        <w:t xml:space="preserve"> </w:t>
      </w:r>
      <w:r w:rsidR="003F62AB" w:rsidRPr="003F62AB">
        <w:t>Pokud se velikost adenomu zvětší nebo hypersekrece GH/IGF-1</w:t>
      </w:r>
      <w:r w:rsidR="00E15496">
        <w:t xml:space="preserve"> (viz níže pozn. 13) </w:t>
      </w:r>
      <w:r w:rsidR="003F62AB" w:rsidRPr="003F62AB">
        <w:t xml:space="preserve">přetrvává i přes </w:t>
      </w:r>
      <w:r w:rsidR="003F62AB">
        <w:t>farmakoterapii</w:t>
      </w:r>
      <w:r w:rsidR="003F62AB" w:rsidRPr="003F62AB">
        <w:t>, doporučuje</w:t>
      </w:r>
      <w:r w:rsidR="003F62AB">
        <w:t xml:space="preserve"> se</w:t>
      </w:r>
      <w:r w:rsidR="003F62AB" w:rsidRPr="003F62AB">
        <w:t xml:space="preserve"> </w:t>
      </w:r>
      <w:r w:rsidR="00C15764">
        <w:t xml:space="preserve">v zahraničí RT </w:t>
      </w:r>
      <w:r w:rsidR="003F62AB" w:rsidRPr="003F62AB">
        <w:t>(</w:t>
      </w:r>
      <w:r w:rsidR="00A74291">
        <w:t>viz níže pozn. 51</w:t>
      </w:r>
      <w:r w:rsidR="003F62AB" w:rsidRPr="003F62AB">
        <w:t>) nebo opakovan</w:t>
      </w:r>
      <w:r w:rsidR="003F62AB">
        <w:t>á</w:t>
      </w:r>
      <w:r w:rsidR="003F62AB" w:rsidRPr="003F62AB">
        <w:t xml:space="preserve"> operac</w:t>
      </w:r>
      <w:r w:rsidR="003F62AB">
        <w:t>e</w:t>
      </w:r>
      <w:r w:rsidR="00E15496" w:rsidRPr="00E15496">
        <w:rPr>
          <w:vertAlign w:val="superscript"/>
        </w:rPr>
        <w:t>39</w:t>
      </w:r>
      <w:r w:rsidR="003F62AB">
        <w:t>.</w:t>
      </w:r>
    </w:p>
    <w:p w:rsidR="004F6E46" w:rsidRDefault="00982B4E" w:rsidP="007156A9">
      <w:pPr>
        <w:spacing w:after="0"/>
        <w:jc w:val="both"/>
      </w:pPr>
      <w:r w:rsidRPr="004F6E46">
        <w:rPr>
          <w:b/>
        </w:rPr>
        <w:t>Pro farmakoterapii akromegalie se používají aktuálně tři třídy léků</w:t>
      </w:r>
      <w:r w:rsidR="004F6E46" w:rsidRPr="004F6E46">
        <w:rPr>
          <w:b/>
          <w:vertAlign w:val="superscript"/>
        </w:rPr>
        <w:t>26</w:t>
      </w:r>
      <w:r w:rsidR="00984026">
        <w:t xml:space="preserve"> </w:t>
      </w:r>
      <w:r w:rsidR="00984026" w:rsidRPr="00984026">
        <w:rPr>
          <w:b/>
        </w:rPr>
        <w:t>(viz Přílohu č. 8)</w:t>
      </w:r>
      <w:r w:rsidR="00984026">
        <w:t>:</w:t>
      </w:r>
      <w:r w:rsidRPr="00982B4E">
        <w:t xml:space="preserve"> agonisté dopaminu</w:t>
      </w:r>
      <w:r>
        <w:t xml:space="preserve"> (</w:t>
      </w:r>
      <w:proofErr w:type="spellStart"/>
      <w:r w:rsidR="00C15764">
        <w:t>k</w:t>
      </w:r>
      <w:r>
        <w:t>abergolin</w:t>
      </w:r>
      <w:proofErr w:type="spellEnd"/>
      <w:r w:rsidR="004F6E46">
        <w:t>)</w:t>
      </w:r>
      <w:r w:rsidRPr="00982B4E">
        <w:t xml:space="preserve">, analogy </w:t>
      </w:r>
      <w:proofErr w:type="spellStart"/>
      <w:r w:rsidRPr="00982B4E">
        <w:t>somatostatinu</w:t>
      </w:r>
      <w:proofErr w:type="spellEnd"/>
      <w:r>
        <w:t xml:space="preserve"> (viz níže pozn. 19)</w:t>
      </w:r>
      <w:r w:rsidRPr="00982B4E">
        <w:t xml:space="preserve"> a antagonista receptoru</w:t>
      </w:r>
      <w:r>
        <w:t xml:space="preserve"> pro růstový hormon</w:t>
      </w:r>
      <w:r w:rsidR="004F6E46">
        <w:t xml:space="preserve"> </w:t>
      </w:r>
      <w:r>
        <w:t>(</w:t>
      </w:r>
      <w:r w:rsidR="004F6E46">
        <w:t xml:space="preserve">viz níže pozn. </w:t>
      </w:r>
      <w:r>
        <w:t>9</w:t>
      </w:r>
      <w:r w:rsidR="004F6E46">
        <w:t xml:space="preserve">) </w:t>
      </w:r>
      <w:proofErr w:type="spellStart"/>
      <w:r w:rsidRPr="00982B4E">
        <w:t>pegvisomant</w:t>
      </w:r>
      <w:proofErr w:type="spellEnd"/>
      <w:r w:rsidR="004F6E46">
        <w:t xml:space="preserve"> (viz níže pozn. 25)</w:t>
      </w:r>
      <w:r w:rsidRPr="00982B4E">
        <w:t>.</w:t>
      </w:r>
      <w:r w:rsidR="00EB3537">
        <w:t xml:space="preserve"> </w:t>
      </w:r>
      <w:r w:rsidRPr="00982B4E">
        <w:t>Tyto lék</w:t>
      </w:r>
      <w:r w:rsidR="00C15764">
        <w:t>ové skupiny působí na onemocnění</w:t>
      </w:r>
      <w:r w:rsidRPr="00982B4E">
        <w:t xml:space="preserve"> akromegali</w:t>
      </w:r>
      <w:r w:rsidR="00C15764">
        <w:t>e</w:t>
      </w:r>
      <w:r w:rsidRPr="00982B4E">
        <w:t xml:space="preserve"> odlišnými mechanismy</w:t>
      </w:r>
      <w:r w:rsidR="004F6E46" w:rsidRPr="004F6E46">
        <w:rPr>
          <w:vertAlign w:val="superscript"/>
        </w:rPr>
        <w:t>26</w:t>
      </w:r>
      <w:r w:rsidR="004F6E46">
        <w:t>:</w:t>
      </w:r>
    </w:p>
    <w:p w:rsidR="004F6E46" w:rsidRPr="004F6E46" w:rsidRDefault="004F6E46" w:rsidP="004F6E46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</w:rPr>
      </w:pPr>
      <w:r>
        <w:t>a</w:t>
      </w:r>
      <w:r w:rsidR="00982B4E" w:rsidRPr="00982B4E">
        <w:t>gonisté dopaminu</w:t>
      </w:r>
      <w:r w:rsidR="00253E17">
        <w:t xml:space="preserve"> (viz níže pozn. 31)</w:t>
      </w:r>
      <w:r w:rsidR="004724CC">
        <w:t>, které</w:t>
      </w:r>
      <w:r w:rsidR="00982B4E" w:rsidRPr="00982B4E">
        <w:t xml:space="preserve"> inhibují hypofyzární sekreci </w:t>
      </w:r>
      <w:r w:rsidR="000C2626">
        <w:t>růstového hormonu (dále jen „</w:t>
      </w:r>
      <w:r w:rsidR="00982B4E" w:rsidRPr="00982B4E">
        <w:t>GH</w:t>
      </w:r>
      <w:r w:rsidR="000C2626">
        <w:t>“ – viz níže pozn.</w:t>
      </w:r>
      <w:r w:rsidR="00253E17">
        <w:t xml:space="preserve"> </w:t>
      </w:r>
      <w:r w:rsidR="000C2626">
        <w:t xml:space="preserve">13, </w:t>
      </w:r>
      <w:r w:rsidR="00982B4E">
        <w:t xml:space="preserve">CAVE! </w:t>
      </w:r>
      <w:r w:rsidR="000C2626">
        <w:t xml:space="preserve">agonisté dopaminu </w:t>
      </w:r>
      <w:r w:rsidR="00982B4E">
        <w:t>n</w:t>
      </w:r>
      <w:r w:rsidR="00982B4E" w:rsidRPr="00982B4E">
        <w:t>ezmenšují</w:t>
      </w:r>
      <w:r w:rsidR="00982B4E">
        <w:t xml:space="preserve"> spolehlivě</w:t>
      </w:r>
      <w:r w:rsidR="00982B4E" w:rsidRPr="00982B4E">
        <w:t xml:space="preserve"> </w:t>
      </w:r>
      <w:r w:rsidR="00431AAF">
        <w:t xml:space="preserve">velikost </w:t>
      </w:r>
      <w:r w:rsidR="00982B4E" w:rsidRPr="00982B4E">
        <w:t>nádor</w:t>
      </w:r>
      <w:r w:rsidR="00431AAF">
        <w:t>ů</w:t>
      </w:r>
      <w:r w:rsidR="00982B4E" w:rsidRPr="00982B4E">
        <w:t xml:space="preserve"> vylučující GH</w:t>
      </w:r>
      <w:r w:rsidR="00982B4E">
        <w:t>!)</w:t>
      </w:r>
      <w:r w:rsidR="00982B4E" w:rsidRPr="00982B4E">
        <w:t>,</w:t>
      </w:r>
    </w:p>
    <w:p w:rsidR="004F6E46" w:rsidRPr="004F6E46" w:rsidRDefault="00982B4E" w:rsidP="000C2626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</w:rPr>
      </w:pPr>
      <w:proofErr w:type="spellStart"/>
      <w:r w:rsidRPr="00982B4E">
        <w:t>somatostatinová</w:t>
      </w:r>
      <w:proofErr w:type="spellEnd"/>
      <w:r w:rsidRPr="00982B4E">
        <w:t xml:space="preserve"> analoga </w:t>
      </w:r>
      <w:r w:rsidR="00DA6347">
        <w:t>(viz níže pozn. 19)</w:t>
      </w:r>
      <w:r w:rsidR="004724CC">
        <w:t>, která</w:t>
      </w:r>
      <w:r w:rsidR="00DA6347">
        <w:t xml:space="preserve"> </w:t>
      </w:r>
      <w:r w:rsidRPr="00982B4E">
        <w:t xml:space="preserve">aktivují </w:t>
      </w:r>
      <w:proofErr w:type="spellStart"/>
      <w:r w:rsidRPr="00982B4E">
        <w:t>somatostatinové</w:t>
      </w:r>
      <w:proofErr w:type="spellEnd"/>
      <w:r w:rsidRPr="00982B4E">
        <w:t xml:space="preserve"> receptory</w:t>
      </w:r>
      <w:r w:rsidR="000C2626">
        <w:t xml:space="preserve"> (viz níže pozn. 10)</w:t>
      </w:r>
      <w:r w:rsidRPr="00982B4E">
        <w:t>, které potlačují nádorovou sekreci GH s následným poklesem</w:t>
      </w:r>
      <w:r w:rsidR="004724CC">
        <w:t xml:space="preserve"> hladin</w:t>
      </w:r>
      <w:r w:rsidRPr="00982B4E">
        <w:t xml:space="preserve"> IGF-I</w:t>
      </w:r>
      <w:r w:rsidR="000C2626">
        <w:t xml:space="preserve"> (viz níže pozn. 13, p</w:t>
      </w:r>
      <w:r w:rsidR="000C2626" w:rsidRPr="000C2626">
        <w:t xml:space="preserve">řibližně 30 % nádorů </w:t>
      </w:r>
      <w:proofErr w:type="spellStart"/>
      <w:r w:rsidR="000C2626" w:rsidRPr="000C2626">
        <w:t>sekretujících</w:t>
      </w:r>
      <w:proofErr w:type="spellEnd"/>
      <w:r w:rsidR="000C2626" w:rsidRPr="000C2626">
        <w:t xml:space="preserve"> GH léčených </w:t>
      </w:r>
      <w:proofErr w:type="spellStart"/>
      <w:r w:rsidR="000C2626" w:rsidRPr="000C2626">
        <w:t>oktreotidem</w:t>
      </w:r>
      <w:proofErr w:type="spellEnd"/>
      <w:r w:rsidR="000C2626" w:rsidRPr="000C2626">
        <w:t xml:space="preserve"> LAR jako doplňkov</w:t>
      </w:r>
      <w:r w:rsidR="004724CC">
        <w:t>ou</w:t>
      </w:r>
      <w:r w:rsidR="000C2626" w:rsidRPr="000C2626">
        <w:t xml:space="preserve"> léčb</w:t>
      </w:r>
      <w:r w:rsidR="004724CC">
        <w:t>ou</w:t>
      </w:r>
      <w:r w:rsidR="000C2626" w:rsidRPr="000C2626">
        <w:t xml:space="preserve"> m</w:t>
      </w:r>
      <w:r w:rsidR="000C2626">
        <w:t>ělo</w:t>
      </w:r>
      <w:r w:rsidR="000C2626" w:rsidRPr="000C2626">
        <w:t xml:space="preserve"> 20–50 % zmenšení velikosti nádoru</w:t>
      </w:r>
      <w:r w:rsidR="000C2626">
        <w:t>)</w:t>
      </w:r>
      <w:r w:rsidRPr="00982B4E">
        <w:t xml:space="preserve">, </w:t>
      </w:r>
    </w:p>
    <w:p w:rsidR="008703DB" w:rsidRPr="004F6E46" w:rsidRDefault="00982B4E" w:rsidP="004F6E46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</w:rPr>
      </w:pPr>
      <w:proofErr w:type="spellStart"/>
      <w:r w:rsidRPr="00982B4E">
        <w:t>pegvisomant</w:t>
      </w:r>
      <w:proofErr w:type="spellEnd"/>
      <w:r w:rsidR="00DA6347">
        <w:t xml:space="preserve"> (viz níže pozn. 25)</w:t>
      </w:r>
      <w:r w:rsidR="004724CC">
        <w:t>, který</w:t>
      </w:r>
      <w:r w:rsidRPr="00982B4E">
        <w:t xml:space="preserve"> blokuje periferní působení </w:t>
      </w:r>
      <w:r w:rsidR="000C2626">
        <w:t>GH</w:t>
      </w:r>
      <w:r>
        <w:t xml:space="preserve"> (viz níže pozn. 13)</w:t>
      </w:r>
      <w:r w:rsidR="004724CC">
        <w:t xml:space="preserve"> a tím vede</w:t>
      </w:r>
      <w:r w:rsidRPr="00982B4E">
        <w:t xml:space="preserve"> ke snížení </w:t>
      </w:r>
      <w:r w:rsidR="004724CC">
        <w:t xml:space="preserve">hladin </w:t>
      </w:r>
      <w:r w:rsidRPr="00982B4E">
        <w:t>IGF-I</w:t>
      </w:r>
      <w:r>
        <w:t xml:space="preserve"> (viz níže pozn. 13)</w:t>
      </w:r>
      <w:r w:rsidR="004F6E46">
        <w:t xml:space="preserve">, </w:t>
      </w:r>
      <w:proofErr w:type="spellStart"/>
      <w:r w:rsidR="004F6E46">
        <w:t>pegvisomant</w:t>
      </w:r>
      <w:proofErr w:type="spellEnd"/>
      <w:r w:rsidR="004F6E46">
        <w:t xml:space="preserve"> se podává buď v </w:t>
      </w:r>
      <w:proofErr w:type="spellStart"/>
      <w:r w:rsidR="004F6E46">
        <w:t>monoterapii</w:t>
      </w:r>
      <w:proofErr w:type="spellEnd"/>
      <w:r w:rsidR="004F6E46">
        <w:t xml:space="preserve"> nebo v kombinaci se </w:t>
      </w:r>
      <w:proofErr w:type="spellStart"/>
      <w:r w:rsidR="004F6E46">
        <w:t>somatostatinovými</w:t>
      </w:r>
      <w:proofErr w:type="spellEnd"/>
      <w:r w:rsidR="004F6E46">
        <w:t xml:space="preserve"> analogy (viz Příloh</w:t>
      </w:r>
      <w:r w:rsidR="007930DA">
        <w:t>y</w:t>
      </w:r>
      <w:r w:rsidR="004F6E46">
        <w:t xml:space="preserve"> č. 5</w:t>
      </w:r>
      <w:r w:rsidR="007930DA">
        <w:t xml:space="preserve"> a 7</w:t>
      </w:r>
      <w:r w:rsidR="004F6E46">
        <w:t>)</w:t>
      </w:r>
      <w:r w:rsidRPr="00982B4E">
        <w:t>.</w:t>
      </w:r>
    </w:p>
    <w:p w:rsidR="007156A9" w:rsidRPr="00F11670" w:rsidRDefault="00CC60EF" w:rsidP="00900810">
      <w:pPr>
        <w:spacing w:after="0"/>
        <w:jc w:val="both"/>
        <w:rPr>
          <w:rFonts w:cstheme="minorHAnsi"/>
          <w:b/>
        </w:rPr>
      </w:pPr>
      <w:r w:rsidRPr="00CC60EF">
        <w:rPr>
          <w:b/>
        </w:rPr>
        <w:t>Volba terapie mezi výše uvedenými farmakolog</w:t>
      </w:r>
      <w:r w:rsidR="00C34716">
        <w:rPr>
          <w:b/>
        </w:rPr>
        <w:t>.</w:t>
      </w:r>
      <w:r w:rsidRPr="00CC60EF">
        <w:rPr>
          <w:b/>
        </w:rPr>
        <w:t xml:space="preserve"> skupinami by měla být individualizována na základě faktorů specifických pro onemocnění a pacienta, o nichž je známo, že ovlivňují </w:t>
      </w:r>
      <w:proofErr w:type="spellStart"/>
      <w:r w:rsidRPr="00CC60EF">
        <w:rPr>
          <w:b/>
        </w:rPr>
        <w:t>terap</w:t>
      </w:r>
      <w:proofErr w:type="spellEnd"/>
      <w:r w:rsidR="00C34716">
        <w:rPr>
          <w:b/>
        </w:rPr>
        <w:t>.</w:t>
      </w:r>
      <w:r w:rsidRPr="00CC60EF">
        <w:rPr>
          <w:b/>
        </w:rPr>
        <w:t xml:space="preserve"> účinnost a bezpečnost</w:t>
      </w:r>
      <w:r w:rsidRPr="00CC60EF">
        <w:rPr>
          <w:vertAlign w:val="superscript"/>
        </w:rPr>
        <w:t>27</w:t>
      </w:r>
      <w:r>
        <w:t xml:space="preserve">- </w:t>
      </w:r>
      <w:r w:rsidRPr="00D6118F">
        <w:rPr>
          <w:b/>
        </w:rPr>
        <w:t>viz Přílohu č. 7</w:t>
      </w:r>
      <w:r>
        <w:t xml:space="preserve">. </w:t>
      </w:r>
      <w:proofErr w:type="spellStart"/>
      <w:r w:rsidR="00900810" w:rsidRPr="00753AE2">
        <w:rPr>
          <w:u w:val="single"/>
        </w:rPr>
        <w:t>Octreotid</w:t>
      </w:r>
      <w:proofErr w:type="spellEnd"/>
      <w:r w:rsidR="00900810" w:rsidRPr="00753AE2">
        <w:rPr>
          <w:u w:val="single"/>
        </w:rPr>
        <w:t xml:space="preserve"> LAR a </w:t>
      </w:r>
      <w:proofErr w:type="spellStart"/>
      <w:r w:rsidR="00900810" w:rsidRPr="00753AE2">
        <w:rPr>
          <w:u w:val="single"/>
        </w:rPr>
        <w:t>lanreotid</w:t>
      </w:r>
      <w:proofErr w:type="spellEnd"/>
      <w:r w:rsidR="00900810" w:rsidRPr="00753AE2">
        <w:rPr>
          <w:u w:val="single"/>
        </w:rPr>
        <w:t xml:space="preserve"> (oba jsou FGSSA – viz níže pozn. 19) se používají </w:t>
      </w:r>
      <w:r w:rsidR="00F74648">
        <w:rPr>
          <w:u w:val="single"/>
        </w:rPr>
        <w:t xml:space="preserve">zatím </w:t>
      </w:r>
      <w:r w:rsidR="00900810" w:rsidRPr="00753AE2">
        <w:rPr>
          <w:u w:val="single"/>
        </w:rPr>
        <w:t xml:space="preserve">jako léky </w:t>
      </w:r>
      <w:r w:rsidR="000E2CEA">
        <w:rPr>
          <w:u w:val="single"/>
        </w:rPr>
        <w:t>1.</w:t>
      </w:r>
      <w:r w:rsidR="00900810" w:rsidRPr="00753AE2">
        <w:rPr>
          <w:u w:val="single"/>
        </w:rPr>
        <w:t xml:space="preserve"> volby </w:t>
      </w:r>
      <w:r w:rsidR="00900810" w:rsidRPr="000123EC">
        <w:rPr>
          <w:u w:val="single"/>
        </w:rPr>
        <w:t xml:space="preserve">farmakoterapie </w:t>
      </w:r>
      <w:r w:rsidR="005E5003">
        <w:rPr>
          <w:u w:val="single"/>
        </w:rPr>
        <w:t>jak</w:t>
      </w:r>
      <w:r w:rsidR="0072349A">
        <w:rPr>
          <w:u w:val="single"/>
        </w:rPr>
        <w:t xml:space="preserve"> </w:t>
      </w:r>
      <w:r w:rsidR="005E5003">
        <w:rPr>
          <w:u w:val="single"/>
        </w:rPr>
        <w:t>v ČR</w:t>
      </w:r>
      <w:r w:rsidR="005E5003" w:rsidRPr="005E5003">
        <w:rPr>
          <w:u w:val="single"/>
          <w:vertAlign w:val="superscript"/>
        </w:rPr>
        <w:t>77</w:t>
      </w:r>
      <w:r w:rsidR="005E5003">
        <w:rPr>
          <w:u w:val="single"/>
        </w:rPr>
        <w:t xml:space="preserve"> tak v zahraničí </w:t>
      </w:r>
      <w:r w:rsidR="00753AE2" w:rsidRPr="000123EC">
        <w:rPr>
          <w:u w:val="single"/>
        </w:rPr>
        <w:t>(viz Přílohu č. 5)</w:t>
      </w:r>
      <w:r w:rsidR="00753AE2">
        <w:t xml:space="preserve"> </w:t>
      </w:r>
      <w:r w:rsidR="00900810">
        <w:t>vzhledem k jejich příznivému profilu rizika/přínosu - 30 až 55 % pac</w:t>
      </w:r>
      <w:r w:rsidR="00E261D6">
        <w:t>.</w:t>
      </w:r>
      <w:r w:rsidR="00900810">
        <w:t xml:space="preserve"> dosáhne normálního IGF-I při dlouhodobé léčbě těmito SSA a více jak 20 % zmenšení velikosti nádoru je pozorováno u více než poloviny léčených pac</w:t>
      </w:r>
      <w:r w:rsidR="00F74648">
        <w:t>.</w:t>
      </w:r>
      <w:r w:rsidR="00900810">
        <w:t>, nižší výchozí hladina IGF-I a vyšší věk jsou silnými prediktory odpovědi</w:t>
      </w:r>
      <w:r w:rsidR="00900810" w:rsidRPr="00900810">
        <w:rPr>
          <w:vertAlign w:val="superscript"/>
        </w:rPr>
        <w:t>27</w:t>
      </w:r>
      <w:r w:rsidR="00900810">
        <w:t>.</w:t>
      </w:r>
      <w:r w:rsidR="00672F92">
        <w:t xml:space="preserve"> </w:t>
      </w:r>
      <w:r w:rsidR="00672F92" w:rsidRPr="00672F92">
        <w:rPr>
          <w:u w:val="single"/>
        </w:rPr>
        <w:t>Existují již také návrhy personalizované farmakoterapie u akromegalie</w:t>
      </w:r>
      <w:r w:rsidR="00F11670">
        <w:rPr>
          <w:u w:val="single"/>
        </w:rPr>
        <w:t>,</w:t>
      </w:r>
      <w:r w:rsidR="00672F92" w:rsidRPr="00672F92">
        <w:rPr>
          <w:u w:val="single"/>
        </w:rPr>
        <w:t xml:space="preserve"> kde se výběr léčiv již pro 1. linii řídí přítomností/</w:t>
      </w:r>
      <w:r w:rsidR="00877359">
        <w:rPr>
          <w:u w:val="single"/>
        </w:rPr>
        <w:t xml:space="preserve"> </w:t>
      </w:r>
      <w:r w:rsidR="00672F92" w:rsidRPr="00672F92">
        <w:rPr>
          <w:u w:val="single"/>
        </w:rPr>
        <w:t xml:space="preserve">nepřítomností určitých prediktivních </w:t>
      </w:r>
      <w:proofErr w:type="spellStart"/>
      <w:r w:rsidR="00672F92" w:rsidRPr="00672F92">
        <w:rPr>
          <w:u w:val="single"/>
        </w:rPr>
        <w:t>markerů</w:t>
      </w:r>
      <w:proofErr w:type="spellEnd"/>
      <w:r w:rsidR="00672F92" w:rsidRPr="00672F92">
        <w:rPr>
          <w:u w:val="single"/>
        </w:rPr>
        <w:t xml:space="preserve"> (</w:t>
      </w:r>
      <w:r w:rsidR="00672F92" w:rsidRPr="00F11670">
        <w:rPr>
          <w:u w:val="single"/>
        </w:rPr>
        <w:t>MRI signál, funkční testy, molekulární charakteristiky – viz Přílohu č. 20)</w:t>
      </w:r>
      <w:r w:rsidR="00672F92" w:rsidRPr="00F11670">
        <w:t xml:space="preserve">. </w:t>
      </w:r>
      <w:r w:rsidR="007156A9" w:rsidRPr="00F11670">
        <w:rPr>
          <w:rFonts w:cstheme="minorHAnsi"/>
        </w:rPr>
        <w:t xml:space="preserve">Obecně se při léčbě akromegalie </w:t>
      </w:r>
      <w:proofErr w:type="spellStart"/>
      <w:r w:rsidR="007156A9" w:rsidRPr="00F11670">
        <w:rPr>
          <w:rFonts w:cstheme="minorHAnsi"/>
        </w:rPr>
        <w:t>somatostatin</w:t>
      </w:r>
      <w:proofErr w:type="spellEnd"/>
      <w:r w:rsidR="00877359" w:rsidRPr="00F11670">
        <w:rPr>
          <w:rFonts w:cstheme="minorHAnsi"/>
        </w:rPr>
        <w:t>.</w:t>
      </w:r>
      <w:r w:rsidR="007156A9" w:rsidRPr="00F11670">
        <w:rPr>
          <w:rFonts w:cstheme="minorHAnsi"/>
        </w:rPr>
        <w:t xml:space="preserve"> analogy (viz níže pozn. 19) využívá jen jejich působení na hypofýzu, ale </w:t>
      </w:r>
      <w:proofErr w:type="spellStart"/>
      <w:r w:rsidR="007156A9" w:rsidRPr="00F11670">
        <w:rPr>
          <w:rFonts w:cstheme="minorHAnsi"/>
        </w:rPr>
        <w:t>somatostatinové</w:t>
      </w:r>
      <w:proofErr w:type="spellEnd"/>
      <w:r w:rsidR="007156A9" w:rsidRPr="00F11670">
        <w:rPr>
          <w:rFonts w:cstheme="minorHAnsi"/>
        </w:rPr>
        <w:t xml:space="preserve"> receptory (viz níže pozn. 10) jsou exprimovány také na řadě dalších tkáních </w:t>
      </w:r>
      <w:r w:rsidR="007156A9" w:rsidRPr="00F11670">
        <w:rPr>
          <w:rFonts w:cstheme="minorHAnsi"/>
          <w:b/>
        </w:rPr>
        <w:t>(viz Přílohu č. 4)</w:t>
      </w:r>
      <w:r w:rsidR="00522A31" w:rsidRPr="00F11670">
        <w:rPr>
          <w:rFonts w:cstheme="minorHAnsi"/>
          <w:b/>
        </w:rPr>
        <w:t xml:space="preserve">. </w:t>
      </w:r>
    </w:p>
    <w:p w:rsidR="00CE7395" w:rsidRPr="0079153B" w:rsidRDefault="00AD41C9" w:rsidP="007915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AD41C9">
        <w:rPr>
          <w:rFonts w:cstheme="minorHAnsi"/>
          <w:u w:val="single"/>
        </w:rPr>
        <w:t>Pegvisomant</w:t>
      </w:r>
      <w:proofErr w:type="spellEnd"/>
      <w:r w:rsidRPr="00AD41C9">
        <w:rPr>
          <w:rFonts w:cstheme="minorHAnsi"/>
          <w:u w:val="single"/>
        </w:rPr>
        <w:t xml:space="preserve"> (</w:t>
      </w:r>
      <w:r w:rsidRPr="00AD41C9">
        <w:rPr>
          <w:u w:val="single"/>
        </w:rPr>
        <w:t>viz také níže pozn. 25)</w:t>
      </w:r>
      <w:r w:rsidRPr="00AD41C9">
        <w:rPr>
          <w:rFonts w:cstheme="minorHAnsi"/>
          <w:u w:val="single"/>
        </w:rPr>
        <w:t xml:space="preserve"> se obecně používá jako terapie 2. linie</w:t>
      </w:r>
      <w:r w:rsidRPr="00AD41C9">
        <w:rPr>
          <w:rFonts w:cstheme="minorHAnsi"/>
        </w:rPr>
        <w:t xml:space="preserve"> u pacientů, kteří nedosahují biochemické kontroly maximálními dávkami </w:t>
      </w:r>
      <w:r>
        <w:rPr>
          <w:rFonts w:cstheme="minorHAnsi"/>
        </w:rPr>
        <w:t>FGSSA (viz níže pozn. 19)</w:t>
      </w:r>
      <w:r w:rsidRPr="00AD41C9">
        <w:rPr>
          <w:rFonts w:cstheme="minorHAnsi"/>
        </w:rPr>
        <w:t xml:space="preserve">, i když </w:t>
      </w:r>
      <w:r>
        <w:rPr>
          <w:rFonts w:cstheme="minorHAnsi"/>
        </w:rPr>
        <w:t>observační data</w:t>
      </w:r>
      <w:r w:rsidRPr="00AD41C9">
        <w:rPr>
          <w:rFonts w:cstheme="minorHAnsi"/>
        </w:rPr>
        <w:t xml:space="preserve"> naznačují, že je účinný i při použití jako terapie </w:t>
      </w:r>
      <w:r>
        <w:rPr>
          <w:rFonts w:cstheme="minorHAnsi"/>
        </w:rPr>
        <w:t>1.</w:t>
      </w:r>
      <w:r w:rsidRPr="00AD41C9">
        <w:rPr>
          <w:rFonts w:cstheme="minorHAnsi"/>
        </w:rPr>
        <w:t xml:space="preserve"> </w:t>
      </w:r>
      <w:r>
        <w:rPr>
          <w:rFonts w:cstheme="minorHAnsi"/>
        </w:rPr>
        <w:t>linie, v</w:t>
      </w:r>
      <w:r w:rsidRPr="00AD41C9">
        <w:rPr>
          <w:rFonts w:cstheme="minorHAnsi"/>
        </w:rPr>
        <w:t>zhledem k tomu, že se zvýšením dávky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pegvisomantu</w:t>
      </w:r>
      <w:proofErr w:type="spellEnd"/>
      <w:r w:rsidRPr="00AD41C9">
        <w:rPr>
          <w:rFonts w:cstheme="minorHAnsi"/>
        </w:rPr>
        <w:t xml:space="preserve"> je často vidět vyšší míra kontroly, léčba by měla být zahájena nízkými dávkami a podle tolerance by měla být zvyšována, dokud nebude dosaženo kontroly</w:t>
      </w:r>
      <w:r>
        <w:rPr>
          <w:rFonts w:cstheme="minorHAnsi"/>
        </w:rPr>
        <w:t xml:space="preserve"> onemocnění - p</w:t>
      </w:r>
      <w:r w:rsidRPr="00AD41C9">
        <w:rPr>
          <w:rFonts w:cstheme="minorHAnsi"/>
        </w:rPr>
        <w:t>otenciálně může být každý pacient kontrolován adekvátní titrací dávky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pegvisomantu</w:t>
      </w:r>
      <w:proofErr w:type="spellEnd"/>
      <w:r w:rsidRPr="00AD41C9">
        <w:rPr>
          <w:rFonts w:cstheme="minorHAnsi"/>
        </w:rPr>
        <w:t>, ale vysoká cena léčby je často překážkou adekvátní titrace dávky</w:t>
      </w:r>
      <w:r>
        <w:rPr>
          <w:rFonts w:cstheme="minorHAnsi"/>
        </w:rPr>
        <w:t>, m</w:t>
      </w:r>
      <w:r w:rsidRPr="00AD41C9">
        <w:rPr>
          <w:rFonts w:cstheme="minorHAnsi"/>
        </w:rPr>
        <w:t>ladší pacienti s agresivnějším onemocněním, vyššími výchozími hladinami IGF-I a přidruženými komorbiditami mohou vyžadovat vyšší dávky k dosažení biochemické kontroly</w:t>
      </w:r>
      <w:r>
        <w:rPr>
          <w:rFonts w:cstheme="minorHAnsi"/>
        </w:rPr>
        <w:t xml:space="preserve">, </w:t>
      </w:r>
      <w:r>
        <w:t xml:space="preserve">CAVE! </w:t>
      </w:r>
      <w:proofErr w:type="spellStart"/>
      <w:r w:rsidRPr="00AD41C9">
        <w:rPr>
          <w:u w:val="single"/>
        </w:rPr>
        <w:t>pegvisomant</w:t>
      </w:r>
      <w:proofErr w:type="spellEnd"/>
      <w:r w:rsidRPr="00AD41C9">
        <w:rPr>
          <w:u w:val="single"/>
        </w:rPr>
        <w:t xml:space="preserve"> v </w:t>
      </w:r>
      <w:proofErr w:type="spellStart"/>
      <w:r w:rsidRPr="00AD41C9">
        <w:rPr>
          <w:u w:val="single"/>
        </w:rPr>
        <w:t>monoterapii</w:t>
      </w:r>
      <w:proofErr w:type="spellEnd"/>
      <w:r w:rsidRPr="00AD41C9">
        <w:rPr>
          <w:u w:val="single"/>
        </w:rPr>
        <w:t xml:space="preserve"> nezmenšuje velikost nádoru, je proto preferován pro pacienty bez klinicky relevantního reziduálního tumoru</w:t>
      </w:r>
      <w:r>
        <w:t xml:space="preserve"> (viz také níže pozn. 25)</w:t>
      </w:r>
      <w:r w:rsidRPr="00AD41C9">
        <w:rPr>
          <w:rFonts w:cstheme="minorHAnsi"/>
          <w:vertAlign w:val="superscript"/>
        </w:rPr>
        <w:t>27</w:t>
      </w:r>
      <w:r>
        <w:rPr>
          <w:rFonts w:cstheme="minorHAnsi"/>
        </w:rPr>
        <w:t>.</w:t>
      </w:r>
      <w:r w:rsidR="00CE7395">
        <w:rPr>
          <w:rFonts w:cstheme="minorHAnsi"/>
        </w:rPr>
        <w:t xml:space="preserve"> </w:t>
      </w:r>
      <w:r w:rsidR="00CE7395" w:rsidRPr="00CE7395">
        <w:rPr>
          <w:rFonts w:cstheme="minorHAnsi"/>
          <w:u w:val="single"/>
        </w:rPr>
        <w:t>Vyšší míra biochemické kontroly je</w:t>
      </w:r>
      <w:r w:rsidR="00C34716">
        <w:rPr>
          <w:rFonts w:cstheme="minorHAnsi"/>
          <w:u w:val="single"/>
        </w:rPr>
        <w:t xml:space="preserve"> pak</w:t>
      </w:r>
      <w:r w:rsidR="00CE7395" w:rsidRPr="00CE7395">
        <w:rPr>
          <w:rFonts w:cstheme="minorHAnsi"/>
          <w:u w:val="single"/>
        </w:rPr>
        <w:t xml:space="preserve"> pozorována u pacientů léčených kombinací </w:t>
      </w:r>
      <w:proofErr w:type="spellStart"/>
      <w:r w:rsidR="00CE7395" w:rsidRPr="00CE7395">
        <w:rPr>
          <w:rFonts w:cstheme="minorHAnsi"/>
          <w:u w:val="single"/>
        </w:rPr>
        <w:t>pegvisomantu</w:t>
      </w:r>
      <w:proofErr w:type="spellEnd"/>
      <w:r w:rsidR="00CE7395" w:rsidRPr="00CE7395">
        <w:rPr>
          <w:rFonts w:cstheme="minorHAnsi"/>
          <w:u w:val="single"/>
        </w:rPr>
        <w:t xml:space="preserve"> a </w:t>
      </w:r>
      <w:proofErr w:type="spellStart"/>
      <w:r w:rsidR="00CE7395" w:rsidRPr="00CE7395">
        <w:rPr>
          <w:rFonts w:cstheme="minorHAnsi"/>
          <w:u w:val="single"/>
        </w:rPr>
        <w:t>oktreotidu</w:t>
      </w:r>
      <w:proofErr w:type="spellEnd"/>
      <w:r w:rsidR="00CE7395" w:rsidRPr="00CE7395">
        <w:rPr>
          <w:rFonts w:cstheme="minorHAnsi"/>
          <w:u w:val="single"/>
        </w:rPr>
        <w:t>/</w:t>
      </w:r>
      <w:proofErr w:type="spellStart"/>
      <w:r w:rsidR="00CE7395" w:rsidRPr="00CE7395">
        <w:rPr>
          <w:rFonts w:cstheme="minorHAnsi"/>
          <w:u w:val="single"/>
        </w:rPr>
        <w:t>lanreotidu</w:t>
      </w:r>
      <w:proofErr w:type="spellEnd"/>
      <w:r w:rsidR="00CE7395" w:rsidRPr="00CE7395">
        <w:rPr>
          <w:rFonts w:cstheme="minorHAnsi"/>
          <w:u w:val="single"/>
        </w:rPr>
        <w:t xml:space="preserve"> </w:t>
      </w:r>
      <w:r w:rsidR="00CE7395" w:rsidRPr="00CE7395">
        <w:rPr>
          <w:rFonts w:cstheme="minorHAnsi"/>
        </w:rPr>
        <w:t xml:space="preserve">ve srovnání s pacienty užívajícími pouze </w:t>
      </w:r>
      <w:r w:rsidR="00CE7395">
        <w:rPr>
          <w:rFonts w:cstheme="minorHAnsi"/>
        </w:rPr>
        <w:t>samotné FGSSA</w:t>
      </w:r>
      <w:r w:rsidR="00C34716">
        <w:rPr>
          <w:rFonts w:cstheme="minorHAnsi"/>
        </w:rPr>
        <w:t xml:space="preserve"> </w:t>
      </w:r>
      <w:r w:rsidR="00CE7395">
        <w:rPr>
          <w:rFonts w:cstheme="minorHAnsi"/>
        </w:rPr>
        <w:t>(viz níže pozn. 19)</w:t>
      </w:r>
      <w:r w:rsidR="00CE7395" w:rsidRPr="00CE7395">
        <w:rPr>
          <w:rFonts w:cstheme="minorHAnsi"/>
        </w:rPr>
        <w:t xml:space="preserve"> a tato </w:t>
      </w:r>
      <w:r w:rsidR="00CE7395" w:rsidRPr="00CE7395">
        <w:rPr>
          <w:rFonts w:cstheme="minorHAnsi"/>
          <w:u w:val="single"/>
        </w:rPr>
        <w:t>kombinace může být zvážena u pacientů s obavou o zbytkovou kontrolu nádoru a zhoršenou glukózovou tolerancí</w:t>
      </w:r>
      <w:r w:rsidR="00CE7395" w:rsidRPr="00CE7395">
        <w:rPr>
          <w:rFonts w:cstheme="minorHAnsi"/>
        </w:rPr>
        <w:t xml:space="preserve"> místo přechodu na </w:t>
      </w:r>
      <w:proofErr w:type="spellStart"/>
      <w:r w:rsidR="00CE7395" w:rsidRPr="00CE7395">
        <w:rPr>
          <w:rFonts w:cstheme="minorHAnsi"/>
        </w:rPr>
        <w:t>pasireotid</w:t>
      </w:r>
      <w:proofErr w:type="spellEnd"/>
      <w:r w:rsidR="00A80D8E">
        <w:rPr>
          <w:rFonts w:cstheme="minorHAnsi"/>
        </w:rPr>
        <w:t xml:space="preserve"> </w:t>
      </w:r>
      <w:r w:rsidR="00A80D8E">
        <w:t>(viz také níže pozn. 19 a 25 a Příloha č. 7)</w:t>
      </w:r>
      <w:r w:rsidR="00CE7395" w:rsidRPr="00A80D8E">
        <w:rPr>
          <w:rFonts w:cstheme="minorHAnsi"/>
          <w:vertAlign w:val="superscript"/>
        </w:rPr>
        <w:t>27</w:t>
      </w:r>
      <w:r w:rsidR="00CE7395">
        <w:rPr>
          <w:rFonts w:cstheme="minorHAnsi"/>
        </w:rPr>
        <w:t>.</w:t>
      </w:r>
      <w:r w:rsidR="0079153B">
        <w:rPr>
          <w:rFonts w:cstheme="minorHAnsi"/>
        </w:rPr>
        <w:t xml:space="preserve"> </w:t>
      </w:r>
      <w:r w:rsidR="0079153B" w:rsidRPr="0079153B">
        <w:rPr>
          <w:rFonts w:cstheme="minorHAnsi"/>
          <w:u w:val="single"/>
        </w:rPr>
        <w:t xml:space="preserve">V ČR je </w:t>
      </w:r>
      <w:proofErr w:type="spellStart"/>
      <w:r w:rsidR="0079153B" w:rsidRPr="0079153B">
        <w:rPr>
          <w:rFonts w:cstheme="minorHAnsi"/>
          <w:u w:val="single"/>
        </w:rPr>
        <w:t>m</w:t>
      </w:r>
      <w:r w:rsidR="0079153B" w:rsidRPr="0079153B">
        <w:rPr>
          <w:rFonts w:cs="CIDFont+F5"/>
          <w:u w:val="single"/>
        </w:rPr>
        <w:t>onoterapie</w:t>
      </w:r>
      <w:proofErr w:type="spellEnd"/>
      <w:r w:rsidR="0079153B" w:rsidRPr="0079153B">
        <w:rPr>
          <w:rFonts w:cs="CIDFont+F5"/>
          <w:u w:val="single"/>
        </w:rPr>
        <w:t xml:space="preserve"> </w:t>
      </w:r>
      <w:proofErr w:type="spellStart"/>
      <w:r w:rsidR="0079153B" w:rsidRPr="0079153B">
        <w:rPr>
          <w:rFonts w:cs="CIDFont+F5"/>
          <w:u w:val="single"/>
        </w:rPr>
        <w:t>pegvisomantem</w:t>
      </w:r>
      <w:proofErr w:type="spellEnd"/>
      <w:r w:rsidR="0079153B" w:rsidRPr="0079153B">
        <w:rPr>
          <w:rFonts w:cs="CIDFont+F5"/>
          <w:u w:val="single"/>
        </w:rPr>
        <w:t xml:space="preserve"> volena obvykle tam, kde není pozorován efekt samotného FGSSA v 1. linii terapie, kombinovaná léčba pak při parciálním efektu samotného FGSSA v 1. linii</w:t>
      </w:r>
      <w:r w:rsidR="0079153B" w:rsidRPr="0079153B">
        <w:rPr>
          <w:rFonts w:cs="CIDFont+F5"/>
          <w:u w:val="single"/>
          <w:vertAlign w:val="superscript"/>
        </w:rPr>
        <w:t>77</w:t>
      </w:r>
      <w:r w:rsidR="0079153B">
        <w:rPr>
          <w:rFonts w:cs="CIDFont+F5"/>
        </w:rPr>
        <w:t xml:space="preserve"> (viz také Přílohu č. 7)</w:t>
      </w:r>
      <w:r w:rsidR="0079153B" w:rsidRPr="0079153B">
        <w:rPr>
          <w:rFonts w:cs="CIDFont+F5"/>
        </w:rPr>
        <w:t>.</w:t>
      </w:r>
      <w:r w:rsidR="0044295F">
        <w:rPr>
          <w:rFonts w:cs="CIDFont+F5"/>
        </w:rPr>
        <w:t xml:space="preserve"> </w:t>
      </w:r>
      <w:r w:rsidR="0044295F" w:rsidRPr="0044295F">
        <w:rPr>
          <w:rFonts w:cs="CIDFont+F5"/>
          <w:b/>
        </w:rPr>
        <w:t xml:space="preserve">V ČR je v roce 2023 </w:t>
      </w:r>
      <w:proofErr w:type="spellStart"/>
      <w:r w:rsidR="0044295F" w:rsidRPr="0044295F">
        <w:rPr>
          <w:rFonts w:cs="CIDFont+F5"/>
          <w:b/>
        </w:rPr>
        <w:t>pegvisomantem</w:t>
      </w:r>
      <w:proofErr w:type="spellEnd"/>
      <w:r w:rsidR="0044295F" w:rsidRPr="0044295F">
        <w:rPr>
          <w:rFonts w:cs="CIDFont+F5"/>
          <w:b/>
        </w:rPr>
        <w:t xml:space="preserve"> léčeno cca 40 pacientů – 11 </w:t>
      </w:r>
      <w:proofErr w:type="spellStart"/>
      <w:r w:rsidR="0044295F" w:rsidRPr="0044295F">
        <w:rPr>
          <w:rFonts w:cs="CIDFont+F5"/>
          <w:b/>
        </w:rPr>
        <w:t>monoterapií</w:t>
      </w:r>
      <w:proofErr w:type="spellEnd"/>
      <w:r w:rsidR="0044295F" w:rsidRPr="0044295F">
        <w:rPr>
          <w:rFonts w:cs="CIDFont+F5"/>
          <w:b/>
        </w:rPr>
        <w:t xml:space="preserve"> a 29 kombinací s FGSSA</w:t>
      </w:r>
      <w:r w:rsidR="0044295F" w:rsidRPr="0044295F">
        <w:rPr>
          <w:rFonts w:cs="CIDFont+F5"/>
          <w:b/>
          <w:vertAlign w:val="superscript"/>
        </w:rPr>
        <w:t>77</w:t>
      </w:r>
      <w:r w:rsidR="0044295F">
        <w:rPr>
          <w:rFonts w:cs="CIDFont+F5"/>
        </w:rPr>
        <w:t>.</w:t>
      </w:r>
    </w:p>
    <w:p w:rsidR="00E1160D" w:rsidRDefault="00B5174D" w:rsidP="00900810">
      <w:pPr>
        <w:spacing w:after="0"/>
        <w:jc w:val="both"/>
        <w:rPr>
          <w:rFonts w:cstheme="minorHAnsi"/>
        </w:rPr>
      </w:pPr>
      <w:proofErr w:type="spellStart"/>
      <w:r w:rsidRPr="00585126">
        <w:rPr>
          <w:rFonts w:cstheme="minorHAnsi"/>
          <w:b/>
          <w:u w:val="single"/>
        </w:rPr>
        <w:t>Pasireotid</w:t>
      </w:r>
      <w:proofErr w:type="spellEnd"/>
      <w:r w:rsidRPr="00585126">
        <w:rPr>
          <w:rFonts w:cstheme="minorHAnsi"/>
          <w:b/>
          <w:u w:val="single"/>
        </w:rPr>
        <w:t xml:space="preserve"> (</w:t>
      </w:r>
      <w:r w:rsidRPr="00585126">
        <w:rPr>
          <w:b/>
          <w:u w:val="single"/>
        </w:rPr>
        <w:t>viz níže pozn. 19</w:t>
      </w:r>
      <w:r w:rsidR="005F534C" w:rsidRPr="00585126">
        <w:rPr>
          <w:b/>
          <w:u w:val="single"/>
        </w:rPr>
        <w:t xml:space="preserve"> a 57</w:t>
      </w:r>
      <w:r w:rsidRPr="00585126">
        <w:rPr>
          <w:b/>
          <w:u w:val="single"/>
        </w:rPr>
        <w:t xml:space="preserve">) </w:t>
      </w:r>
      <w:r w:rsidRPr="00585126">
        <w:rPr>
          <w:rFonts w:cstheme="minorHAnsi"/>
          <w:b/>
          <w:u w:val="single"/>
        </w:rPr>
        <w:t>může být účinný v 2. linii</w:t>
      </w:r>
      <w:r w:rsidRPr="00585126">
        <w:rPr>
          <w:rFonts w:cstheme="minorHAnsi"/>
        </w:rPr>
        <w:t xml:space="preserve"> při normalizaci hladin IGF-1 u některých pacientů neadekvátně kontrolovaných </w:t>
      </w:r>
      <w:proofErr w:type="spellStart"/>
      <w:r w:rsidRPr="00585126">
        <w:rPr>
          <w:rFonts w:cstheme="minorHAnsi"/>
        </w:rPr>
        <w:t>oktreotidem</w:t>
      </w:r>
      <w:proofErr w:type="spellEnd"/>
      <w:r w:rsidRPr="00585126">
        <w:rPr>
          <w:rFonts w:cstheme="minorHAnsi"/>
        </w:rPr>
        <w:t xml:space="preserve"> LAR nebo </w:t>
      </w:r>
      <w:proofErr w:type="spellStart"/>
      <w:r w:rsidRPr="00585126">
        <w:rPr>
          <w:rFonts w:cstheme="minorHAnsi"/>
        </w:rPr>
        <w:t>lanreotidem</w:t>
      </w:r>
      <w:proofErr w:type="spellEnd"/>
      <w:r w:rsidR="003B12FF">
        <w:rPr>
          <w:rFonts w:cstheme="minorHAnsi"/>
        </w:rPr>
        <w:t xml:space="preserve"> (</w:t>
      </w:r>
      <w:r w:rsidR="003B12FF" w:rsidRPr="003B12FF">
        <w:rPr>
          <w:rFonts w:cstheme="minorHAnsi"/>
          <w:b/>
        </w:rPr>
        <w:t>viz Přílohu č. 21</w:t>
      </w:r>
      <w:r w:rsidR="003B12FF">
        <w:rPr>
          <w:rFonts w:cstheme="minorHAnsi"/>
        </w:rPr>
        <w:t>)</w:t>
      </w:r>
      <w:r w:rsidRPr="00585126">
        <w:rPr>
          <w:rFonts w:cstheme="minorHAnsi"/>
        </w:rPr>
        <w:t xml:space="preserve"> a může vést k vyšší rychlosti zmenšení nádoru (viz </w:t>
      </w:r>
      <w:r w:rsidRPr="00585126">
        <w:rPr>
          <w:rFonts w:cstheme="minorHAnsi"/>
        </w:rPr>
        <w:lastRenderedPageBreak/>
        <w:t xml:space="preserve">také níže Přílohu č. 7), </w:t>
      </w:r>
      <w:r w:rsidR="00E261D6">
        <w:rPr>
          <w:rFonts w:cstheme="minorHAnsi"/>
        </w:rPr>
        <w:t>pacienti užíva</w:t>
      </w:r>
      <w:r w:rsidR="00D06A66">
        <w:rPr>
          <w:rFonts w:cstheme="minorHAnsi"/>
        </w:rPr>
        <w:t>jící</w:t>
      </w:r>
      <w:r w:rsidRPr="00585126">
        <w:rPr>
          <w:rFonts w:cstheme="minorHAnsi"/>
        </w:rPr>
        <w:t xml:space="preserve"> </w:t>
      </w:r>
      <w:proofErr w:type="spellStart"/>
      <w:r w:rsidRPr="00585126">
        <w:rPr>
          <w:rFonts w:cstheme="minorHAnsi"/>
        </w:rPr>
        <w:t>pasireotid</w:t>
      </w:r>
      <w:proofErr w:type="spellEnd"/>
      <w:r w:rsidRPr="00585126">
        <w:rPr>
          <w:rFonts w:cstheme="minorHAnsi"/>
        </w:rPr>
        <w:t xml:space="preserve"> by měli být pečlivě vyšetřováni a sledováni z hlediska </w:t>
      </w:r>
      <w:r w:rsidR="00E261D6">
        <w:rPr>
          <w:rFonts w:cstheme="minorHAnsi"/>
        </w:rPr>
        <w:t xml:space="preserve">možných </w:t>
      </w:r>
      <w:r w:rsidRPr="00585126">
        <w:rPr>
          <w:rFonts w:cstheme="minorHAnsi"/>
        </w:rPr>
        <w:t>glykemických nežádoucích účinků (kontrolované studie o nej</w:t>
      </w:r>
      <w:r w:rsidR="00D06A66">
        <w:rPr>
          <w:rFonts w:cstheme="minorHAnsi"/>
        </w:rPr>
        <w:t>vhodnější</w:t>
      </w:r>
      <w:r w:rsidRPr="00585126">
        <w:rPr>
          <w:rFonts w:cstheme="minorHAnsi"/>
        </w:rPr>
        <w:t xml:space="preserve"> léčbě hyperglykémie vyvolané </w:t>
      </w:r>
      <w:proofErr w:type="spellStart"/>
      <w:r w:rsidRPr="00585126">
        <w:rPr>
          <w:rFonts w:cstheme="minorHAnsi"/>
        </w:rPr>
        <w:t>pasireotidem</w:t>
      </w:r>
      <w:proofErr w:type="spellEnd"/>
      <w:r w:rsidRPr="00585126">
        <w:rPr>
          <w:rFonts w:cstheme="minorHAnsi"/>
        </w:rPr>
        <w:t xml:space="preserve"> nejsou k dispozici, pacienti, kteří nejsou kontrolováni perorálními </w:t>
      </w:r>
      <w:proofErr w:type="spellStart"/>
      <w:r w:rsidRPr="00585126">
        <w:rPr>
          <w:rFonts w:cstheme="minorHAnsi"/>
        </w:rPr>
        <w:t>antidiabetiky</w:t>
      </w:r>
      <w:proofErr w:type="spellEnd"/>
      <w:r w:rsidRPr="00585126">
        <w:rPr>
          <w:rFonts w:cstheme="minorHAnsi"/>
        </w:rPr>
        <w:t xml:space="preserve">, včetně </w:t>
      </w:r>
      <w:proofErr w:type="spellStart"/>
      <w:r w:rsidRPr="00585126">
        <w:rPr>
          <w:rFonts w:cstheme="minorHAnsi"/>
        </w:rPr>
        <w:t>metforminu</w:t>
      </w:r>
      <w:proofErr w:type="spellEnd"/>
      <w:r w:rsidRPr="00585126">
        <w:rPr>
          <w:rFonts w:cstheme="minorHAnsi"/>
        </w:rPr>
        <w:t xml:space="preserve">, by mohli být </w:t>
      </w:r>
      <w:r w:rsidR="00D06A66">
        <w:rPr>
          <w:rFonts w:cstheme="minorHAnsi"/>
        </w:rPr>
        <w:t>raději</w:t>
      </w:r>
      <w:r w:rsidRPr="00585126">
        <w:rPr>
          <w:rFonts w:cstheme="minorHAnsi"/>
        </w:rPr>
        <w:t xml:space="preserve"> léčeni agonisty receptoru </w:t>
      </w:r>
      <w:proofErr w:type="spellStart"/>
      <w:r w:rsidRPr="00585126">
        <w:rPr>
          <w:rFonts w:cstheme="minorHAnsi"/>
        </w:rPr>
        <w:t>glukagonu</w:t>
      </w:r>
      <w:proofErr w:type="spellEnd"/>
      <w:r w:rsidRPr="00585126">
        <w:rPr>
          <w:rFonts w:cstheme="minorHAnsi"/>
        </w:rPr>
        <w:t xml:space="preserve"> podobného peptidu-1 než inzulínem).</w:t>
      </w:r>
      <w:r w:rsidR="00E261D6">
        <w:rPr>
          <w:rFonts w:cstheme="minorHAnsi"/>
        </w:rPr>
        <w:t xml:space="preserve"> </w:t>
      </w:r>
      <w:r w:rsidR="00E261D6" w:rsidRPr="00E261D6">
        <w:rPr>
          <w:rFonts w:cstheme="minorHAnsi"/>
          <w:b/>
        </w:rPr>
        <w:t xml:space="preserve">Při srovnání účinku </w:t>
      </w:r>
      <w:proofErr w:type="spellStart"/>
      <w:r w:rsidR="00E261D6" w:rsidRPr="00E261D6">
        <w:rPr>
          <w:rFonts w:cstheme="minorHAnsi"/>
          <w:b/>
        </w:rPr>
        <w:t>pasireotidu</w:t>
      </w:r>
      <w:proofErr w:type="spellEnd"/>
      <w:r w:rsidR="00E261D6" w:rsidRPr="00E261D6">
        <w:rPr>
          <w:rFonts w:cstheme="minorHAnsi"/>
          <w:b/>
        </w:rPr>
        <w:t xml:space="preserve"> s účinkem získaným </w:t>
      </w:r>
      <w:proofErr w:type="spellStart"/>
      <w:r w:rsidR="00E261D6" w:rsidRPr="00E261D6">
        <w:rPr>
          <w:rFonts w:cstheme="minorHAnsi"/>
          <w:b/>
        </w:rPr>
        <w:t>oktreotidem</w:t>
      </w:r>
      <w:proofErr w:type="spellEnd"/>
      <w:r w:rsidR="00E261D6" w:rsidRPr="00E261D6">
        <w:rPr>
          <w:rFonts w:cstheme="minorHAnsi"/>
          <w:b/>
        </w:rPr>
        <w:t xml:space="preserve"> LAR v redukci objemu tumorové masy, je průměrné snížení objemu u </w:t>
      </w:r>
      <w:proofErr w:type="spellStart"/>
      <w:r w:rsidR="00E261D6" w:rsidRPr="00E261D6">
        <w:rPr>
          <w:rFonts w:cstheme="minorHAnsi"/>
          <w:b/>
        </w:rPr>
        <w:t>oktreotidu</w:t>
      </w:r>
      <w:proofErr w:type="spellEnd"/>
      <w:r w:rsidR="00E261D6" w:rsidRPr="00E261D6">
        <w:rPr>
          <w:rFonts w:cstheme="minorHAnsi"/>
          <w:b/>
        </w:rPr>
        <w:t xml:space="preserve"> 42%, kdežto u </w:t>
      </w:r>
      <w:proofErr w:type="spellStart"/>
      <w:r w:rsidR="00E261D6" w:rsidRPr="00E261D6">
        <w:rPr>
          <w:rFonts w:cstheme="minorHAnsi"/>
          <w:b/>
        </w:rPr>
        <w:t>pasireotidu</w:t>
      </w:r>
      <w:proofErr w:type="spellEnd"/>
      <w:r w:rsidR="00E261D6" w:rsidRPr="00E261D6">
        <w:rPr>
          <w:rFonts w:cstheme="minorHAnsi"/>
          <w:b/>
        </w:rPr>
        <w:t xml:space="preserve"> o 54%</w:t>
      </w:r>
      <w:r w:rsidR="00E261D6" w:rsidRPr="00E261D6">
        <w:rPr>
          <w:rFonts w:cstheme="minorHAnsi"/>
          <w:b/>
          <w:vertAlign w:val="superscript"/>
        </w:rPr>
        <w:t>7</w:t>
      </w:r>
      <w:r w:rsidR="00E261D6" w:rsidRPr="00E261D6">
        <w:rPr>
          <w:rFonts w:cstheme="minorHAnsi"/>
          <w:vertAlign w:val="superscript"/>
        </w:rPr>
        <w:t>9</w:t>
      </w:r>
      <w:r w:rsidR="00E261D6">
        <w:rPr>
          <w:rFonts w:cstheme="minorHAnsi"/>
        </w:rPr>
        <w:t xml:space="preserve">. </w:t>
      </w:r>
      <w:r w:rsidR="00FC601F" w:rsidRPr="00585126">
        <w:rPr>
          <w:rFonts w:cstheme="minorHAnsi"/>
        </w:rPr>
        <w:t xml:space="preserve"> </w:t>
      </w:r>
      <w:proofErr w:type="spellStart"/>
      <w:r w:rsidR="00FC601F" w:rsidRPr="00585126">
        <w:rPr>
          <w:rFonts w:cstheme="minorHAnsi"/>
          <w:b/>
        </w:rPr>
        <w:t>Pasireotid</w:t>
      </w:r>
      <w:proofErr w:type="spellEnd"/>
      <w:r w:rsidR="00FC601F" w:rsidRPr="00585126">
        <w:rPr>
          <w:rFonts w:cstheme="minorHAnsi"/>
          <w:b/>
        </w:rPr>
        <w:t xml:space="preserve"> může mít výraznější ochranný účinek proti </w:t>
      </w:r>
      <w:r w:rsidR="00C37D80">
        <w:rPr>
          <w:rFonts w:cstheme="minorHAnsi"/>
          <w:b/>
        </w:rPr>
        <w:t xml:space="preserve">obratlovým </w:t>
      </w:r>
      <w:r w:rsidR="00FC601F" w:rsidRPr="00585126">
        <w:rPr>
          <w:rFonts w:cstheme="minorHAnsi"/>
          <w:b/>
        </w:rPr>
        <w:t>zlomeninám</w:t>
      </w:r>
      <w:r w:rsidR="00C37D80">
        <w:rPr>
          <w:rFonts w:cstheme="minorHAnsi"/>
          <w:b/>
        </w:rPr>
        <w:t xml:space="preserve"> (viz Přílohu č. 3)</w:t>
      </w:r>
      <w:r w:rsidR="00FC601F" w:rsidRPr="00585126">
        <w:rPr>
          <w:rFonts w:cstheme="minorHAnsi"/>
          <w:b/>
        </w:rPr>
        <w:t xml:space="preserve"> ve srovnání s</w:t>
      </w:r>
      <w:r w:rsidR="00226004" w:rsidRPr="00585126">
        <w:rPr>
          <w:rFonts w:cstheme="minorHAnsi"/>
          <w:b/>
        </w:rPr>
        <w:t> </w:t>
      </w:r>
      <w:proofErr w:type="spellStart"/>
      <w:r w:rsidR="00FC601F" w:rsidRPr="00585126">
        <w:rPr>
          <w:rFonts w:cstheme="minorHAnsi"/>
          <w:b/>
        </w:rPr>
        <w:t>pegvisomantem</w:t>
      </w:r>
      <w:proofErr w:type="spellEnd"/>
      <w:r w:rsidR="00226004" w:rsidRPr="00585126">
        <w:rPr>
          <w:rFonts w:cstheme="minorHAnsi"/>
          <w:b/>
        </w:rPr>
        <w:t>, a to nezávisle na hodnotách IGF-1</w:t>
      </w:r>
      <w:r w:rsidR="00585126" w:rsidRPr="00585126">
        <w:rPr>
          <w:rFonts w:cstheme="minorHAnsi"/>
          <w:b/>
        </w:rPr>
        <w:t xml:space="preserve"> </w:t>
      </w:r>
      <w:r w:rsidR="00585126" w:rsidRPr="00585126">
        <w:rPr>
          <w:rFonts w:cstheme="minorHAnsi"/>
        </w:rPr>
        <w:t xml:space="preserve">(předpokládá se, možný přímý účinek </w:t>
      </w:r>
      <w:proofErr w:type="spellStart"/>
      <w:r w:rsidR="00585126" w:rsidRPr="00585126">
        <w:rPr>
          <w:rFonts w:cstheme="minorHAnsi"/>
        </w:rPr>
        <w:t>pasireotidu</w:t>
      </w:r>
      <w:proofErr w:type="spellEnd"/>
      <w:r w:rsidR="00585126" w:rsidRPr="00585126">
        <w:rPr>
          <w:rFonts w:cstheme="minorHAnsi"/>
        </w:rPr>
        <w:t xml:space="preserve"> na kostní metabolismus, ačkoli specifické účinky léčby na kostní tkáně zůstávají nejasné a jistě budou zapotřebí další studie k potvrzení a lepšímu objasnění této souvislosti)</w:t>
      </w:r>
      <w:r w:rsidR="00585126" w:rsidRPr="00585126">
        <w:rPr>
          <w:rFonts w:cstheme="minorHAnsi"/>
          <w:vertAlign w:val="superscript"/>
        </w:rPr>
        <w:t>61,62</w:t>
      </w:r>
      <w:r w:rsidR="00585126" w:rsidRPr="00585126">
        <w:rPr>
          <w:rFonts w:cstheme="minorHAnsi"/>
        </w:rPr>
        <w:t>.</w:t>
      </w:r>
      <w:r w:rsidR="00E261D6">
        <w:rPr>
          <w:rFonts w:cstheme="minorHAnsi"/>
        </w:rPr>
        <w:t xml:space="preserve"> </w:t>
      </w:r>
      <w:r w:rsidR="00FD4185" w:rsidRPr="00FD4185">
        <w:rPr>
          <w:rFonts w:cstheme="minorHAnsi"/>
          <w:b/>
        </w:rPr>
        <w:t xml:space="preserve">U pacientů, kteří vyžadují kombinovanou léčbu </w:t>
      </w:r>
      <w:proofErr w:type="spellStart"/>
      <w:r w:rsidR="00FD4185" w:rsidRPr="00FD4185">
        <w:rPr>
          <w:rFonts w:cstheme="minorHAnsi"/>
          <w:b/>
        </w:rPr>
        <w:t>pegvisomantu</w:t>
      </w:r>
      <w:proofErr w:type="spellEnd"/>
      <w:r w:rsidR="00FD4185">
        <w:rPr>
          <w:rFonts w:cstheme="minorHAnsi"/>
          <w:b/>
        </w:rPr>
        <w:t xml:space="preserve"> </w:t>
      </w:r>
      <w:r w:rsidR="00FD4185" w:rsidRPr="00585126">
        <w:rPr>
          <w:rFonts w:cstheme="minorHAnsi"/>
        </w:rPr>
        <w:t>(</w:t>
      </w:r>
      <w:r w:rsidR="00FD4185" w:rsidRPr="00585126">
        <w:t>viz také níže</w:t>
      </w:r>
      <w:r w:rsidR="00FD4185" w:rsidRPr="00B5174D">
        <w:t xml:space="preserve"> pozn. 25)</w:t>
      </w:r>
      <w:r w:rsidR="00FD4185" w:rsidRPr="00FD4185">
        <w:rPr>
          <w:rFonts w:cstheme="minorHAnsi"/>
          <w:b/>
        </w:rPr>
        <w:t xml:space="preserve"> s FGSSA, může přechod z FGSSA na </w:t>
      </w:r>
      <w:proofErr w:type="spellStart"/>
      <w:r w:rsidR="00FD4185" w:rsidRPr="00FD4185">
        <w:rPr>
          <w:rFonts w:cstheme="minorHAnsi"/>
          <w:b/>
          <w:u w:val="single"/>
        </w:rPr>
        <w:t>pasireotid</w:t>
      </w:r>
      <w:proofErr w:type="spellEnd"/>
      <w:r w:rsidR="00FD4185" w:rsidRPr="00FD4185">
        <w:rPr>
          <w:rFonts w:cstheme="minorHAnsi"/>
          <w:b/>
          <w:u w:val="single"/>
        </w:rPr>
        <w:t xml:space="preserve"> v kombin</w:t>
      </w:r>
      <w:r w:rsidR="00F93359">
        <w:rPr>
          <w:rFonts w:cstheme="minorHAnsi"/>
          <w:b/>
          <w:u w:val="single"/>
        </w:rPr>
        <w:t>aci</w:t>
      </w:r>
      <w:r w:rsidR="00FD4185" w:rsidRPr="00FD4185">
        <w:rPr>
          <w:rFonts w:cstheme="minorHAnsi"/>
          <w:b/>
          <w:u w:val="single"/>
        </w:rPr>
        <w:t xml:space="preserve"> s</w:t>
      </w:r>
      <w:r w:rsidR="00F93359">
        <w:rPr>
          <w:rFonts w:cstheme="minorHAnsi"/>
          <w:b/>
          <w:u w:val="single"/>
        </w:rPr>
        <w:t> </w:t>
      </w:r>
      <w:proofErr w:type="spellStart"/>
      <w:r w:rsidR="00FD4185" w:rsidRPr="00FD4185">
        <w:rPr>
          <w:rFonts w:cstheme="minorHAnsi"/>
          <w:b/>
          <w:u w:val="single"/>
        </w:rPr>
        <w:t>pegvisomantem</w:t>
      </w:r>
      <w:proofErr w:type="spellEnd"/>
      <w:r w:rsidR="00F93359">
        <w:rPr>
          <w:rFonts w:cstheme="minorHAnsi"/>
          <w:b/>
          <w:u w:val="single"/>
        </w:rPr>
        <w:t xml:space="preserve"> u kontrolovaných pacientů</w:t>
      </w:r>
      <w:r w:rsidR="00FD4185" w:rsidRPr="00FD4185">
        <w:rPr>
          <w:rFonts w:cstheme="minorHAnsi"/>
          <w:b/>
        </w:rPr>
        <w:t xml:space="preserve"> snížit dávku </w:t>
      </w:r>
      <w:proofErr w:type="spellStart"/>
      <w:r w:rsidR="00FD4185" w:rsidRPr="00FD4185">
        <w:rPr>
          <w:rFonts w:cstheme="minorHAnsi"/>
          <w:b/>
        </w:rPr>
        <w:t>pegvisomantu</w:t>
      </w:r>
      <w:proofErr w:type="spellEnd"/>
      <w:r w:rsidR="00FD4185" w:rsidRPr="00FD4185">
        <w:rPr>
          <w:rFonts w:cstheme="minorHAnsi"/>
          <w:b/>
        </w:rPr>
        <w:t xml:space="preserve"> až o 66%</w:t>
      </w:r>
      <w:r w:rsidR="00A40D1E">
        <w:rPr>
          <w:rFonts w:cstheme="minorHAnsi"/>
          <w:vertAlign w:val="superscript"/>
        </w:rPr>
        <w:t>9</w:t>
      </w:r>
      <w:r w:rsidR="00F93359">
        <w:rPr>
          <w:rFonts w:cstheme="minorHAnsi"/>
          <w:vertAlign w:val="superscript"/>
        </w:rPr>
        <w:t>2</w:t>
      </w:r>
      <w:r w:rsidR="00FD4185">
        <w:rPr>
          <w:rFonts w:cstheme="minorHAnsi"/>
        </w:rPr>
        <w:t>.</w:t>
      </w:r>
      <w:r w:rsidR="00E261D6">
        <w:rPr>
          <w:rFonts w:cstheme="minorHAnsi"/>
        </w:rPr>
        <w:t xml:space="preserve"> </w:t>
      </w:r>
      <w:r w:rsidR="00D02C2F" w:rsidRPr="00D02C2F">
        <w:rPr>
          <w:rFonts w:cstheme="minorHAnsi"/>
          <w:b/>
        </w:rPr>
        <w:t>Data z retrospektivní studie publikované v roce 2021</w:t>
      </w:r>
      <w:r w:rsidR="00D02C2F" w:rsidRPr="00D02C2F">
        <w:rPr>
          <w:rFonts w:cstheme="minorHAnsi"/>
          <w:b/>
          <w:vertAlign w:val="superscript"/>
        </w:rPr>
        <w:t>76</w:t>
      </w:r>
      <w:r w:rsidR="00D02C2F" w:rsidRPr="00D02C2F">
        <w:rPr>
          <w:rFonts w:cstheme="minorHAnsi"/>
          <w:b/>
        </w:rPr>
        <w:t xml:space="preserve"> </w:t>
      </w:r>
      <w:r w:rsidR="000A7019" w:rsidRPr="00D02C2F">
        <w:rPr>
          <w:rFonts w:cstheme="minorHAnsi"/>
          <w:b/>
        </w:rPr>
        <w:t>naznačují, že tato kombinace může ve vybraných případech zlepšit metabolismus glukózy</w:t>
      </w:r>
      <w:r w:rsidR="00D02C2F" w:rsidRPr="00D02C2F">
        <w:rPr>
          <w:rFonts w:cstheme="minorHAnsi"/>
          <w:b/>
        </w:rPr>
        <w:t xml:space="preserve"> oproti léčbě se samotným </w:t>
      </w:r>
      <w:proofErr w:type="spellStart"/>
      <w:r w:rsidR="00D02C2F" w:rsidRPr="00D02C2F">
        <w:rPr>
          <w:rFonts w:cstheme="minorHAnsi"/>
          <w:b/>
        </w:rPr>
        <w:t>pasireotidem</w:t>
      </w:r>
      <w:proofErr w:type="spellEnd"/>
      <w:r w:rsidR="00D02C2F">
        <w:rPr>
          <w:rFonts w:cstheme="minorHAnsi"/>
        </w:rPr>
        <w:t xml:space="preserve">. </w:t>
      </w:r>
      <w:r w:rsidR="00D02C2F" w:rsidRPr="00D02C2F">
        <w:rPr>
          <w:rFonts w:cstheme="minorHAnsi"/>
          <w:b/>
        </w:rPr>
        <w:t>K</w:t>
      </w:r>
      <w:r w:rsidR="0063487F" w:rsidRPr="00D02C2F">
        <w:rPr>
          <w:rFonts w:cstheme="minorHAnsi"/>
          <w:b/>
        </w:rPr>
        <w:t>ombinace</w:t>
      </w:r>
      <w:r w:rsidR="00D02C2F" w:rsidRPr="00D02C2F">
        <w:rPr>
          <w:rFonts w:cstheme="minorHAnsi"/>
          <w:b/>
        </w:rPr>
        <w:t xml:space="preserve"> </w:t>
      </w:r>
      <w:proofErr w:type="spellStart"/>
      <w:r w:rsidR="00D02C2F" w:rsidRPr="00D02C2F">
        <w:rPr>
          <w:rFonts w:cstheme="minorHAnsi"/>
          <w:b/>
        </w:rPr>
        <w:t>pegvisomantu</w:t>
      </w:r>
      <w:proofErr w:type="spellEnd"/>
      <w:r w:rsidR="00D02C2F" w:rsidRPr="00D02C2F">
        <w:rPr>
          <w:rFonts w:cstheme="minorHAnsi"/>
          <w:b/>
        </w:rPr>
        <w:t xml:space="preserve"> s </w:t>
      </w:r>
      <w:proofErr w:type="spellStart"/>
      <w:r w:rsidR="00D02C2F" w:rsidRPr="00D02C2F">
        <w:rPr>
          <w:rFonts w:cstheme="minorHAnsi"/>
          <w:b/>
        </w:rPr>
        <w:t>pasireotidem</w:t>
      </w:r>
      <w:proofErr w:type="spellEnd"/>
      <w:r w:rsidR="0063487F" w:rsidRPr="00D02C2F">
        <w:rPr>
          <w:rFonts w:cstheme="minorHAnsi"/>
          <w:b/>
        </w:rPr>
        <w:t xml:space="preserve">, i když je nákladná, může být možností pro ty, u kterých byl pozorován růst nádoru, u nichž je </w:t>
      </w:r>
      <w:r w:rsidR="00D6413E">
        <w:rPr>
          <w:rFonts w:cstheme="minorHAnsi"/>
          <w:b/>
        </w:rPr>
        <w:t>RT</w:t>
      </w:r>
      <w:r w:rsidR="00D6413E" w:rsidRPr="00D6413E">
        <w:rPr>
          <w:rFonts w:cstheme="minorHAnsi"/>
          <w:b/>
          <w:vertAlign w:val="superscript"/>
        </w:rPr>
        <w:t>51</w:t>
      </w:r>
      <w:r w:rsidR="0063487F" w:rsidRPr="00D02C2F">
        <w:rPr>
          <w:rFonts w:cstheme="minorHAnsi"/>
          <w:b/>
        </w:rPr>
        <w:t xml:space="preserve"> buď KI</w:t>
      </w:r>
      <w:r w:rsidR="00D6413E">
        <w:rPr>
          <w:rFonts w:cstheme="minorHAnsi"/>
          <w:b/>
        </w:rPr>
        <w:t xml:space="preserve"> (nebo není dostupná)</w:t>
      </w:r>
      <w:r w:rsidR="0063487F" w:rsidRPr="00D02C2F">
        <w:rPr>
          <w:rFonts w:cstheme="minorHAnsi"/>
          <w:b/>
        </w:rPr>
        <w:t>,</w:t>
      </w:r>
      <w:r w:rsidR="00D6413E">
        <w:rPr>
          <w:rFonts w:cstheme="minorHAnsi"/>
          <w:b/>
        </w:rPr>
        <w:t xml:space="preserve"> či</w:t>
      </w:r>
      <w:r w:rsidR="0063487F" w:rsidRPr="00D02C2F">
        <w:rPr>
          <w:rFonts w:cstheme="minorHAnsi"/>
          <w:b/>
        </w:rPr>
        <w:t xml:space="preserve"> </w:t>
      </w:r>
      <w:r w:rsidR="00D6413E">
        <w:rPr>
          <w:rFonts w:cstheme="minorHAnsi"/>
          <w:b/>
        </w:rPr>
        <w:t xml:space="preserve">je použita do </w:t>
      </w:r>
      <w:r w:rsidR="0063487F" w:rsidRPr="00D02C2F">
        <w:rPr>
          <w:rFonts w:cstheme="minorHAnsi"/>
          <w:b/>
        </w:rPr>
        <w:t xml:space="preserve">doby než se objeví účinky </w:t>
      </w:r>
      <w:r w:rsidR="00D6413E">
        <w:rPr>
          <w:rFonts w:cstheme="minorHAnsi"/>
          <w:b/>
        </w:rPr>
        <w:t>RT na vyhasnutí hormon. aktivity rezidua adenomu</w:t>
      </w:r>
      <w:r w:rsidRPr="00D02C2F">
        <w:rPr>
          <w:rFonts w:cstheme="minorHAnsi"/>
          <w:b/>
        </w:rPr>
        <w:t xml:space="preserve"> (viz také níže Přílohu č. 7</w:t>
      </w:r>
      <w:r w:rsidR="00506256" w:rsidRPr="00D02C2F">
        <w:rPr>
          <w:rFonts w:cstheme="minorHAnsi"/>
          <w:b/>
        </w:rPr>
        <w:t xml:space="preserve"> a pozn. 74</w:t>
      </w:r>
      <w:r>
        <w:rPr>
          <w:rFonts w:cstheme="minorHAnsi"/>
        </w:rPr>
        <w:t>)</w:t>
      </w:r>
      <w:r w:rsidR="0063487F" w:rsidRPr="00B5174D">
        <w:rPr>
          <w:rFonts w:cstheme="minorHAnsi"/>
          <w:vertAlign w:val="superscript"/>
        </w:rPr>
        <w:t>27</w:t>
      </w:r>
      <w:r w:rsidR="0063487F">
        <w:rPr>
          <w:rFonts w:cstheme="minorHAnsi"/>
        </w:rPr>
        <w:t>.</w:t>
      </w:r>
    </w:p>
    <w:p w:rsidR="00A978D3" w:rsidRDefault="00A978D3" w:rsidP="00900810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-83598</wp:posOffset>
                </wp:positionH>
                <wp:positionV relativeFrom="paragraph">
                  <wp:posOffset>25769</wp:posOffset>
                </wp:positionV>
                <wp:extent cx="6974958" cy="1403498"/>
                <wp:effectExtent l="0" t="0" r="16510" b="2540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958" cy="1403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CE" w:rsidRDefault="00CE5ACE" w:rsidP="00A978D3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Podle odhadu ČES budou v ČR ročně maximálně 2 -  3 pacienti vhodní k nasazení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pegvisomantu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nebo pasireotidu</w:t>
                            </w:r>
                            <w:r w:rsidRPr="0050644F">
                              <w:rPr>
                                <w:rFonts w:cstheme="minorHAnsi"/>
                                <w:b/>
                                <w:u w:val="single"/>
                                <w:vertAlign w:val="superscript"/>
                              </w:rPr>
                              <w:t>77</w:t>
                            </w: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. Žadatel o úhradu LP SIGNIFOR v ČR předpokládá počet cca 40 pacientů (</w:t>
                            </w:r>
                            <w:r w:rsidRPr="003B5D08">
                              <w:rPr>
                                <w:rFonts w:cstheme="minorHAnsi"/>
                                <w:b/>
                              </w:rPr>
                              <w:t xml:space="preserve">kteří neodpovídají v současnosti na léčbu FGSSA a nejsou stabilní na léčbě </w:t>
                            </w:r>
                            <w:proofErr w:type="spellStart"/>
                            <w:r w:rsidRPr="003B5D08">
                              <w:rPr>
                                <w:rFonts w:cstheme="minorHAnsi"/>
                                <w:b/>
                              </w:rPr>
                              <w:t>pegvisomantem</w:t>
                            </w:r>
                            <w:proofErr w:type="spellEnd"/>
                            <w:r w:rsidRPr="003B5D08">
                              <w:rPr>
                                <w:rFonts w:cstheme="minorHAnsi"/>
                                <w:b/>
                              </w:rPr>
                              <w:t xml:space="preserve">, ani nejsou určeni pro </w:t>
                            </w:r>
                            <w:proofErr w:type="spellStart"/>
                            <w:r w:rsidRPr="003B5D08">
                              <w:rPr>
                                <w:rFonts w:cstheme="minorHAnsi"/>
                                <w:b/>
                              </w:rPr>
                              <w:t>reoperaci</w:t>
                            </w:r>
                            <w:proofErr w:type="spellEnd"/>
                            <w:r w:rsidRPr="003B5D08">
                              <w:rPr>
                                <w:rFonts w:cstheme="minorHAnsi"/>
                                <w:b/>
                              </w:rPr>
                              <w:t xml:space="preserve"> či RT)</w:t>
                            </w: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v 1. roce po uvedení LP SIGNIFOR do praxe, v dalších letech pak předpokládá cca 10 nově incidentních pacientů ročně, drop-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out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pacientů na léčbě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pasireotidem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je odhadován na 10% ročně</w:t>
                            </w:r>
                            <w:r w:rsidRPr="0050644F">
                              <w:rPr>
                                <w:rFonts w:cstheme="minorHAnsi"/>
                                <w:b/>
                                <w:u w:val="single"/>
                                <w:vertAlign w:val="superscript"/>
                              </w:rPr>
                              <w:t>78</w:t>
                            </w: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.  Ve FN Olomouc je dle žádosti III. IK</w:t>
                            </w:r>
                            <w:r w:rsidRPr="009A55B1">
                              <w:rPr>
                                <w:rFonts w:cstheme="minorHAnsi"/>
                                <w:b/>
                                <w:u w:val="single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předpokládaný počet pacientů 2-4 ročně </w:t>
                            </w:r>
                            <w:r w:rsidRPr="009A55B1">
                              <w:rPr>
                                <w:rFonts w:cstheme="minorHAnsi"/>
                                <w:b/>
                              </w:rPr>
                              <w:t xml:space="preserve">– </w:t>
                            </w:r>
                            <w:r w:rsidRPr="00300C6E">
                              <w:rPr>
                                <w:b/>
                              </w:rPr>
                              <w:t>aktuálně</w:t>
                            </w:r>
                            <w:r>
                              <w:rPr>
                                <w:b/>
                              </w:rPr>
                              <w:t xml:space="preserve"> (březen 2023)</w:t>
                            </w:r>
                            <w:r w:rsidRPr="00300C6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je zatím možná jen žádost o </w:t>
                            </w:r>
                            <w:r w:rsidRPr="00300C6E">
                              <w:rPr>
                                <w:b/>
                              </w:rPr>
                              <w:t>mimořádn</w:t>
                            </w:r>
                            <w:r>
                              <w:rPr>
                                <w:b/>
                              </w:rPr>
                              <w:t>ou</w:t>
                            </w:r>
                            <w:r w:rsidRPr="00300C6E">
                              <w:rPr>
                                <w:b/>
                              </w:rPr>
                              <w:t xml:space="preserve"> úhrada ze zdravotního pojištění dle ustanovení § 16 zákona č. 48/1997 Sb. o veřejném zdravotním pojištění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CE5ACE" w:rsidRDefault="00CE5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1" o:spid="_x0000_s1026" type="#_x0000_t202" style="position:absolute;left:0;text-align:left;margin-left:-6.6pt;margin-top:2.05pt;width:549.2pt;height:1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" fillcolor="white [3201]" strokeweight=".5pt">
                <v:textbox>
                  <w:txbxContent>
                    <w:p w:rsidR="00CE5ACE" w:rsidRDefault="00CE5ACE" w:rsidP="00A978D3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u w:val="single"/>
                        </w:rPr>
                        <w:t xml:space="preserve">Podle odhadu ČES budou v ČR ročně maximálně 2 -  3 pacienti vhodní k nasazení </w:t>
                      </w:r>
                      <w:proofErr w:type="spellStart"/>
                      <w:r>
                        <w:rPr>
                          <w:rFonts w:cstheme="minorHAnsi"/>
                          <w:b/>
                          <w:u w:val="single"/>
                        </w:rPr>
                        <w:t>pegvisomantu</w:t>
                      </w:r>
                      <w:proofErr w:type="spellEnd"/>
                      <w:r>
                        <w:rPr>
                          <w:rFonts w:cstheme="minorHAnsi"/>
                          <w:b/>
                          <w:u w:val="single"/>
                        </w:rPr>
                        <w:t xml:space="preserve"> nebo pasireotidu</w:t>
                      </w:r>
                      <w:r w:rsidRPr="0050644F">
                        <w:rPr>
                          <w:rFonts w:cstheme="minorHAnsi"/>
                          <w:b/>
                          <w:u w:val="single"/>
                          <w:vertAlign w:val="superscript"/>
                        </w:rPr>
                        <w:t>77</w:t>
                      </w:r>
                      <w:r>
                        <w:rPr>
                          <w:rFonts w:cstheme="minorHAnsi"/>
                          <w:b/>
                          <w:u w:val="single"/>
                        </w:rPr>
                        <w:t>. Žadatel o úhradu LP SIGNIFOR v ČR předpokládá počet cca 40 pacientů (</w:t>
                      </w:r>
                      <w:r w:rsidRPr="003B5D08">
                        <w:rPr>
                          <w:rFonts w:cstheme="minorHAnsi"/>
                          <w:b/>
                        </w:rPr>
                        <w:t xml:space="preserve">kteří neodpovídají v současnosti na léčbu FGSSA a nejsou stabilní na léčbě </w:t>
                      </w:r>
                      <w:proofErr w:type="spellStart"/>
                      <w:r w:rsidRPr="003B5D08">
                        <w:rPr>
                          <w:rFonts w:cstheme="minorHAnsi"/>
                          <w:b/>
                        </w:rPr>
                        <w:t>pegvisomantem</w:t>
                      </w:r>
                      <w:proofErr w:type="spellEnd"/>
                      <w:r w:rsidRPr="003B5D08">
                        <w:rPr>
                          <w:rFonts w:cstheme="minorHAnsi"/>
                          <w:b/>
                        </w:rPr>
                        <w:t xml:space="preserve">, ani nejsou určeni pro </w:t>
                      </w:r>
                      <w:proofErr w:type="spellStart"/>
                      <w:r w:rsidRPr="003B5D08">
                        <w:rPr>
                          <w:rFonts w:cstheme="minorHAnsi"/>
                          <w:b/>
                        </w:rPr>
                        <w:t>reoperaci</w:t>
                      </w:r>
                      <w:proofErr w:type="spellEnd"/>
                      <w:r w:rsidRPr="003B5D08">
                        <w:rPr>
                          <w:rFonts w:cstheme="minorHAnsi"/>
                          <w:b/>
                        </w:rPr>
                        <w:t xml:space="preserve"> či RT)</w:t>
                      </w:r>
                      <w:r>
                        <w:rPr>
                          <w:rFonts w:cstheme="minorHAnsi"/>
                          <w:b/>
                          <w:u w:val="single"/>
                        </w:rPr>
                        <w:t xml:space="preserve"> v 1. roce po uvedení LP SIGNIFOR do praxe, v dalších letech pak předpokládá cca 10 nově incidentních pacientů ročně, drop-</w:t>
                      </w:r>
                      <w:proofErr w:type="spellStart"/>
                      <w:r>
                        <w:rPr>
                          <w:rFonts w:cstheme="minorHAnsi"/>
                          <w:b/>
                          <w:u w:val="single"/>
                        </w:rPr>
                        <w:t>out</w:t>
                      </w:r>
                      <w:proofErr w:type="spellEnd"/>
                      <w:r>
                        <w:rPr>
                          <w:rFonts w:cstheme="minorHAnsi"/>
                          <w:b/>
                          <w:u w:val="single"/>
                        </w:rPr>
                        <w:t xml:space="preserve"> pacientů na léčbě </w:t>
                      </w:r>
                      <w:proofErr w:type="spellStart"/>
                      <w:r>
                        <w:rPr>
                          <w:rFonts w:cstheme="minorHAnsi"/>
                          <w:b/>
                          <w:u w:val="single"/>
                        </w:rPr>
                        <w:t>pasireotidem</w:t>
                      </w:r>
                      <w:proofErr w:type="spellEnd"/>
                      <w:r>
                        <w:rPr>
                          <w:rFonts w:cstheme="minorHAnsi"/>
                          <w:b/>
                          <w:u w:val="single"/>
                        </w:rPr>
                        <w:t xml:space="preserve"> je odhadován na 10% ročně</w:t>
                      </w:r>
                      <w:r w:rsidRPr="0050644F">
                        <w:rPr>
                          <w:rFonts w:cstheme="minorHAnsi"/>
                          <w:b/>
                          <w:u w:val="single"/>
                          <w:vertAlign w:val="superscript"/>
                        </w:rPr>
                        <w:t>78</w:t>
                      </w:r>
                      <w:r>
                        <w:rPr>
                          <w:rFonts w:cstheme="minorHAnsi"/>
                          <w:b/>
                          <w:u w:val="single"/>
                        </w:rPr>
                        <w:t>.  Ve FN Olomouc je dle žádosti III. IK</w:t>
                      </w:r>
                      <w:r w:rsidRPr="009A55B1">
                        <w:rPr>
                          <w:rFonts w:cstheme="minorHAnsi"/>
                          <w:b/>
                          <w:u w:val="single"/>
                          <w:vertAlign w:val="superscript"/>
                        </w:rPr>
                        <w:t>3</w:t>
                      </w:r>
                      <w:r>
                        <w:rPr>
                          <w:rFonts w:cstheme="minorHAnsi"/>
                          <w:b/>
                          <w:u w:val="single"/>
                        </w:rPr>
                        <w:t xml:space="preserve"> předpokládaný počet pacientů 2-4 ročně </w:t>
                      </w:r>
                      <w:r w:rsidRPr="009A55B1">
                        <w:rPr>
                          <w:rFonts w:cstheme="minorHAnsi"/>
                          <w:b/>
                        </w:rPr>
                        <w:t xml:space="preserve">– </w:t>
                      </w:r>
                      <w:r w:rsidRPr="00300C6E">
                        <w:rPr>
                          <w:b/>
                        </w:rPr>
                        <w:t>aktuálně</w:t>
                      </w:r>
                      <w:r>
                        <w:rPr>
                          <w:b/>
                        </w:rPr>
                        <w:t xml:space="preserve"> (březen 2023)</w:t>
                      </w:r>
                      <w:r w:rsidRPr="00300C6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je zatím možná jen žádost o </w:t>
                      </w:r>
                      <w:r w:rsidRPr="00300C6E">
                        <w:rPr>
                          <w:b/>
                        </w:rPr>
                        <w:t>mimořádn</w:t>
                      </w:r>
                      <w:r>
                        <w:rPr>
                          <w:b/>
                        </w:rPr>
                        <w:t>ou</w:t>
                      </w:r>
                      <w:r w:rsidRPr="00300C6E">
                        <w:rPr>
                          <w:b/>
                        </w:rPr>
                        <w:t xml:space="preserve"> úhrada ze zdravotního pojištění dle ustanovení § 16 zákona č. 48/1997 Sb. o veřejném zdravotním pojištění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CE5ACE" w:rsidRDefault="00CE5ACE"/>
                  </w:txbxContent>
                </v:textbox>
              </v:shape>
            </w:pict>
          </mc:Fallback>
        </mc:AlternateContent>
      </w:r>
    </w:p>
    <w:p w:rsidR="00A978D3" w:rsidRDefault="00A978D3" w:rsidP="00900810">
      <w:pPr>
        <w:spacing w:after="0"/>
        <w:jc w:val="both"/>
        <w:rPr>
          <w:rFonts w:cstheme="minorHAnsi"/>
        </w:rPr>
      </w:pPr>
    </w:p>
    <w:p w:rsidR="00A978D3" w:rsidRDefault="00A978D3" w:rsidP="00900810">
      <w:pPr>
        <w:spacing w:after="0"/>
        <w:jc w:val="both"/>
        <w:rPr>
          <w:rFonts w:cstheme="minorHAnsi"/>
        </w:rPr>
      </w:pPr>
    </w:p>
    <w:p w:rsidR="00A978D3" w:rsidRDefault="00A978D3" w:rsidP="00900810">
      <w:pPr>
        <w:spacing w:after="0"/>
        <w:jc w:val="both"/>
        <w:rPr>
          <w:rFonts w:cstheme="minorHAnsi"/>
        </w:rPr>
      </w:pPr>
    </w:p>
    <w:p w:rsidR="00A978D3" w:rsidRDefault="00A978D3" w:rsidP="00900810">
      <w:pPr>
        <w:spacing w:after="0"/>
        <w:jc w:val="both"/>
        <w:rPr>
          <w:rFonts w:cstheme="minorHAnsi"/>
        </w:rPr>
      </w:pPr>
    </w:p>
    <w:p w:rsidR="00A978D3" w:rsidRDefault="00A978D3" w:rsidP="00900810">
      <w:pPr>
        <w:spacing w:after="0"/>
        <w:jc w:val="both"/>
        <w:rPr>
          <w:rFonts w:cstheme="minorHAnsi"/>
        </w:rPr>
      </w:pPr>
    </w:p>
    <w:p w:rsidR="00A978D3" w:rsidRDefault="00A978D3" w:rsidP="00900810">
      <w:pPr>
        <w:spacing w:after="0"/>
        <w:jc w:val="both"/>
        <w:rPr>
          <w:rFonts w:cstheme="minorHAnsi"/>
        </w:rPr>
      </w:pPr>
    </w:p>
    <w:p w:rsidR="00D6435D" w:rsidRPr="00D6435D" w:rsidRDefault="00D6435D" w:rsidP="00900810">
      <w:pPr>
        <w:spacing w:after="0"/>
        <w:jc w:val="both"/>
        <w:rPr>
          <w:rFonts w:cstheme="minorHAnsi"/>
          <w:sz w:val="6"/>
          <w:szCs w:val="6"/>
        </w:rPr>
      </w:pPr>
    </w:p>
    <w:p w:rsidR="00A978D3" w:rsidRDefault="00A978D3" w:rsidP="00061346">
      <w:pPr>
        <w:spacing w:after="0"/>
        <w:jc w:val="both"/>
        <w:rPr>
          <w:rFonts w:cstheme="minorHAnsi"/>
          <w:b/>
          <w:u w:val="single"/>
        </w:rPr>
      </w:pPr>
    </w:p>
    <w:p w:rsidR="00490F76" w:rsidRPr="003154C1" w:rsidRDefault="00490F76" w:rsidP="00061346">
      <w:pPr>
        <w:spacing w:after="0"/>
        <w:jc w:val="both"/>
        <w:rPr>
          <w:rFonts w:cstheme="minorHAnsi"/>
          <w:b/>
          <w:sz w:val="6"/>
          <w:szCs w:val="6"/>
          <w:u w:val="single"/>
        </w:rPr>
      </w:pPr>
    </w:p>
    <w:p w:rsidR="00506256" w:rsidRDefault="001D1E3D" w:rsidP="00061346">
      <w:pPr>
        <w:spacing w:after="0"/>
        <w:jc w:val="both"/>
        <w:rPr>
          <w:rFonts w:cstheme="minorHAnsi"/>
          <w:b/>
          <w:u w:val="single"/>
        </w:rPr>
      </w:pPr>
      <w:r w:rsidRPr="00174D05">
        <w:rPr>
          <w:rFonts w:cstheme="minorHAnsi"/>
          <w:b/>
          <w:u w:val="single"/>
        </w:rPr>
        <w:t xml:space="preserve">Relevantní komparátory: </w:t>
      </w:r>
    </w:p>
    <w:p w:rsidR="00506256" w:rsidRPr="00506256" w:rsidRDefault="001A124B" w:rsidP="00061346">
      <w:p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Dle výše </w:t>
      </w:r>
      <w:r w:rsidR="00986764">
        <w:rPr>
          <w:rFonts w:cstheme="minorHAnsi"/>
        </w:rPr>
        <w:t xml:space="preserve">uvedených skutečností byly jako komparátory </w:t>
      </w:r>
      <w:r w:rsidR="0029271A">
        <w:rPr>
          <w:rFonts w:cstheme="minorHAnsi"/>
        </w:rPr>
        <w:t>k LP SIGNIFOR vybrány</w:t>
      </w:r>
      <w:r w:rsidR="001D37B7">
        <w:rPr>
          <w:rFonts w:cstheme="minorHAnsi"/>
        </w:rPr>
        <w:t xml:space="preserve"> (pro CEA i BIA)</w:t>
      </w:r>
      <w:r w:rsidR="0029271A">
        <w:rPr>
          <w:rFonts w:cstheme="minorHAnsi"/>
        </w:rPr>
        <w:t xml:space="preserve">: </w:t>
      </w:r>
      <w:r w:rsidR="0029271A" w:rsidRPr="001D37B7">
        <w:rPr>
          <w:rFonts w:cstheme="minorHAnsi"/>
          <w:b/>
        </w:rPr>
        <w:t>LP SOMAVERT (</w:t>
      </w:r>
      <w:proofErr w:type="spellStart"/>
      <w:r w:rsidR="0029271A" w:rsidRPr="001D37B7">
        <w:rPr>
          <w:rFonts w:cstheme="minorHAnsi"/>
          <w:b/>
        </w:rPr>
        <w:t>pegvisomant</w:t>
      </w:r>
      <w:proofErr w:type="spellEnd"/>
      <w:r w:rsidR="0029271A" w:rsidRPr="001D37B7">
        <w:rPr>
          <w:rFonts w:cstheme="minorHAnsi"/>
          <w:b/>
        </w:rPr>
        <w:t>) v </w:t>
      </w:r>
      <w:proofErr w:type="spellStart"/>
      <w:r w:rsidR="0029271A" w:rsidRPr="001D37B7">
        <w:rPr>
          <w:rFonts w:cstheme="minorHAnsi"/>
          <w:b/>
        </w:rPr>
        <w:t>monoterapii</w:t>
      </w:r>
      <w:proofErr w:type="spellEnd"/>
      <w:r w:rsidR="0029271A" w:rsidRPr="001D37B7">
        <w:rPr>
          <w:rFonts w:cstheme="minorHAnsi"/>
          <w:b/>
        </w:rPr>
        <w:t xml:space="preserve"> a v kombinaci s FGSSA</w:t>
      </w:r>
      <w:r w:rsidR="0029271A">
        <w:rPr>
          <w:rFonts w:cstheme="minorHAnsi"/>
        </w:rPr>
        <w:t xml:space="preserve"> </w:t>
      </w:r>
      <w:r w:rsidR="0029271A">
        <w:t xml:space="preserve">(viz níže pozn. 19). </w:t>
      </w:r>
      <w:r w:rsidR="00986764">
        <w:rPr>
          <w:rFonts w:cstheme="minorHAnsi"/>
        </w:rPr>
        <w:t>Pro podrobnější informace k jednotlivým LP (dávkování, způsoby aplikace, atd.) viz Přílohu č. 25</w:t>
      </w:r>
      <w:r w:rsidR="0029271A">
        <w:rPr>
          <w:rFonts w:cstheme="minorHAnsi"/>
        </w:rPr>
        <w:t>.</w:t>
      </w:r>
      <w:r w:rsidR="001D37B7">
        <w:rPr>
          <w:rFonts w:cstheme="minorHAnsi"/>
        </w:rPr>
        <w:t xml:space="preserve"> </w:t>
      </w:r>
      <w:r w:rsidR="001D37B7" w:rsidRPr="00506256">
        <w:rPr>
          <w:rFonts w:cstheme="minorHAnsi"/>
        </w:rPr>
        <w:t>Pr</w:t>
      </w:r>
      <w:r w:rsidR="001D37B7">
        <w:rPr>
          <w:rFonts w:cstheme="minorHAnsi"/>
        </w:rPr>
        <w:t xml:space="preserve">o kombinaci LP SIGNIFOR se SOMAVERTEM (viz pozn. 74) byl jako komparátor použit </w:t>
      </w:r>
      <w:r w:rsidR="00AC404C">
        <w:rPr>
          <w:rFonts w:cstheme="minorHAnsi"/>
        </w:rPr>
        <w:t xml:space="preserve">jen </w:t>
      </w:r>
      <w:r w:rsidR="001D37B7">
        <w:rPr>
          <w:rFonts w:cstheme="minorHAnsi"/>
        </w:rPr>
        <w:t>režim SOMAVERT s FGSSA (ale jen v rámci BIA)!  - viz Přílohu č. 7</w:t>
      </w:r>
      <w:r w:rsidR="008B6314">
        <w:rPr>
          <w:rFonts w:cstheme="minorHAnsi"/>
        </w:rPr>
        <w:t xml:space="preserve">. </w:t>
      </w:r>
      <w:r w:rsidR="008B6314" w:rsidRPr="008D5659">
        <w:rPr>
          <w:rFonts w:cstheme="minorHAnsi"/>
          <w:b/>
        </w:rPr>
        <w:t xml:space="preserve">LP SIGNIFOR byl přímo </w:t>
      </w:r>
      <w:r w:rsidR="00AC404C" w:rsidRPr="008D5659">
        <w:rPr>
          <w:rFonts w:cstheme="minorHAnsi"/>
          <w:b/>
        </w:rPr>
        <w:t>v RCT  fáze 3 srovnáván jen s FGSSA a to jen po dobu 24 týdnů - p</w:t>
      </w:r>
      <w:r w:rsidR="003B12FF" w:rsidRPr="008D5659">
        <w:rPr>
          <w:rFonts w:cstheme="minorHAnsi"/>
          <w:b/>
        </w:rPr>
        <w:t xml:space="preserve">ro přímé srovnání účinnosti/bezpečnosti dle výsledků </w:t>
      </w:r>
      <w:proofErr w:type="spellStart"/>
      <w:r w:rsidR="003B12FF" w:rsidRPr="008D5659">
        <w:rPr>
          <w:rFonts w:cstheme="minorHAnsi"/>
          <w:b/>
        </w:rPr>
        <w:t>random</w:t>
      </w:r>
      <w:proofErr w:type="spellEnd"/>
      <w:r w:rsidR="00AC404C" w:rsidRPr="008D5659">
        <w:rPr>
          <w:rFonts w:cstheme="minorHAnsi"/>
          <w:b/>
        </w:rPr>
        <w:t>.</w:t>
      </w:r>
      <w:r w:rsidR="003B12FF" w:rsidRPr="008D5659">
        <w:rPr>
          <w:rFonts w:cstheme="minorHAnsi"/>
          <w:b/>
        </w:rPr>
        <w:t xml:space="preserve"> studie fáze 3 PAOLA</w:t>
      </w:r>
      <w:r w:rsidR="003B12FF" w:rsidRPr="008D5659">
        <w:rPr>
          <w:rFonts w:cstheme="minorHAnsi"/>
          <w:b/>
          <w:vertAlign w:val="superscript"/>
        </w:rPr>
        <w:t>32</w:t>
      </w:r>
      <w:r w:rsidR="003B12FF" w:rsidRPr="008D5659">
        <w:rPr>
          <w:rFonts w:cstheme="minorHAnsi"/>
          <w:b/>
        </w:rPr>
        <w:t xml:space="preserve"> viz Přílohu č. 21</w:t>
      </w:r>
      <w:r w:rsidR="003B12FF">
        <w:rPr>
          <w:rFonts w:cstheme="minorHAnsi"/>
        </w:rPr>
        <w:t xml:space="preserve">. </w:t>
      </w:r>
      <w:r w:rsidR="003B12FF" w:rsidRPr="008D5659">
        <w:rPr>
          <w:rFonts w:cstheme="minorHAnsi"/>
          <w:u w:val="single"/>
        </w:rPr>
        <w:t xml:space="preserve">Pro nepřímé srovnání účinnosti/bezpečnosti </w:t>
      </w:r>
      <w:r w:rsidR="007241FB" w:rsidRPr="008D5659">
        <w:rPr>
          <w:rFonts w:cstheme="minorHAnsi"/>
          <w:u w:val="single"/>
        </w:rPr>
        <w:t xml:space="preserve">(pro CEA) </w:t>
      </w:r>
      <w:r w:rsidR="00AC404C" w:rsidRPr="008D5659">
        <w:rPr>
          <w:rFonts w:cstheme="minorHAnsi"/>
          <w:u w:val="single"/>
        </w:rPr>
        <w:t>SIGNIFORU</w:t>
      </w:r>
      <w:r w:rsidR="003B12FF" w:rsidRPr="008D5659">
        <w:rPr>
          <w:rFonts w:cstheme="minorHAnsi"/>
          <w:u w:val="single"/>
        </w:rPr>
        <w:t xml:space="preserve"> vůči </w:t>
      </w:r>
      <w:r w:rsidR="00AC404C" w:rsidRPr="008D5659">
        <w:rPr>
          <w:rFonts w:cstheme="minorHAnsi"/>
          <w:u w:val="single"/>
        </w:rPr>
        <w:t>SOMAVERTU</w:t>
      </w:r>
      <w:r w:rsidR="003B12FF" w:rsidRPr="008D5659">
        <w:rPr>
          <w:rFonts w:cstheme="minorHAnsi"/>
          <w:u w:val="single"/>
        </w:rPr>
        <w:t xml:space="preserve"> </w:t>
      </w:r>
      <w:r w:rsidR="00AC404C" w:rsidRPr="008D5659">
        <w:rPr>
          <w:rFonts w:cstheme="minorHAnsi"/>
          <w:u w:val="single"/>
        </w:rPr>
        <w:t>(</w:t>
      </w:r>
      <w:proofErr w:type="spellStart"/>
      <w:r w:rsidR="00AC404C" w:rsidRPr="008D5659">
        <w:rPr>
          <w:rFonts w:cstheme="minorHAnsi"/>
          <w:u w:val="single"/>
        </w:rPr>
        <w:t>monoterapii</w:t>
      </w:r>
      <w:proofErr w:type="spellEnd"/>
      <w:r w:rsidR="00AC404C" w:rsidRPr="008D5659">
        <w:rPr>
          <w:rFonts w:cstheme="minorHAnsi"/>
          <w:u w:val="single"/>
        </w:rPr>
        <w:t xml:space="preserve"> i kombinaci s FGSSA) </w:t>
      </w:r>
      <w:r w:rsidR="003B12FF" w:rsidRPr="008D5659">
        <w:rPr>
          <w:rFonts w:cstheme="minorHAnsi"/>
          <w:u w:val="single"/>
        </w:rPr>
        <w:t>u pac</w:t>
      </w:r>
      <w:r w:rsidR="00AC404C" w:rsidRPr="008D5659">
        <w:rPr>
          <w:rFonts w:cstheme="minorHAnsi"/>
          <w:u w:val="single"/>
        </w:rPr>
        <w:t>.</w:t>
      </w:r>
      <w:r w:rsidR="003B12FF" w:rsidRPr="008D5659">
        <w:rPr>
          <w:rFonts w:cstheme="minorHAnsi"/>
          <w:u w:val="single"/>
        </w:rPr>
        <w:t xml:space="preserve"> neodpovídající na léčbu 1. linií FGSSA </w:t>
      </w:r>
      <w:r w:rsidR="00AC404C" w:rsidRPr="008D5659">
        <w:rPr>
          <w:rFonts w:cstheme="minorHAnsi"/>
          <w:u w:val="single"/>
        </w:rPr>
        <w:t xml:space="preserve">v různých časových obdobích </w:t>
      </w:r>
      <w:r w:rsidR="003B12FF" w:rsidRPr="007B1BBB">
        <w:rPr>
          <w:rFonts w:cstheme="minorHAnsi"/>
          <w:b/>
          <w:u w:val="single"/>
        </w:rPr>
        <w:t xml:space="preserve">viz soubor v Excel formátu </w:t>
      </w:r>
      <w:r w:rsidR="00AC404C" w:rsidRPr="007B1BBB">
        <w:rPr>
          <w:rFonts w:cstheme="minorHAnsi"/>
          <w:b/>
          <w:u w:val="single"/>
        </w:rPr>
        <w:t>(„</w:t>
      </w:r>
      <w:proofErr w:type="spellStart"/>
      <w:r w:rsidR="00AC404C" w:rsidRPr="007B1BBB">
        <w:rPr>
          <w:rFonts w:cstheme="minorHAnsi"/>
          <w:b/>
          <w:u w:val="single"/>
        </w:rPr>
        <w:t>Signifor</w:t>
      </w:r>
      <w:proofErr w:type="spellEnd"/>
      <w:r w:rsidR="00AC404C" w:rsidRPr="007B1BBB">
        <w:rPr>
          <w:rFonts w:cstheme="minorHAnsi"/>
          <w:b/>
          <w:u w:val="single"/>
        </w:rPr>
        <w:t xml:space="preserve">-pomocný soubor“) </w:t>
      </w:r>
      <w:r w:rsidR="003B12FF" w:rsidRPr="007B1BBB">
        <w:rPr>
          <w:rFonts w:cstheme="minorHAnsi"/>
          <w:b/>
          <w:u w:val="single"/>
        </w:rPr>
        <w:t xml:space="preserve">připojenému jako </w:t>
      </w:r>
      <w:r w:rsidR="00AC404C" w:rsidRPr="007B1BBB">
        <w:rPr>
          <w:rFonts w:cstheme="minorHAnsi"/>
          <w:b/>
          <w:u w:val="single"/>
        </w:rPr>
        <w:t xml:space="preserve">samostatná </w:t>
      </w:r>
      <w:r w:rsidR="003B12FF" w:rsidRPr="007B1BBB">
        <w:rPr>
          <w:rFonts w:cstheme="minorHAnsi"/>
          <w:b/>
          <w:u w:val="single"/>
        </w:rPr>
        <w:t>příloha</w:t>
      </w:r>
      <w:r w:rsidR="00AC404C">
        <w:rPr>
          <w:rFonts w:cstheme="minorHAnsi"/>
        </w:rPr>
        <w:t>.</w:t>
      </w:r>
    </w:p>
    <w:p w:rsidR="00506256" w:rsidRPr="00C67E48" w:rsidRDefault="00506256" w:rsidP="00061346">
      <w:pPr>
        <w:spacing w:after="0"/>
        <w:jc w:val="both"/>
        <w:rPr>
          <w:rFonts w:cstheme="minorHAnsi"/>
          <w:sz w:val="6"/>
          <w:szCs w:val="6"/>
          <w:u w:val="single"/>
        </w:rPr>
      </w:pPr>
    </w:p>
    <w:p w:rsidR="00116B5A" w:rsidRPr="005F5D1B" w:rsidRDefault="00116B5A" w:rsidP="00061346">
      <w:pPr>
        <w:spacing w:after="0"/>
        <w:jc w:val="both"/>
        <w:rPr>
          <w:rFonts w:cstheme="minorHAnsi"/>
          <w:sz w:val="21"/>
          <w:szCs w:val="21"/>
          <w:u w:val="single"/>
        </w:rPr>
      </w:pPr>
      <w:r w:rsidRPr="005F5D1B">
        <w:rPr>
          <w:rFonts w:cstheme="minorHAnsi"/>
          <w:sz w:val="21"/>
          <w:szCs w:val="21"/>
          <w:u w:val="single"/>
        </w:rPr>
        <w:t xml:space="preserve">Tabulka </w:t>
      </w:r>
      <w:proofErr w:type="spellStart"/>
      <w:r w:rsidRPr="005F5D1B">
        <w:rPr>
          <w:rFonts w:cstheme="minorHAnsi"/>
          <w:sz w:val="21"/>
          <w:szCs w:val="21"/>
          <w:u w:val="single"/>
        </w:rPr>
        <w:t>komparátor</w:t>
      </w:r>
      <w:r w:rsidR="00356BA2" w:rsidRPr="005F5D1B">
        <w:rPr>
          <w:rFonts w:cstheme="minorHAnsi"/>
          <w:sz w:val="21"/>
          <w:szCs w:val="21"/>
          <w:u w:val="single"/>
        </w:rPr>
        <w:t>ových</w:t>
      </w:r>
      <w:proofErr w:type="spellEnd"/>
      <w:r w:rsidR="00356BA2" w:rsidRPr="005F5D1B">
        <w:rPr>
          <w:rFonts w:cstheme="minorHAnsi"/>
          <w:sz w:val="21"/>
          <w:szCs w:val="21"/>
          <w:u w:val="single"/>
        </w:rPr>
        <w:t xml:space="preserve"> </w:t>
      </w:r>
      <w:r w:rsidR="00281321" w:rsidRPr="005F5D1B">
        <w:rPr>
          <w:rFonts w:cstheme="minorHAnsi"/>
          <w:sz w:val="21"/>
          <w:szCs w:val="21"/>
          <w:u w:val="single"/>
        </w:rPr>
        <w:t>režimů k </w:t>
      </w:r>
      <w:r w:rsidR="00356BA2" w:rsidRPr="005F5D1B">
        <w:rPr>
          <w:rFonts w:cstheme="minorHAnsi"/>
          <w:sz w:val="21"/>
          <w:szCs w:val="21"/>
          <w:u w:val="single"/>
        </w:rPr>
        <w:t>LP</w:t>
      </w:r>
      <w:r w:rsidR="00281321" w:rsidRPr="005F5D1B">
        <w:rPr>
          <w:rFonts w:cstheme="minorHAnsi"/>
          <w:sz w:val="21"/>
          <w:szCs w:val="21"/>
          <w:u w:val="single"/>
        </w:rPr>
        <w:t xml:space="preserve"> SIGNIFOR</w:t>
      </w:r>
      <w:r w:rsidR="005F5D1B" w:rsidRPr="005F5D1B">
        <w:rPr>
          <w:rFonts w:cstheme="minorHAnsi"/>
          <w:sz w:val="21"/>
          <w:szCs w:val="21"/>
          <w:u w:val="single"/>
        </w:rPr>
        <w:t xml:space="preserve"> se zvolenými</w:t>
      </w:r>
      <w:r w:rsidR="00441E74" w:rsidRPr="005F5D1B">
        <w:rPr>
          <w:rFonts w:cstheme="minorHAnsi"/>
          <w:sz w:val="21"/>
          <w:szCs w:val="21"/>
          <w:u w:val="single"/>
        </w:rPr>
        <w:t xml:space="preserve"> rozmezími účinností a dávkování</w:t>
      </w:r>
      <w:r w:rsidR="005F5D1B" w:rsidRPr="005F5D1B">
        <w:rPr>
          <w:rFonts w:cstheme="minorHAnsi"/>
          <w:sz w:val="21"/>
          <w:szCs w:val="21"/>
          <w:u w:val="single"/>
        </w:rPr>
        <w:t xml:space="preserve"> dle výše uvedené přílohy</w:t>
      </w:r>
      <w:r w:rsidRPr="005F5D1B">
        <w:rPr>
          <w:rFonts w:cstheme="minorHAnsi"/>
          <w:sz w:val="21"/>
          <w:szCs w:val="21"/>
          <w:u w:val="single"/>
        </w:rPr>
        <w:t xml:space="preserve">: </w:t>
      </w:r>
    </w:p>
    <w:p w:rsidR="00ED678F" w:rsidRPr="00C67E48" w:rsidRDefault="00ED678F" w:rsidP="00061346">
      <w:pPr>
        <w:spacing w:after="0"/>
        <w:jc w:val="both"/>
        <w:rPr>
          <w:rFonts w:cstheme="minorHAnsi"/>
          <w:b/>
          <w:sz w:val="2"/>
          <w:szCs w:val="2"/>
          <w:u w:val="single"/>
        </w:rPr>
      </w:pPr>
    </w:p>
    <w:p w:rsidR="007746DA" w:rsidRDefault="00441E74" w:rsidP="00061346">
      <w:pPr>
        <w:spacing w:after="0"/>
        <w:jc w:val="both"/>
        <w:rPr>
          <w:rFonts w:cstheme="minorHAnsi"/>
          <w:b/>
          <w:sz w:val="6"/>
          <w:szCs w:val="6"/>
          <w:u w:val="single"/>
        </w:rPr>
      </w:pPr>
      <w:r>
        <w:rPr>
          <w:rFonts w:cstheme="minorHAnsi"/>
          <w:b/>
          <w:noProof/>
          <w:sz w:val="6"/>
          <w:szCs w:val="6"/>
          <w:u w:val="single"/>
          <w:lang w:eastAsia="cs-CZ"/>
        </w:rPr>
        <w:drawing>
          <wp:inline distT="0" distB="0" distL="0" distR="0">
            <wp:extent cx="6763110" cy="3398808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307" cy="33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64" w:rsidRDefault="00986764" w:rsidP="00061346">
      <w:pPr>
        <w:spacing w:after="0"/>
        <w:jc w:val="both"/>
        <w:rPr>
          <w:rFonts w:cstheme="minorHAnsi"/>
          <w:b/>
          <w:sz w:val="6"/>
          <w:szCs w:val="6"/>
          <w:u w:val="single"/>
        </w:rPr>
      </w:pPr>
    </w:p>
    <w:p w:rsidR="003760F8" w:rsidRDefault="003760F8" w:rsidP="00061346">
      <w:pPr>
        <w:spacing w:after="0"/>
        <w:jc w:val="both"/>
        <w:rPr>
          <w:rFonts w:cstheme="minorHAnsi"/>
          <w:b/>
          <w:sz w:val="6"/>
          <w:szCs w:val="6"/>
          <w:u w:val="single"/>
        </w:rPr>
      </w:pPr>
    </w:p>
    <w:p w:rsidR="003760F8" w:rsidRDefault="003760F8" w:rsidP="00061346">
      <w:pPr>
        <w:spacing w:after="0"/>
        <w:jc w:val="both"/>
        <w:rPr>
          <w:rFonts w:cstheme="minorHAnsi"/>
          <w:b/>
          <w:sz w:val="6"/>
          <w:szCs w:val="6"/>
          <w:u w:val="single"/>
        </w:rPr>
      </w:pPr>
    </w:p>
    <w:p w:rsidR="003760F8" w:rsidRDefault="003760F8" w:rsidP="00061346">
      <w:pPr>
        <w:spacing w:after="0"/>
        <w:jc w:val="both"/>
        <w:rPr>
          <w:rFonts w:cstheme="minorHAnsi"/>
          <w:b/>
          <w:sz w:val="6"/>
          <w:szCs w:val="6"/>
          <w:u w:val="single"/>
        </w:rPr>
      </w:pPr>
    </w:p>
    <w:p w:rsidR="003760F8" w:rsidRDefault="003760F8" w:rsidP="00061346">
      <w:pPr>
        <w:spacing w:after="0"/>
        <w:jc w:val="both"/>
        <w:rPr>
          <w:rFonts w:cstheme="minorHAnsi"/>
          <w:b/>
          <w:sz w:val="6"/>
          <w:szCs w:val="6"/>
          <w:u w:val="single"/>
        </w:rPr>
      </w:pPr>
    </w:p>
    <w:p w:rsidR="003760F8" w:rsidRDefault="003760F8" w:rsidP="00061346">
      <w:pPr>
        <w:spacing w:after="0"/>
        <w:jc w:val="both"/>
        <w:rPr>
          <w:rFonts w:cstheme="minorHAnsi"/>
          <w:b/>
          <w:sz w:val="6"/>
          <w:szCs w:val="6"/>
          <w:u w:val="single"/>
        </w:rPr>
      </w:pPr>
    </w:p>
    <w:p w:rsidR="003760F8" w:rsidRDefault="003760F8" w:rsidP="00061346">
      <w:pPr>
        <w:spacing w:after="0"/>
        <w:jc w:val="both"/>
        <w:rPr>
          <w:rFonts w:cstheme="minorHAnsi"/>
          <w:b/>
          <w:sz w:val="6"/>
          <w:szCs w:val="6"/>
          <w:u w:val="single"/>
        </w:rPr>
      </w:pPr>
    </w:p>
    <w:p w:rsidR="003760F8" w:rsidRDefault="003760F8" w:rsidP="00061346">
      <w:pPr>
        <w:spacing w:after="0"/>
        <w:jc w:val="both"/>
        <w:rPr>
          <w:rFonts w:cstheme="minorHAnsi"/>
          <w:b/>
          <w:sz w:val="6"/>
          <w:szCs w:val="6"/>
          <w:u w:val="single"/>
        </w:rPr>
      </w:pPr>
    </w:p>
    <w:p w:rsidR="003760F8" w:rsidRPr="00ED678F" w:rsidRDefault="003760F8" w:rsidP="00061346">
      <w:pPr>
        <w:spacing w:after="0"/>
        <w:jc w:val="both"/>
        <w:rPr>
          <w:rFonts w:cstheme="minorHAnsi"/>
          <w:b/>
          <w:sz w:val="6"/>
          <w:szCs w:val="6"/>
          <w:u w:val="single"/>
        </w:rPr>
      </w:pPr>
    </w:p>
    <w:p w:rsidR="00BA144D" w:rsidRPr="001C5114" w:rsidRDefault="00BA144D" w:rsidP="00061346">
      <w:pPr>
        <w:spacing w:after="0"/>
        <w:jc w:val="both"/>
        <w:rPr>
          <w:rFonts w:cstheme="minorHAnsi"/>
          <w:u w:val="single"/>
        </w:rPr>
      </w:pPr>
      <w:r w:rsidRPr="001C5114">
        <w:rPr>
          <w:rFonts w:cstheme="minorHAnsi"/>
          <w:b/>
          <w:u w:val="single"/>
        </w:rPr>
        <w:t>Specifikace FE analýzy</w:t>
      </w:r>
      <w:r w:rsidRPr="001C5114">
        <w:rPr>
          <w:rFonts w:cstheme="minorHAnsi"/>
          <w:u w:val="single"/>
        </w:rPr>
        <w:t>:</w:t>
      </w:r>
    </w:p>
    <w:p w:rsidR="009A1A96" w:rsidRPr="004B0D0B" w:rsidRDefault="00465F64" w:rsidP="007746DA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6726AA">
        <w:rPr>
          <w:rFonts w:cstheme="minorHAnsi"/>
          <w:sz w:val="20"/>
          <w:szCs w:val="20"/>
          <w:u w:val="single"/>
        </w:rPr>
        <w:t>Použité předpoklady</w:t>
      </w:r>
      <w:r w:rsidRPr="004B0D0B">
        <w:rPr>
          <w:rFonts w:cstheme="minorHAnsi"/>
          <w:sz w:val="20"/>
          <w:szCs w:val="20"/>
        </w:rPr>
        <w:t>:</w:t>
      </w:r>
      <w:r w:rsidR="006726AA">
        <w:rPr>
          <w:rFonts w:cstheme="minorHAnsi"/>
          <w:sz w:val="20"/>
          <w:szCs w:val="20"/>
        </w:rPr>
        <w:t xml:space="preserve"> a) </w:t>
      </w:r>
      <w:r w:rsidRPr="004B0D0B">
        <w:rPr>
          <w:rFonts w:cstheme="minorHAnsi"/>
          <w:sz w:val="20"/>
          <w:szCs w:val="20"/>
        </w:rPr>
        <w:t>č</w:t>
      </w:r>
      <w:r w:rsidR="007746DA" w:rsidRPr="004B0D0B">
        <w:rPr>
          <w:rFonts w:cstheme="minorHAnsi"/>
          <w:sz w:val="20"/>
          <w:szCs w:val="20"/>
        </w:rPr>
        <w:t xml:space="preserve">etnost ukončení léčby pro NÚ </w:t>
      </w:r>
      <w:r w:rsidR="00861048" w:rsidRPr="004B0D0B">
        <w:rPr>
          <w:rFonts w:cstheme="minorHAnsi"/>
          <w:sz w:val="20"/>
          <w:szCs w:val="20"/>
        </w:rPr>
        <w:t>jsou považovány</w:t>
      </w:r>
      <w:r w:rsidR="006726AA">
        <w:rPr>
          <w:rFonts w:cstheme="minorHAnsi"/>
          <w:sz w:val="20"/>
          <w:szCs w:val="20"/>
        </w:rPr>
        <w:t xml:space="preserve"> u všech LP cca za podobné, b) n</w:t>
      </w:r>
      <w:r w:rsidR="007746DA" w:rsidRPr="004B0D0B">
        <w:rPr>
          <w:rFonts w:cstheme="minorHAnsi"/>
          <w:sz w:val="20"/>
          <w:szCs w:val="20"/>
        </w:rPr>
        <w:t xml:space="preserve">áklady za nejvyšší dávkování DOSTINEXU (viz níže pozn. 31) činí max. jen cca 2% </w:t>
      </w:r>
      <w:r w:rsidR="00861048" w:rsidRPr="004B0D0B">
        <w:rPr>
          <w:rFonts w:cstheme="minorHAnsi"/>
          <w:sz w:val="20"/>
          <w:szCs w:val="20"/>
        </w:rPr>
        <w:t xml:space="preserve">z </w:t>
      </w:r>
      <w:r w:rsidR="007746DA" w:rsidRPr="004B0D0B">
        <w:rPr>
          <w:rFonts w:cstheme="minorHAnsi"/>
          <w:sz w:val="20"/>
          <w:szCs w:val="20"/>
        </w:rPr>
        <w:t xml:space="preserve">nákladů za SOMAVERT či SIGNIFOR – </w:t>
      </w:r>
      <w:r w:rsidR="00F11670">
        <w:rPr>
          <w:rFonts w:cstheme="minorHAnsi"/>
          <w:sz w:val="20"/>
          <w:szCs w:val="20"/>
        </w:rPr>
        <w:t>proto</w:t>
      </w:r>
      <w:r w:rsidR="007746DA" w:rsidRPr="004B0D0B">
        <w:rPr>
          <w:rFonts w:cstheme="minorHAnsi"/>
          <w:sz w:val="20"/>
          <w:szCs w:val="20"/>
        </w:rPr>
        <w:t xml:space="preserve"> nebyl do CEA ani BIA</w:t>
      </w:r>
      <w:r w:rsidR="00861048" w:rsidRPr="004B0D0B">
        <w:rPr>
          <w:rFonts w:cstheme="minorHAnsi"/>
          <w:sz w:val="20"/>
          <w:szCs w:val="20"/>
        </w:rPr>
        <w:t xml:space="preserve"> v kombinaci s těmito LP</w:t>
      </w:r>
      <w:r w:rsidR="007746DA" w:rsidRPr="004B0D0B">
        <w:rPr>
          <w:rFonts w:cstheme="minorHAnsi"/>
          <w:sz w:val="20"/>
          <w:szCs w:val="20"/>
        </w:rPr>
        <w:t xml:space="preserve"> </w:t>
      </w:r>
      <w:proofErr w:type="gramStart"/>
      <w:r w:rsidR="007746DA" w:rsidRPr="004B0D0B">
        <w:rPr>
          <w:rFonts w:cstheme="minorHAnsi"/>
          <w:sz w:val="20"/>
          <w:szCs w:val="20"/>
        </w:rPr>
        <w:t>zahrnut</w:t>
      </w:r>
      <w:r w:rsidR="00F11670">
        <w:rPr>
          <w:rFonts w:cstheme="minorHAnsi"/>
          <w:sz w:val="20"/>
          <w:szCs w:val="20"/>
        </w:rPr>
        <w:t xml:space="preserve"> </w:t>
      </w:r>
      <w:r w:rsidR="007746DA" w:rsidRPr="004B0D0B">
        <w:rPr>
          <w:rFonts w:cstheme="minorHAnsi"/>
          <w:sz w:val="20"/>
          <w:szCs w:val="20"/>
        </w:rPr>
        <w:t>!</w:t>
      </w:r>
      <w:proofErr w:type="gramEnd"/>
      <w:r w:rsidR="006726AA">
        <w:rPr>
          <w:rFonts w:cstheme="minorHAnsi"/>
          <w:sz w:val="20"/>
          <w:szCs w:val="20"/>
        </w:rPr>
        <w:t>, c) při kalkulaci nákladů za léčbu (viz body níže) nebylo pro zjednodušení</w:t>
      </w:r>
      <w:r w:rsidR="007746DA" w:rsidRPr="004B0D0B">
        <w:rPr>
          <w:rFonts w:cstheme="minorHAnsi"/>
          <w:sz w:val="20"/>
          <w:szCs w:val="20"/>
        </w:rPr>
        <w:t xml:space="preserve"> </w:t>
      </w:r>
      <w:r w:rsidR="006726AA">
        <w:rPr>
          <w:rFonts w:cstheme="minorHAnsi"/>
          <w:sz w:val="20"/>
          <w:szCs w:val="20"/>
        </w:rPr>
        <w:t>počítáno s počáteční nižší dávkou LP během 1. roku terapie</w:t>
      </w:r>
      <w:r w:rsidR="00F11670">
        <w:rPr>
          <w:rFonts w:cstheme="minorHAnsi"/>
          <w:sz w:val="20"/>
          <w:szCs w:val="20"/>
        </w:rPr>
        <w:t xml:space="preserve"> u režimů se SOMAVERTEM, SIGNIFOREM, či FGSSA</w:t>
      </w:r>
      <w:r w:rsidR="006726AA">
        <w:rPr>
          <w:rFonts w:cstheme="minorHAnsi"/>
          <w:sz w:val="20"/>
          <w:szCs w:val="20"/>
        </w:rPr>
        <w:t>!</w:t>
      </w:r>
    </w:p>
    <w:p w:rsidR="00F43012" w:rsidRPr="00E84463" w:rsidRDefault="00F43012" w:rsidP="00C1299F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  <w:u w:val="single"/>
        </w:rPr>
      </w:pPr>
      <w:r w:rsidRPr="004B0D0B">
        <w:rPr>
          <w:rFonts w:cstheme="minorHAnsi"/>
          <w:sz w:val="20"/>
          <w:szCs w:val="20"/>
        </w:rPr>
        <w:t xml:space="preserve">Byla realizována </w:t>
      </w:r>
      <w:proofErr w:type="spellStart"/>
      <w:r w:rsidRPr="004B0D0B">
        <w:rPr>
          <w:rFonts w:cstheme="minorHAnsi"/>
          <w:sz w:val="20"/>
          <w:szCs w:val="20"/>
        </w:rPr>
        <w:t>cost-effectivness</w:t>
      </w:r>
      <w:proofErr w:type="spellEnd"/>
      <w:r w:rsidRPr="004B0D0B">
        <w:rPr>
          <w:rFonts w:cstheme="minorHAnsi"/>
          <w:sz w:val="20"/>
          <w:szCs w:val="20"/>
        </w:rPr>
        <w:t xml:space="preserve"> analýza (</w:t>
      </w:r>
      <w:r w:rsidR="00B74A71" w:rsidRPr="004B0D0B">
        <w:rPr>
          <w:rFonts w:cstheme="minorHAnsi"/>
          <w:sz w:val="20"/>
          <w:szCs w:val="20"/>
        </w:rPr>
        <w:t>tzv.</w:t>
      </w:r>
      <w:r w:rsidRPr="004B0D0B">
        <w:rPr>
          <w:rFonts w:cstheme="minorHAnsi"/>
          <w:sz w:val="20"/>
          <w:szCs w:val="20"/>
        </w:rPr>
        <w:t xml:space="preserve"> „</w:t>
      </w:r>
      <w:r w:rsidRPr="004B0D0B">
        <w:rPr>
          <w:rFonts w:cstheme="minorHAnsi"/>
          <w:b/>
          <w:sz w:val="20"/>
          <w:szCs w:val="20"/>
        </w:rPr>
        <w:t>CEA</w:t>
      </w:r>
      <w:r w:rsidRPr="004B0D0B">
        <w:rPr>
          <w:rFonts w:cstheme="minorHAnsi"/>
          <w:sz w:val="20"/>
          <w:szCs w:val="20"/>
        </w:rPr>
        <w:t>“)</w:t>
      </w:r>
      <w:r w:rsidR="00B74A71" w:rsidRPr="004B0D0B">
        <w:rPr>
          <w:rFonts w:cstheme="minorHAnsi"/>
          <w:sz w:val="20"/>
          <w:szCs w:val="20"/>
        </w:rPr>
        <w:t xml:space="preserve"> a analýza dopadu do rozpočtu (tzv. „</w:t>
      </w:r>
      <w:r w:rsidR="00B74A71" w:rsidRPr="004B0D0B">
        <w:rPr>
          <w:rFonts w:cstheme="minorHAnsi"/>
          <w:b/>
          <w:sz w:val="20"/>
          <w:szCs w:val="20"/>
        </w:rPr>
        <w:t>BIA</w:t>
      </w:r>
      <w:r w:rsidR="00B74A71" w:rsidRPr="004B0D0B">
        <w:rPr>
          <w:rFonts w:cstheme="minorHAnsi"/>
          <w:sz w:val="20"/>
          <w:szCs w:val="20"/>
        </w:rPr>
        <w:t xml:space="preserve">“). </w:t>
      </w:r>
      <w:r w:rsidR="00B74A71" w:rsidRPr="004B0D0B">
        <w:rPr>
          <w:rFonts w:cstheme="minorHAnsi"/>
          <w:sz w:val="20"/>
          <w:szCs w:val="20"/>
          <w:u w:val="single"/>
        </w:rPr>
        <w:t>Pro režimy použitelné pro 2.</w:t>
      </w:r>
      <w:r w:rsidR="004B0D0B" w:rsidRPr="004B0D0B">
        <w:rPr>
          <w:rFonts w:cstheme="minorHAnsi"/>
          <w:sz w:val="20"/>
          <w:szCs w:val="20"/>
          <w:u w:val="single"/>
        </w:rPr>
        <w:t xml:space="preserve"> </w:t>
      </w:r>
      <w:r w:rsidR="00B74A71" w:rsidRPr="004B0D0B">
        <w:rPr>
          <w:rFonts w:cstheme="minorHAnsi"/>
          <w:sz w:val="20"/>
          <w:szCs w:val="20"/>
          <w:u w:val="single"/>
        </w:rPr>
        <w:t xml:space="preserve">linii léčby (viz výše odstavec „Relevantní komparátory“) byla provedena CEA i BIA, </w:t>
      </w:r>
      <w:r w:rsidR="00B74A71" w:rsidRPr="004B0D0B">
        <w:rPr>
          <w:rFonts w:cstheme="minorHAnsi"/>
          <w:sz w:val="20"/>
          <w:szCs w:val="20"/>
        </w:rPr>
        <w:t>pro režimy použitelné pro 3.</w:t>
      </w:r>
      <w:r w:rsidR="004B0D0B" w:rsidRPr="004B0D0B">
        <w:rPr>
          <w:rFonts w:cstheme="minorHAnsi"/>
          <w:sz w:val="20"/>
          <w:szCs w:val="20"/>
        </w:rPr>
        <w:t xml:space="preserve"> </w:t>
      </w:r>
      <w:r w:rsidR="00B74A71" w:rsidRPr="004B0D0B">
        <w:rPr>
          <w:rFonts w:cstheme="minorHAnsi"/>
          <w:sz w:val="20"/>
          <w:szCs w:val="20"/>
        </w:rPr>
        <w:t>linii léčby (viz výše odstavec „Relevantní komparátory“) jen BIA.</w:t>
      </w:r>
      <w:r w:rsidR="004B0D0B" w:rsidRPr="004B0D0B">
        <w:rPr>
          <w:rFonts w:cstheme="minorHAnsi"/>
          <w:sz w:val="20"/>
          <w:szCs w:val="20"/>
        </w:rPr>
        <w:t xml:space="preserve"> </w:t>
      </w:r>
      <w:r w:rsidR="004B0D0B" w:rsidRPr="004B0D0B">
        <w:rPr>
          <w:rFonts w:cstheme="minorHAnsi"/>
          <w:sz w:val="20"/>
          <w:szCs w:val="20"/>
          <w:u w:val="single"/>
        </w:rPr>
        <w:t xml:space="preserve">CEA byla </w:t>
      </w:r>
      <w:r w:rsidR="00C1299F">
        <w:rPr>
          <w:rFonts w:cstheme="minorHAnsi"/>
          <w:sz w:val="20"/>
          <w:szCs w:val="20"/>
          <w:u w:val="single"/>
        </w:rPr>
        <w:t xml:space="preserve">u 2. linie </w:t>
      </w:r>
      <w:r w:rsidR="004B0D0B" w:rsidRPr="004B0D0B">
        <w:rPr>
          <w:rFonts w:cstheme="minorHAnsi"/>
          <w:sz w:val="20"/>
          <w:szCs w:val="20"/>
          <w:u w:val="single"/>
        </w:rPr>
        <w:t>prováděna ve 2 scénářích časového období: pro 1. rok léčby a pro 3 roky léčby</w:t>
      </w:r>
      <w:r w:rsidR="00C1299F">
        <w:rPr>
          <w:rFonts w:cstheme="minorHAnsi"/>
          <w:sz w:val="20"/>
          <w:szCs w:val="20"/>
          <w:u w:val="single"/>
        </w:rPr>
        <w:t xml:space="preserve">, </w:t>
      </w:r>
      <w:r w:rsidR="00C33600" w:rsidRPr="00C33600">
        <w:rPr>
          <w:rFonts w:cstheme="minorHAnsi"/>
          <w:sz w:val="20"/>
          <w:szCs w:val="20"/>
          <w:u w:val="single"/>
        </w:rPr>
        <w:t>BIA byla provedena jen za období 1</w:t>
      </w:r>
      <w:r w:rsidR="002674F7">
        <w:rPr>
          <w:rFonts w:cstheme="minorHAnsi"/>
          <w:sz w:val="20"/>
          <w:szCs w:val="20"/>
          <w:u w:val="single"/>
        </w:rPr>
        <w:t>.</w:t>
      </w:r>
      <w:r w:rsidR="00C33600" w:rsidRPr="00C33600">
        <w:rPr>
          <w:rFonts w:cstheme="minorHAnsi"/>
          <w:sz w:val="20"/>
          <w:szCs w:val="20"/>
          <w:u w:val="single"/>
        </w:rPr>
        <w:t xml:space="preserve"> roku</w:t>
      </w:r>
      <w:r w:rsidR="00F914FB">
        <w:rPr>
          <w:rFonts w:cstheme="minorHAnsi"/>
          <w:sz w:val="20"/>
          <w:szCs w:val="20"/>
          <w:u w:val="single"/>
        </w:rPr>
        <w:t xml:space="preserve">, ale zase </w:t>
      </w:r>
      <w:r w:rsidR="00F914FB" w:rsidRPr="00F914FB">
        <w:rPr>
          <w:rFonts w:cstheme="minorHAnsi"/>
          <w:sz w:val="20"/>
          <w:szCs w:val="20"/>
          <w:u w:val="single"/>
        </w:rPr>
        <w:t xml:space="preserve">ve 2 scénářích </w:t>
      </w:r>
      <w:r w:rsidR="009276BC">
        <w:rPr>
          <w:rFonts w:cstheme="minorHAnsi"/>
          <w:sz w:val="20"/>
          <w:szCs w:val="20"/>
          <w:u w:val="single"/>
        </w:rPr>
        <w:t xml:space="preserve">pro 2. linii </w:t>
      </w:r>
      <w:r w:rsidR="00F914FB" w:rsidRPr="00F914FB">
        <w:rPr>
          <w:rFonts w:cstheme="minorHAnsi"/>
          <w:sz w:val="20"/>
          <w:szCs w:val="20"/>
          <w:u w:val="single"/>
        </w:rPr>
        <w:t>z hlediska počtu pacientů</w:t>
      </w:r>
      <w:r w:rsidR="00F914FB">
        <w:rPr>
          <w:rFonts w:cstheme="minorHAnsi"/>
          <w:sz w:val="20"/>
          <w:szCs w:val="20"/>
        </w:rPr>
        <w:t xml:space="preserve"> (viz níže</w:t>
      </w:r>
      <w:r w:rsidR="00F914FB" w:rsidRPr="00E84463">
        <w:rPr>
          <w:rFonts w:cstheme="minorHAnsi"/>
          <w:sz w:val="20"/>
          <w:szCs w:val="20"/>
          <w:u w:val="single"/>
        </w:rPr>
        <w:t>): pro 2 pacienty a pro 4 pacienty</w:t>
      </w:r>
      <w:r w:rsidR="009276BC">
        <w:rPr>
          <w:rFonts w:cstheme="minorHAnsi"/>
          <w:sz w:val="20"/>
          <w:szCs w:val="20"/>
          <w:u w:val="single"/>
        </w:rPr>
        <w:t>, pro event. 3. linii pak byla BIA provedena jen pro jednoho pacienta</w:t>
      </w:r>
      <w:r w:rsidR="00F11670">
        <w:rPr>
          <w:rFonts w:cstheme="minorHAnsi"/>
          <w:sz w:val="20"/>
          <w:szCs w:val="20"/>
          <w:u w:val="single"/>
        </w:rPr>
        <w:t>, a to</w:t>
      </w:r>
      <w:r w:rsidR="009276BC">
        <w:rPr>
          <w:rFonts w:cstheme="minorHAnsi"/>
          <w:sz w:val="20"/>
          <w:szCs w:val="20"/>
          <w:u w:val="single"/>
        </w:rPr>
        <w:t xml:space="preserve"> ve 2 scénářích</w:t>
      </w:r>
      <w:r w:rsidR="00C1299F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="00C1299F">
        <w:rPr>
          <w:rFonts w:cstheme="minorHAnsi"/>
          <w:sz w:val="20"/>
          <w:szCs w:val="20"/>
          <w:u w:val="single"/>
        </w:rPr>
        <w:t>sekvenace</w:t>
      </w:r>
      <w:proofErr w:type="spellEnd"/>
      <w:r w:rsidR="00C1299F">
        <w:rPr>
          <w:rFonts w:cstheme="minorHAnsi"/>
          <w:sz w:val="20"/>
          <w:szCs w:val="20"/>
          <w:u w:val="single"/>
        </w:rPr>
        <w:t xml:space="preserve"> </w:t>
      </w:r>
      <w:r w:rsidR="00F11670">
        <w:rPr>
          <w:rFonts w:cstheme="minorHAnsi"/>
          <w:sz w:val="20"/>
          <w:szCs w:val="20"/>
          <w:u w:val="single"/>
        </w:rPr>
        <w:t>léčby</w:t>
      </w:r>
      <w:r w:rsidR="009276BC">
        <w:rPr>
          <w:rFonts w:cstheme="minorHAnsi"/>
          <w:sz w:val="20"/>
          <w:szCs w:val="20"/>
          <w:u w:val="single"/>
        </w:rPr>
        <w:t>: a) pacienti kompenzovaní na kombinaci SOMAVERT 30mg/den + SANDOSTATIN LA</w:t>
      </w:r>
      <w:r w:rsidR="00CE5ACE">
        <w:rPr>
          <w:rFonts w:cstheme="minorHAnsi"/>
          <w:sz w:val="20"/>
          <w:szCs w:val="20"/>
          <w:u w:val="single"/>
        </w:rPr>
        <w:t>R</w:t>
      </w:r>
      <w:r w:rsidR="009276BC">
        <w:rPr>
          <w:rFonts w:cstheme="minorHAnsi"/>
          <w:sz w:val="20"/>
          <w:szCs w:val="20"/>
          <w:u w:val="single"/>
        </w:rPr>
        <w:t xml:space="preserve"> 30mg 1x za 28 dní</w:t>
      </w:r>
      <w:r w:rsidR="00C1299F">
        <w:rPr>
          <w:rFonts w:cstheme="minorHAnsi"/>
          <w:sz w:val="20"/>
          <w:szCs w:val="20"/>
          <w:u w:val="single"/>
        </w:rPr>
        <w:t xml:space="preserve"> převedení na kombinaci </w:t>
      </w:r>
      <w:r w:rsidR="00C1299F" w:rsidRPr="00C1299F">
        <w:rPr>
          <w:rFonts w:cstheme="minorHAnsi"/>
          <w:sz w:val="20"/>
          <w:szCs w:val="20"/>
          <w:u w:val="single"/>
        </w:rPr>
        <w:t>S</w:t>
      </w:r>
      <w:r w:rsidR="002674F7">
        <w:rPr>
          <w:rFonts w:cstheme="minorHAnsi"/>
          <w:sz w:val="20"/>
          <w:szCs w:val="20"/>
          <w:u w:val="single"/>
        </w:rPr>
        <w:t>IGNIFOR</w:t>
      </w:r>
      <w:r w:rsidR="00C1299F" w:rsidRPr="00C1299F">
        <w:rPr>
          <w:rFonts w:cstheme="minorHAnsi"/>
          <w:sz w:val="20"/>
          <w:szCs w:val="20"/>
          <w:u w:val="single"/>
        </w:rPr>
        <w:t xml:space="preserve"> 60mg 1x za 28 dní</w:t>
      </w:r>
      <w:r w:rsidR="00C1299F" w:rsidRPr="00C1299F">
        <w:rPr>
          <w:rFonts w:cstheme="minorHAnsi"/>
          <w:sz w:val="20"/>
          <w:szCs w:val="20"/>
          <w:u w:val="single"/>
          <w:vertAlign w:val="superscript"/>
        </w:rPr>
        <w:t xml:space="preserve"> </w:t>
      </w:r>
      <w:r w:rsidR="00C1299F" w:rsidRPr="00C1299F">
        <w:rPr>
          <w:rFonts w:cstheme="minorHAnsi"/>
          <w:sz w:val="20"/>
          <w:szCs w:val="20"/>
          <w:u w:val="single"/>
        </w:rPr>
        <w:t>+ S</w:t>
      </w:r>
      <w:r w:rsidR="002674F7">
        <w:rPr>
          <w:rFonts w:cstheme="minorHAnsi"/>
          <w:sz w:val="20"/>
          <w:szCs w:val="20"/>
          <w:u w:val="single"/>
        </w:rPr>
        <w:t>OMAVERT</w:t>
      </w:r>
      <w:r w:rsidR="00C1299F" w:rsidRPr="00C1299F">
        <w:rPr>
          <w:rFonts w:cstheme="minorHAnsi"/>
          <w:sz w:val="20"/>
          <w:szCs w:val="20"/>
          <w:u w:val="single"/>
        </w:rPr>
        <w:t xml:space="preserve"> 20mg</w:t>
      </w:r>
      <w:r w:rsidR="002674F7">
        <w:rPr>
          <w:rFonts w:cstheme="minorHAnsi"/>
          <w:sz w:val="20"/>
          <w:szCs w:val="20"/>
          <w:u w:val="single"/>
        </w:rPr>
        <w:t>/den</w:t>
      </w:r>
      <w:r w:rsidR="00C1299F">
        <w:rPr>
          <w:rFonts w:cstheme="minorHAnsi"/>
          <w:sz w:val="20"/>
          <w:szCs w:val="20"/>
          <w:u w:val="single"/>
        </w:rPr>
        <w:t>,  b) pacienti nekompenzovaní na kombinaci SOMAVERT 30mg/den + SANDOSTATIN LA</w:t>
      </w:r>
      <w:r w:rsidR="00CE5ACE">
        <w:rPr>
          <w:rFonts w:cstheme="minorHAnsi"/>
          <w:sz w:val="20"/>
          <w:szCs w:val="20"/>
          <w:u w:val="single"/>
        </w:rPr>
        <w:t>R</w:t>
      </w:r>
      <w:r w:rsidR="00C1299F">
        <w:rPr>
          <w:rFonts w:cstheme="minorHAnsi"/>
          <w:sz w:val="20"/>
          <w:szCs w:val="20"/>
          <w:u w:val="single"/>
        </w:rPr>
        <w:t xml:space="preserve"> 30mg 1x za 28 dní převedení na kombinaci</w:t>
      </w:r>
      <w:r w:rsidR="00F11670">
        <w:rPr>
          <w:rFonts w:cstheme="minorHAnsi"/>
          <w:sz w:val="20"/>
          <w:szCs w:val="20"/>
          <w:u w:val="single"/>
        </w:rPr>
        <w:t xml:space="preserve"> maximálních dávek</w:t>
      </w:r>
      <w:r w:rsidR="00C1299F">
        <w:rPr>
          <w:rFonts w:cstheme="minorHAnsi"/>
          <w:sz w:val="20"/>
          <w:szCs w:val="20"/>
          <w:u w:val="single"/>
        </w:rPr>
        <w:t xml:space="preserve"> </w:t>
      </w:r>
      <w:r w:rsidR="00C1299F" w:rsidRPr="00C1299F">
        <w:rPr>
          <w:rFonts w:cstheme="minorHAnsi"/>
          <w:sz w:val="20"/>
          <w:szCs w:val="20"/>
          <w:u w:val="single"/>
        </w:rPr>
        <w:t>S</w:t>
      </w:r>
      <w:r w:rsidR="002674F7">
        <w:rPr>
          <w:rFonts w:cstheme="minorHAnsi"/>
          <w:sz w:val="20"/>
          <w:szCs w:val="20"/>
          <w:u w:val="single"/>
        </w:rPr>
        <w:t>IGNIFOR</w:t>
      </w:r>
      <w:r w:rsidR="00C1299F" w:rsidRPr="00C1299F">
        <w:rPr>
          <w:rFonts w:cstheme="minorHAnsi"/>
          <w:sz w:val="20"/>
          <w:szCs w:val="20"/>
          <w:u w:val="single"/>
        </w:rPr>
        <w:t xml:space="preserve"> 60mg 1x za 28 dní</w:t>
      </w:r>
      <w:r w:rsidR="00C1299F" w:rsidRPr="00C1299F">
        <w:rPr>
          <w:rFonts w:cstheme="minorHAnsi"/>
          <w:sz w:val="20"/>
          <w:szCs w:val="20"/>
          <w:u w:val="single"/>
          <w:vertAlign w:val="superscript"/>
        </w:rPr>
        <w:t xml:space="preserve"> </w:t>
      </w:r>
      <w:r w:rsidR="00C1299F" w:rsidRPr="00C1299F">
        <w:rPr>
          <w:rFonts w:cstheme="minorHAnsi"/>
          <w:sz w:val="20"/>
          <w:szCs w:val="20"/>
          <w:u w:val="single"/>
        </w:rPr>
        <w:t>+ S</w:t>
      </w:r>
      <w:r w:rsidR="002674F7">
        <w:rPr>
          <w:rFonts w:cstheme="minorHAnsi"/>
          <w:sz w:val="20"/>
          <w:szCs w:val="20"/>
          <w:u w:val="single"/>
        </w:rPr>
        <w:t>OMAVERT</w:t>
      </w:r>
      <w:r w:rsidR="00C1299F" w:rsidRPr="00C1299F">
        <w:rPr>
          <w:rFonts w:cstheme="minorHAnsi"/>
          <w:sz w:val="20"/>
          <w:szCs w:val="20"/>
          <w:u w:val="single"/>
        </w:rPr>
        <w:t xml:space="preserve"> </w:t>
      </w:r>
      <w:r w:rsidR="00C1299F">
        <w:rPr>
          <w:rFonts w:cstheme="minorHAnsi"/>
          <w:sz w:val="20"/>
          <w:szCs w:val="20"/>
          <w:u w:val="single"/>
        </w:rPr>
        <w:t>3</w:t>
      </w:r>
      <w:r w:rsidR="00C1299F" w:rsidRPr="00C1299F">
        <w:rPr>
          <w:rFonts w:cstheme="minorHAnsi"/>
          <w:sz w:val="20"/>
          <w:szCs w:val="20"/>
          <w:u w:val="single"/>
        </w:rPr>
        <w:t>0mg</w:t>
      </w:r>
      <w:r w:rsidR="002674F7">
        <w:rPr>
          <w:rFonts w:cstheme="minorHAnsi"/>
          <w:sz w:val="20"/>
          <w:szCs w:val="20"/>
          <w:u w:val="single"/>
        </w:rPr>
        <w:t>/den</w:t>
      </w:r>
      <w:r w:rsidR="00C33600" w:rsidRPr="00E84463">
        <w:rPr>
          <w:rFonts w:cstheme="minorHAnsi"/>
          <w:sz w:val="20"/>
          <w:szCs w:val="20"/>
          <w:u w:val="single"/>
        </w:rPr>
        <w:t>.</w:t>
      </w:r>
    </w:p>
    <w:p w:rsidR="009A1A96" w:rsidRPr="004B0D0B" w:rsidRDefault="009A1A96" w:rsidP="006B27A6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4B0D0B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 xml:space="preserve">Náklady za léčbu byly kalkulovány </w:t>
      </w:r>
      <w:r w:rsidRPr="004B0D0B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dle jednotkových </w:t>
      </w:r>
      <w:r w:rsidRPr="004B0D0B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cen za samotné LP</w:t>
      </w:r>
      <w:r w:rsidRPr="004B0D0B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(viz vysvětlení níže) </w:t>
      </w:r>
      <w:r w:rsidRPr="004B0D0B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při různ</w:t>
      </w:r>
      <w:r w:rsidR="00FA3B9B" w:rsidRPr="004B0D0B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é</w:t>
      </w:r>
      <w:r w:rsidRPr="004B0D0B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 xml:space="preserve"> výš</w:t>
      </w:r>
      <w:r w:rsidR="00FA3B9B" w:rsidRPr="004B0D0B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i</w:t>
      </w:r>
      <w:r w:rsidRPr="004B0D0B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 xml:space="preserve"> dávek LP</w:t>
      </w:r>
      <w:r w:rsidRPr="004B0D0B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(viz „</w:t>
      </w:r>
      <w:r w:rsidRPr="004B0D0B">
        <w:rPr>
          <w:rFonts w:cstheme="minorHAnsi"/>
          <w:sz w:val="20"/>
          <w:szCs w:val="20"/>
        </w:rPr>
        <w:t xml:space="preserve">Tabulka </w:t>
      </w:r>
      <w:proofErr w:type="spellStart"/>
      <w:r w:rsidRPr="004B0D0B">
        <w:rPr>
          <w:rFonts w:cstheme="minorHAnsi"/>
          <w:sz w:val="20"/>
          <w:szCs w:val="20"/>
        </w:rPr>
        <w:t>komparátorových</w:t>
      </w:r>
      <w:proofErr w:type="spellEnd"/>
      <w:r w:rsidRPr="004B0D0B">
        <w:rPr>
          <w:rFonts w:cstheme="minorHAnsi"/>
          <w:sz w:val="20"/>
          <w:szCs w:val="20"/>
        </w:rPr>
        <w:t xml:space="preserve"> režimů k LP SIGNIFOR“ výše </w:t>
      </w:r>
      <w:r w:rsidRPr="00F11670">
        <w:rPr>
          <w:rFonts w:cstheme="minorHAnsi"/>
          <w:sz w:val="20"/>
          <w:szCs w:val="20"/>
        </w:rPr>
        <w:t xml:space="preserve">a </w:t>
      </w:r>
      <w:r w:rsidRPr="004B0D0B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vysvětlení uvedené </w:t>
      </w:r>
      <w:r w:rsidR="00F11670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v bodu </w:t>
      </w:r>
      <w:r w:rsidRPr="004B0D0B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níže), do nákladů byly </w:t>
      </w:r>
      <w:r w:rsidRPr="004B0D0B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navíc započítávány další přímé zdravot</w:t>
      </w:r>
      <w:r w:rsidR="00F11670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nické</w:t>
      </w:r>
      <w:r w:rsidRPr="004B0D0B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 xml:space="preserve"> náklady vynakládané ve FN Olomouc ve spojitosti s</w:t>
      </w:r>
      <w:r w:rsidR="006B27A6" w:rsidRPr="004B0D0B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 </w:t>
      </w:r>
      <w:r w:rsidRPr="004B0D0B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podáváním</w:t>
      </w:r>
      <w:r w:rsidR="006B27A6" w:rsidRPr="004B0D0B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 xml:space="preserve"> </w:t>
      </w:r>
      <w:r w:rsidR="008D1BA9" w:rsidRPr="004B0D0B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těchto LP, konkrétně viz pozn. 81</w:t>
      </w:r>
      <w:r w:rsidR="00341527" w:rsidRPr="004B0D0B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.</w:t>
      </w:r>
    </w:p>
    <w:p w:rsidR="001A124B" w:rsidRPr="004B0D0B" w:rsidRDefault="001A124B" w:rsidP="001A124B">
      <w:pPr>
        <w:pStyle w:val="Odstavecseseznamem"/>
        <w:numPr>
          <w:ilvl w:val="0"/>
          <w:numId w:val="5"/>
        </w:numPr>
        <w:spacing w:after="0" w:line="256" w:lineRule="auto"/>
        <w:jc w:val="both"/>
        <w:rPr>
          <w:rFonts w:cstheme="minorHAnsi"/>
          <w:sz w:val="20"/>
          <w:szCs w:val="20"/>
        </w:rPr>
      </w:pPr>
      <w:r w:rsidRPr="004B0D0B">
        <w:rPr>
          <w:rFonts w:cstheme="minorHAnsi"/>
          <w:sz w:val="20"/>
          <w:szCs w:val="20"/>
        </w:rPr>
        <w:t xml:space="preserve">Analýza byla provedena z perspektivy nemocnice – </w:t>
      </w:r>
      <w:r w:rsidR="00F11670">
        <w:rPr>
          <w:rFonts w:cstheme="minorHAnsi"/>
          <w:sz w:val="20"/>
          <w:szCs w:val="20"/>
        </w:rPr>
        <w:t xml:space="preserve">tzn. </w:t>
      </w:r>
      <w:r w:rsidRPr="004B0D0B">
        <w:rPr>
          <w:rFonts w:cstheme="minorHAnsi"/>
          <w:sz w:val="20"/>
          <w:szCs w:val="20"/>
        </w:rPr>
        <w:t xml:space="preserve">jako jednotkové </w:t>
      </w:r>
      <w:r w:rsidRPr="004B0D0B">
        <w:rPr>
          <w:rFonts w:cstheme="minorHAnsi"/>
          <w:b/>
          <w:sz w:val="20"/>
          <w:szCs w:val="20"/>
        </w:rPr>
        <w:t>ceny za jednotlivé LP</w:t>
      </w:r>
      <w:r w:rsidR="00DB3837" w:rsidRPr="004B0D0B">
        <w:rPr>
          <w:rFonts w:cstheme="minorHAnsi"/>
          <w:b/>
          <w:sz w:val="20"/>
          <w:szCs w:val="20"/>
        </w:rPr>
        <w:t xml:space="preserve"> (konkrétně: NC s DPH)</w:t>
      </w:r>
      <w:r w:rsidRPr="004B0D0B">
        <w:rPr>
          <w:rFonts w:cstheme="minorHAnsi"/>
          <w:b/>
          <w:sz w:val="20"/>
          <w:szCs w:val="20"/>
        </w:rPr>
        <w:t xml:space="preserve"> byly použity údaje z lékárenského SW FN Olomouc k datu </w:t>
      </w:r>
      <w:r w:rsidR="00DB3837" w:rsidRPr="004B0D0B">
        <w:rPr>
          <w:rFonts w:cstheme="minorHAnsi"/>
          <w:b/>
          <w:sz w:val="20"/>
          <w:szCs w:val="20"/>
        </w:rPr>
        <w:t>10. 3</w:t>
      </w:r>
      <w:r w:rsidRPr="004B0D0B">
        <w:rPr>
          <w:rFonts w:cstheme="minorHAnsi"/>
          <w:b/>
          <w:sz w:val="20"/>
          <w:szCs w:val="20"/>
        </w:rPr>
        <w:t xml:space="preserve">. 2023, kromě: LP </w:t>
      </w:r>
      <w:r w:rsidR="00DB3837" w:rsidRPr="004B0D0B">
        <w:rPr>
          <w:rFonts w:cstheme="minorHAnsi"/>
          <w:b/>
          <w:sz w:val="20"/>
          <w:szCs w:val="20"/>
        </w:rPr>
        <w:t xml:space="preserve">SOMAVERT </w:t>
      </w:r>
      <w:proofErr w:type="spellStart"/>
      <w:r w:rsidR="00DB3837" w:rsidRPr="004B0D0B">
        <w:rPr>
          <w:rFonts w:cstheme="minorHAnsi"/>
          <w:b/>
          <w:sz w:val="20"/>
          <w:szCs w:val="20"/>
        </w:rPr>
        <w:t>inj</w:t>
      </w:r>
      <w:proofErr w:type="spellEnd"/>
      <w:r w:rsidR="00DB3837" w:rsidRPr="004B0D0B">
        <w:rPr>
          <w:rFonts w:cstheme="minorHAnsi"/>
          <w:b/>
          <w:sz w:val="20"/>
          <w:szCs w:val="20"/>
        </w:rPr>
        <w:t xml:space="preserve">. 30x 10mg a SOMAVERT </w:t>
      </w:r>
      <w:proofErr w:type="spellStart"/>
      <w:r w:rsidR="00DB3837" w:rsidRPr="004B0D0B">
        <w:rPr>
          <w:rFonts w:cstheme="minorHAnsi"/>
          <w:b/>
          <w:sz w:val="20"/>
          <w:szCs w:val="20"/>
        </w:rPr>
        <w:t>inj</w:t>
      </w:r>
      <w:proofErr w:type="spellEnd"/>
      <w:r w:rsidR="00DB3837" w:rsidRPr="004B0D0B">
        <w:rPr>
          <w:rFonts w:cstheme="minorHAnsi"/>
          <w:b/>
          <w:sz w:val="20"/>
          <w:szCs w:val="20"/>
        </w:rPr>
        <w:t xml:space="preserve">. 30x 30mg – zde byly použity jako jednotkové ceny (konkrétně: NC s DPH) ceny </w:t>
      </w:r>
      <w:r w:rsidRPr="004B0D0B">
        <w:rPr>
          <w:rFonts w:cstheme="minorHAnsi"/>
          <w:b/>
          <w:sz w:val="20"/>
          <w:szCs w:val="20"/>
        </w:rPr>
        <w:t xml:space="preserve">dle </w:t>
      </w:r>
      <w:r w:rsidR="00DB3837" w:rsidRPr="004B0D0B">
        <w:rPr>
          <w:rFonts w:cstheme="minorHAnsi"/>
          <w:b/>
          <w:sz w:val="20"/>
          <w:szCs w:val="20"/>
        </w:rPr>
        <w:t>ceníku distribuční firmy Phoenix z 10. 3. 2023</w:t>
      </w:r>
      <w:r w:rsidRPr="004B0D0B">
        <w:rPr>
          <w:rFonts w:cstheme="minorHAnsi"/>
          <w:b/>
          <w:sz w:val="20"/>
          <w:szCs w:val="20"/>
        </w:rPr>
        <w:t>,</w:t>
      </w:r>
      <w:r w:rsidR="00470CFD" w:rsidRPr="004B0D0B">
        <w:rPr>
          <w:rFonts w:cstheme="minorHAnsi"/>
          <w:b/>
          <w:sz w:val="20"/>
          <w:szCs w:val="20"/>
        </w:rPr>
        <w:t xml:space="preserve"> </w:t>
      </w:r>
      <w:r w:rsidR="00F11670">
        <w:rPr>
          <w:rFonts w:cstheme="minorHAnsi"/>
          <w:b/>
          <w:sz w:val="20"/>
          <w:szCs w:val="20"/>
        </w:rPr>
        <w:t xml:space="preserve">u </w:t>
      </w:r>
      <w:r w:rsidR="00470CFD" w:rsidRPr="004B0D0B">
        <w:rPr>
          <w:rFonts w:cstheme="minorHAnsi"/>
          <w:b/>
          <w:sz w:val="20"/>
          <w:szCs w:val="20"/>
        </w:rPr>
        <w:t xml:space="preserve">LP SIGNIFOR </w:t>
      </w:r>
      <w:proofErr w:type="spellStart"/>
      <w:r w:rsidR="00470CFD" w:rsidRPr="004B0D0B">
        <w:rPr>
          <w:rFonts w:cstheme="minorHAnsi"/>
          <w:b/>
          <w:sz w:val="20"/>
          <w:szCs w:val="20"/>
        </w:rPr>
        <w:t>inj</w:t>
      </w:r>
      <w:proofErr w:type="spellEnd"/>
      <w:r w:rsidR="00470CFD" w:rsidRPr="004B0D0B">
        <w:rPr>
          <w:rFonts w:cstheme="minorHAnsi"/>
          <w:b/>
          <w:sz w:val="20"/>
          <w:szCs w:val="20"/>
        </w:rPr>
        <w:t xml:space="preserve">. 1x 40mg a SIGNIFOR </w:t>
      </w:r>
      <w:proofErr w:type="spellStart"/>
      <w:r w:rsidR="00470CFD" w:rsidRPr="004B0D0B">
        <w:rPr>
          <w:rFonts w:cstheme="minorHAnsi"/>
          <w:b/>
          <w:sz w:val="20"/>
          <w:szCs w:val="20"/>
        </w:rPr>
        <w:t>inj</w:t>
      </w:r>
      <w:proofErr w:type="spellEnd"/>
      <w:r w:rsidR="00470CFD" w:rsidRPr="004B0D0B">
        <w:rPr>
          <w:rFonts w:cstheme="minorHAnsi"/>
          <w:b/>
          <w:sz w:val="20"/>
          <w:szCs w:val="20"/>
        </w:rPr>
        <w:t>. 1x 60mg</w:t>
      </w:r>
      <w:r w:rsidRPr="004B0D0B">
        <w:rPr>
          <w:rFonts w:cstheme="minorHAnsi"/>
          <w:sz w:val="20"/>
          <w:szCs w:val="20"/>
        </w:rPr>
        <w:t xml:space="preserve"> </w:t>
      </w:r>
      <w:r w:rsidR="00F11670">
        <w:rPr>
          <w:rFonts w:cstheme="minorHAnsi"/>
          <w:sz w:val="20"/>
          <w:szCs w:val="20"/>
        </w:rPr>
        <w:t xml:space="preserve">pak </w:t>
      </w:r>
      <w:r w:rsidRPr="004B0D0B">
        <w:rPr>
          <w:rFonts w:cstheme="minorHAnsi"/>
          <w:sz w:val="20"/>
          <w:szCs w:val="20"/>
        </w:rPr>
        <w:t>dle</w:t>
      </w:r>
      <w:r w:rsidR="00FB40B0" w:rsidRPr="004B0D0B">
        <w:rPr>
          <w:rFonts w:cstheme="minorHAnsi"/>
          <w:sz w:val="20"/>
          <w:szCs w:val="20"/>
        </w:rPr>
        <w:t xml:space="preserve"> telefonického</w:t>
      </w:r>
      <w:r w:rsidRPr="004B0D0B">
        <w:rPr>
          <w:rFonts w:cstheme="minorHAnsi"/>
          <w:sz w:val="20"/>
          <w:szCs w:val="20"/>
        </w:rPr>
        <w:t xml:space="preserve"> zji</w:t>
      </w:r>
      <w:r w:rsidR="00470CFD" w:rsidRPr="004B0D0B">
        <w:rPr>
          <w:rFonts w:cstheme="minorHAnsi"/>
          <w:sz w:val="20"/>
          <w:szCs w:val="20"/>
        </w:rPr>
        <w:t>štění lékárny FNOL k</w:t>
      </w:r>
      <w:r w:rsidR="00FB40B0" w:rsidRPr="004B0D0B">
        <w:rPr>
          <w:rFonts w:cstheme="minorHAnsi"/>
          <w:sz w:val="20"/>
          <w:szCs w:val="20"/>
        </w:rPr>
        <w:t> datu 14. 2. 2023</w:t>
      </w:r>
      <w:r w:rsidR="00470CFD" w:rsidRPr="004B0D0B">
        <w:rPr>
          <w:rFonts w:cstheme="minorHAnsi"/>
          <w:sz w:val="20"/>
          <w:szCs w:val="20"/>
        </w:rPr>
        <w:t xml:space="preserve"> u f</w:t>
      </w:r>
      <w:r w:rsidR="00FB40B0" w:rsidRPr="004B0D0B">
        <w:rPr>
          <w:rFonts w:cstheme="minorHAnsi"/>
          <w:sz w:val="20"/>
          <w:szCs w:val="20"/>
        </w:rPr>
        <w:t>i</w:t>
      </w:r>
      <w:r w:rsidR="00470CFD" w:rsidRPr="004B0D0B">
        <w:rPr>
          <w:rFonts w:cstheme="minorHAnsi"/>
          <w:sz w:val="20"/>
          <w:szCs w:val="20"/>
        </w:rPr>
        <w:t xml:space="preserve">rmy </w:t>
      </w:r>
      <w:proofErr w:type="spellStart"/>
      <w:r w:rsidR="00470CFD" w:rsidRPr="004B0D0B">
        <w:rPr>
          <w:rFonts w:cstheme="minorHAnsi"/>
          <w:sz w:val="20"/>
          <w:szCs w:val="20"/>
        </w:rPr>
        <w:t>Herbacos</w:t>
      </w:r>
      <w:proofErr w:type="spellEnd"/>
      <w:r w:rsidR="00470CFD" w:rsidRPr="004B0D0B">
        <w:rPr>
          <w:rFonts w:cstheme="minorHAnsi"/>
          <w:sz w:val="20"/>
          <w:szCs w:val="20"/>
        </w:rPr>
        <w:t xml:space="preserve"> </w:t>
      </w:r>
      <w:proofErr w:type="spellStart"/>
      <w:r w:rsidR="00470CFD" w:rsidRPr="004B0D0B">
        <w:rPr>
          <w:rFonts w:cstheme="minorHAnsi"/>
          <w:sz w:val="20"/>
          <w:szCs w:val="20"/>
        </w:rPr>
        <w:t>Recordati</w:t>
      </w:r>
      <w:proofErr w:type="spellEnd"/>
      <w:r w:rsidR="00470CFD" w:rsidRPr="004B0D0B">
        <w:rPr>
          <w:rFonts w:cstheme="minorHAnsi"/>
          <w:sz w:val="20"/>
          <w:szCs w:val="20"/>
        </w:rPr>
        <w:t xml:space="preserve"> zajišťující distribuci tohoto LP v ČR.</w:t>
      </w:r>
      <w:r w:rsidR="00F60AF6" w:rsidRPr="004B0D0B">
        <w:rPr>
          <w:rFonts w:cstheme="minorHAnsi"/>
          <w:sz w:val="20"/>
          <w:szCs w:val="20"/>
        </w:rPr>
        <w:t xml:space="preserve"> Pro přehled jednotkových cen LP viz Přílohu č. 25</w:t>
      </w:r>
      <w:r w:rsidR="00341527" w:rsidRPr="004B0D0B">
        <w:rPr>
          <w:rFonts w:cstheme="minorHAnsi"/>
          <w:sz w:val="20"/>
          <w:szCs w:val="20"/>
        </w:rPr>
        <w:t>.</w:t>
      </w:r>
    </w:p>
    <w:p w:rsidR="007746DA" w:rsidRPr="004B0D0B" w:rsidRDefault="000616B8" w:rsidP="007746DA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4B0D0B">
        <w:rPr>
          <w:rFonts w:cstheme="minorHAnsi"/>
          <w:b/>
          <w:sz w:val="20"/>
          <w:szCs w:val="20"/>
        </w:rPr>
        <w:t>Rozmezí dávek</w:t>
      </w:r>
      <w:r w:rsidRPr="004B0D0B">
        <w:rPr>
          <w:rFonts w:cstheme="minorHAnsi"/>
          <w:sz w:val="20"/>
          <w:szCs w:val="20"/>
        </w:rPr>
        <w:t xml:space="preserve"> </w:t>
      </w:r>
      <w:r w:rsidR="009276BC">
        <w:rPr>
          <w:rFonts w:cstheme="minorHAnsi"/>
          <w:sz w:val="20"/>
          <w:szCs w:val="20"/>
        </w:rPr>
        <w:t xml:space="preserve">pro CEA i BIA </w:t>
      </w:r>
      <w:r w:rsidRPr="004B0D0B">
        <w:rPr>
          <w:rFonts w:cstheme="minorHAnsi"/>
          <w:sz w:val="20"/>
          <w:szCs w:val="20"/>
        </w:rPr>
        <w:t xml:space="preserve">bylo vzato z minimální a maximální hodnoty mediánových či průměrných hodnot </w:t>
      </w:r>
      <w:r w:rsidR="00F11670">
        <w:rPr>
          <w:rFonts w:cstheme="minorHAnsi"/>
          <w:sz w:val="20"/>
          <w:szCs w:val="20"/>
        </w:rPr>
        <w:t xml:space="preserve">dávek z </w:t>
      </w:r>
      <w:r w:rsidRPr="004B0D0B">
        <w:rPr>
          <w:rFonts w:cstheme="minorHAnsi"/>
          <w:sz w:val="20"/>
          <w:szCs w:val="20"/>
        </w:rPr>
        <w:t>jednotlivých studií (</w:t>
      </w:r>
      <w:r w:rsidR="00F11670">
        <w:rPr>
          <w:rFonts w:cstheme="minorHAnsi"/>
          <w:sz w:val="20"/>
          <w:szCs w:val="20"/>
        </w:rPr>
        <w:t xml:space="preserve">jak </w:t>
      </w:r>
      <w:r w:rsidRPr="004B0D0B">
        <w:rPr>
          <w:rFonts w:cstheme="minorHAnsi"/>
          <w:sz w:val="20"/>
          <w:szCs w:val="20"/>
        </w:rPr>
        <w:t>RCT</w:t>
      </w:r>
      <w:r w:rsidR="00F11670">
        <w:rPr>
          <w:rFonts w:cstheme="minorHAnsi"/>
          <w:sz w:val="20"/>
          <w:szCs w:val="20"/>
        </w:rPr>
        <w:t>, tak</w:t>
      </w:r>
      <w:r w:rsidRPr="004B0D0B">
        <w:rPr>
          <w:rFonts w:cstheme="minorHAnsi"/>
          <w:sz w:val="20"/>
          <w:szCs w:val="20"/>
        </w:rPr>
        <w:t xml:space="preserve"> i retrospektivních) pro jednotlivé lékové režimy zvláště </w:t>
      </w:r>
      <w:r w:rsidRPr="004B0D0B">
        <w:rPr>
          <w:rFonts w:cstheme="minorHAnsi"/>
          <w:sz w:val="20"/>
          <w:szCs w:val="20"/>
          <w:u w:val="single"/>
        </w:rPr>
        <w:t>pro období 1. roku</w:t>
      </w:r>
      <w:r w:rsidRPr="004B0D0B">
        <w:rPr>
          <w:rFonts w:cstheme="minorHAnsi"/>
          <w:sz w:val="20"/>
          <w:szCs w:val="20"/>
        </w:rPr>
        <w:t xml:space="preserve"> (</w:t>
      </w:r>
      <w:r w:rsidR="00F11670">
        <w:rPr>
          <w:rFonts w:cstheme="minorHAnsi"/>
          <w:sz w:val="20"/>
          <w:szCs w:val="20"/>
        </w:rPr>
        <w:t xml:space="preserve">zahrnuty byly </w:t>
      </w:r>
      <w:r w:rsidRPr="004B0D0B">
        <w:rPr>
          <w:rFonts w:cstheme="minorHAnsi"/>
          <w:sz w:val="20"/>
          <w:szCs w:val="20"/>
        </w:rPr>
        <w:t>studie s délkou podávání studované medikace (ať absolutních či mediánových hodnot) 36 až 52 týdnů, výjimkou bylo vybrané rozmezí 10-30mg/den pro SOMAVERT v kombinačním režimu s FGSSA ze studie s mediánem doby 5,8 let kvůli jen jedné nalezené studii s obdobím do 1 roku</w:t>
      </w:r>
      <w:r w:rsidR="000D4CF0" w:rsidRPr="004B0D0B">
        <w:rPr>
          <w:rFonts w:cstheme="minorHAnsi"/>
          <w:sz w:val="20"/>
          <w:szCs w:val="20"/>
        </w:rPr>
        <w:t xml:space="preserve"> za účelem rozšíření hodnoceného rozmezí</w:t>
      </w:r>
      <w:r w:rsidRPr="004B0D0B">
        <w:rPr>
          <w:rFonts w:cstheme="minorHAnsi"/>
          <w:sz w:val="20"/>
          <w:szCs w:val="20"/>
        </w:rPr>
        <w:t xml:space="preserve">) a </w:t>
      </w:r>
      <w:r w:rsidR="000D4CF0" w:rsidRPr="004B0D0B">
        <w:rPr>
          <w:rFonts w:cstheme="minorHAnsi"/>
          <w:sz w:val="20"/>
          <w:szCs w:val="20"/>
          <w:u w:val="single"/>
        </w:rPr>
        <w:t xml:space="preserve">doplňkově (jako analýza scénářů) </w:t>
      </w:r>
      <w:r w:rsidRPr="004B0D0B">
        <w:rPr>
          <w:rFonts w:cstheme="minorHAnsi"/>
          <w:sz w:val="20"/>
          <w:szCs w:val="20"/>
          <w:u w:val="single"/>
        </w:rPr>
        <w:t>pro období 3 let</w:t>
      </w:r>
      <w:r w:rsidR="000D4CF0" w:rsidRPr="004B0D0B">
        <w:rPr>
          <w:rFonts w:cstheme="minorHAnsi"/>
          <w:sz w:val="20"/>
          <w:szCs w:val="20"/>
        </w:rPr>
        <w:t xml:space="preserve"> (</w:t>
      </w:r>
      <w:r w:rsidR="00F11670">
        <w:rPr>
          <w:rFonts w:cstheme="minorHAnsi"/>
          <w:sz w:val="20"/>
          <w:szCs w:val="20"/>
        </w:rPr>
        <w:t xml:space="preserve">zahrnuty byly </w:t>
      </w:r>
      <w:r w:rsidR="000D4CF0" w:rsidRPr="004B0D0B">
        <w:rPr>
          <w:rFonts w:cstheme="minorHAnsi"/>
          <w:sz w:val="20"/>
          <w:szCs w:val="20"/>
        </w:rPr>
        <w:t>studie s délkou podávání studované medikace (ať absolutních či mediánových hodnot) 52 týdnů až 6,5 let)</w:t>
      </w:r>
      <w:r w:rsidR="00CF7402" w:rsidRPr="004B0D0B">
        <w:rPr>
          <w:rFonts w:cstheme="minorHAnsi"/>
          <w:sz w:val="20"/>
          <w:szCs w:val="20"/>
        </w:rPr>
        <w:t xml:space="preserve"> přednostně za celou populaci (tj. </w:t>
      </w:r>
      <w:r w:rsidR="00F11670">
        <w:rPr>
          <w:rFonts w:cstheme="minorHAnsi"/>
          <w:sz w:val="20"/>
          <w:szCs w:val="20"/>
        </w:rPr>
        <w:t xml:space="preserve">jak </w:t>
      </w:r>
      <w:proofErr w:type="spellStart"/>
      <w:r w:rsidR="00CF7402" w:rsidRPr="004B0D0B">
        <w:rPr>
          <w:rFonts w:cstheme="minorHAnsi"/>
          <w:sz w:val="20"/>
          <w:szCs w:val="20"/>
        </w:rPr>
        <w:t>resp</w:t>
      </w:r>
      <w:r w:rsidR="00F11670">
        <w:rPr>
          <w:rFonts w:cstheme="minorHAnsi"/>
          <w:sz w:val="20"/>
          <w:szCs w:val="20"/>
        </w:rPr>
        <w:t>o</w:t>
      </w:r>
      <w:r w:rsidR="00CF7402" w:rsidRPr="004B0D0B">
        <w:rPr>
          <w:rFonts w:cstheme="minorHAnsi"/>
          <w:sz w:val="20"/>
          <w:szCs w:val="20"/>
        </w:rPr>
        <w:t>ndéři</w:t>
      </w:r>
      <w:proofErr w:type="spellEnd"/>
      <w:r w:rsidR="00F11670">
        <w:rPr>
          <w:rFonts w:cstheme="minorHAnsi"/>
          <w:sz w:val="20"/>
          <w:szCs w:val="20"/>
        </w:rPr>
        <w:t>, tak</w:t>
      </w:r>
      <w:r w:rsidR="00CF7402" w:rsidRPr="004B0D0B">
        <w:rPr>
          <w:rFonts w:cstheme="minorHAnsi"/>
          <w:sz w:val="20"/>
          <w:szCs w:val="20"/>
        </w:rPr>
        <w:t xml:space="preserve"> i non-</w:t>
      </w:r>
      <w:proofErr w:type="spellStart"/>
      <w:r w:rsidR="00CF7402" w:rsidRPr="004B0D0B">
        <w:rPr>
          <w:rFonts w:cstheme="minorHAnsi"/>
          <w:sz w:val="20"/>
          <w:szCs w:val="20"/>
        </w:rPr>
        <w:t>respondéři</w:t>
      </w:r>
      <w:proofErr w:type="spellEnd"/>
      <w:r w:rsidR="00CF7402" w:rsidRPr="004B0D0B">
        <w:rPr>
          <w:rFonts w:cstheme="minorHAnsi"/>
          <w:sz w:val="20"/>
          <w:szCs w:val="20"/>
        </w:rPr>
        <w:t>), výjimkou byly 2 studie pro SOMAVERT v kombinačním režimu s FGSSA kde byl</w:t>
      </w:r>
      <w:r w:rsidR="00F11670">
        <w:rPr>
          <w:rFonts w:cstheme="minorHAnsi"/>
          <w:sz w:val="20"/>
          <w:szCs w:val="20"/>
        </w:rPr>
        <w:t>y</w:t>
      </w:r>
      <w:r w:rsidR="00CF7402" w:rsidRPr="004B0D0B">
        <w:rPr>
          <w:rFonts w:cstheme="minorHAnsi"/>
          <w:sz w:val="20"/>
          <w:szCs w:val="20"/>
        </w:rPr>
        <w:t xml:space="preserve"> jen údaje dávkování pro </w:t>
      </w:r>
      <w:proofErr w:type="spellStart"/>
      <w:r w:rsidR="00CF7402" w:rsidRPr="004B0D0B">
        <w:rPr>
          <w:rFonts w:cstheme="minorHAnsi"/>
          <w:sz w:val="20"/>
          <w:szCs w:val="20"/>
        </w:rPr>
        <w:t>respondéry</w:t>
      </w:r>
      <w:proofErr w:type="spellEnd"/>
      <w:r w:rsidR="000D4CF0" w:rsidRPr="004B0D0B">
        <w:rPr>
          <w:rFonts w:cstheme="minorHAnsi"/>
          <w:sz w:val="20"/>
          <w:szCs w:val="20"/>
        </w:rPr>
        <w:t xml:space="preserve">. </w:t>
      </w:r>
      <w:r w:rsidR="00F11670">
        <w:rPr>
          <w:rFonts w:cstheme="minorHAnsi"/>
          <w:sz w:val="20"/>
          <w:szCs w:val="20"/>
        </w:rPr>
        <w:t>Vybraná d</w:t>
      </w:r>
      <w:r w:rsidR="000D4CF0" w:rsidRPr="004B0D0B">
        <w:rPr>
          <w:rFonts w:cstheme="minorHAnsi"/>
          <w:sz w:val="20"/>
          <w:szCs w:val="20"/>
        </w:rPr>
        <w:t>ávkování byl</w:t>
      </w:r>
      <w:r w:rsidR="00F11670">
        <w:rPr>
          <w:rFonts w:cstheme="minorHAnsi"/>
          <w:sz w:val="20"/>
          <w:szCs w:val="20"/>
        </w:rPr>
        <w:t>a pak</w:t>
      </w:r>
      <w:r w:rsidR="000D4CF0" w:rsidRPr="004B0D0B">
        <w:rPr>
          <w:rFonts w:cstheme="minorHAnsi"/>
          <w:sz w:val="20"/>
          <w:szCs w:val="20"/>
        </w:rPr>
        <w:t xml:space="preserve"> zaokrouhlen</w:t>
      </w:r>
      <w:r w:rsidR="00F11670">
        <w:rPr>
          <w:rFonts w:cstheme="minorHAnsi"/>
          <w:sz w:val="20"/>
          <w:szCs w:val="20"/>
        </w:rPr>
        <w:t>a</w:t>
      </w:r>
      <w:r w:rsidR="000D4CF0" w:rsidRPr="004B0D0B">
        <w:rPr>
          <w:rFonts w:cstheme="minorHAnsi"/>
          <w:sz w:val="20"/>
          <w:szCs w:val="20"/>
        </w:rPr>
        <w:t xml:space="preserve"> u SOMAVERTU na nejbližší celou dávku použitelnou v prostředí dostupnosti velikosti dávek dan</w:t>
      </w:r>
      <w:r w:rsidR="00EE3494" w:rsidRPr="004B0D0B">
        <w:rPr>
          <w:rFonts w:cstheme="minorHAnsi"/>
          <w:sz w:val="20"/>
          <w:szCs w:val="20"/>
        </w:rPr>
        <w:t>é</w:t>
      </w:r>
      <w:r w:rsidR="000D4CF0" w:rsidRPr="004B0D0B">
        <w:rPr>
          <w:rFonts w:cstheme="minorHAnsi"/>
          <w:sz w:val="20"/>
          <w:szCs w:val="20"/>
        </w:rPr>
        <w:t>ho LP na trhu v ČR.</w:t>
      </w:r>
      <w:r w:rsidR="00EE3494" w:rsidRPr="004B0D0B">
        <w:rPr>
          <w:rFonts w:cstheme="minorHAnsi"/>
          <w:sz w:val="20"/>
          <w:szCs w:val="20"/>
        </w:rPr>
        <w:t xml:space="preserve"> V</w:t>
      </w:r>
      <w:r w:rsidR="00EE3494" w:rsidRPr="004B0D0B">
        <w:rPr>
          <w:rStyle w:val="Hypertextovodkaz"/>
          <w:rFonts w:cstheme="minorHAnsi"/>
          <w:color w:val="auto"/>
          <w:sz w:val="20"/>
          <w:szCs w:val="20"/>
          <w:u w:val="none"/>
        </w:rPr>
        <w:t>iz „</w:t>
      </w:r>
      <w:r w:rsidR="00EE3494" w:rsidRPr="004B0D0B">
        <w:rPr>
          <w:rFonts w:cstheme="minorHAnsi"/>
          <w:sz w:val="20"/>
          <w:szCs w:val="20"/>
        </w:rPr>
        <w:t xml:space="preserve">Tabulka </w:t>
      </w:r>
      <w:proofErr w:type="spellStart"/>
      <w:r w:rsidR="00EE3494" w:rsidRPr="004B0D0B">
        <w:rPr>
          <w:rFonts w:cstheme="minorHAnsi"/>
          <w:sz w:val="20"/>
          <w:szCs w:val="20"/>
        </w:rPr>
        <w:t>komparátorových</w:t>
      </w:r>
      <w:proofErr w:type="spellEnd"/>
      <w:r w:rsidR="00EE3494" w:rsidRPr="004B0D0B">
        <w:rPr>
          <w:rFonts w:cstheme="minorHAnsi"/>
          <w:sz w:val="20"/>
          <w:szCs w:val="20"/>
        </w:rPr>
        <w:t xml:space="preserve"> režimů k LP SIGNIFOR“ výše</w:t>
      </w:r>
      <w:r w:rsidR="00911A10" w:rsidRPr="004B0D0B">
        <w:rPr>
          <w:rFonts w:cstheme="minorHAnsi"/>
          <w:sz w:val="20"/>
          <w:szCs w:val="20"/>
        </w:rPr>
        <w:t xml:space="preserve"> (CAVE! do </w:t>
      </w:r>
      <w:r w:rsidR="00326C36" w:rsidRPr="004B0D0B">
        <w:rPr>
          <w:rFonts w:cstheme="minorHAnsi"/>
          <w:sz w:val="20"/>
          <w:szCs w:val="20"/>
        </w:rPr>
        <w:t xml:space="preserve">přehledu </w:t>
      </w:r>
      <w:r w:rsidR="00911A10" w:rsidRPr="004B0D0B">
        <w:rPr>
          <w:rFonts w:cstheme="minorHAnsi"/>
          <w:sz w:val="20"/>
          <w:szCs w:val="20"/>
        </w:rPr>
        <w:t>srovnání byly zahrnuty jen studie s co nejpodobnějšími vstupními a hodnotícími parametry!)</w:t>
      </w:r>
      <w:r w:rsidR="00EE3494" w:rsidRPr="004B0D0B">
        <w:rPr>
          <w:rFonts w:cstheme="minorHAnsi"/>
          <w:sz w:val="20"/>
          <w:szCs w:val="20"/>
        </w:rPr>
        <w:t>.</w:t>
      </w:r>
    </w:p>
    <w:p w:rsidR="00911A10" w:rsidRPr="004B0D0B" w:rsidRDefault="00911A10" w:rsidP="00911A10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4B0D0B">
        <w:rPr>
          <w:rFonts w:cstheme="minorHAnsi"/>
          <w:b/>
          <w:sz w:val="20"/>
          <w:szCs w:val="20"/>
        </w:rPr>
        <w:t xml:space="preserve">Rozmezí </w:t>
      </w:r>
      <w:proofErr w:type="spellStart"/>
      <w:r w:rsidRPr="004B0D0B">
        <w:rPr>
          <w:rFonts w:cstheme="minorHAnsi"/>
          <w:b/>
          <w:sz w:val="20"/>
          <w:szCs w:val="20"/>
        </w:rPr>
        <w:t>účin</w:t>
      </w:r>
      <w:r w:rsidR="00F11670">
        <w:rPr>
          <w:rFonts w:cstheme="minorHAnsi"/>
          <w:b/>
          <w:sz w:val="20"/>
          <w:szCs w:val="20"/>
        </w:rPr>
        <w:t>n</w:t>
      </w:r>
      <w:r w:rsidRPr="004B0D0B">
        <w:rPr>
          <w:rFonts w:cstheme="minorHAnsi"/>
          <w:b/>
          <w:sz w:val="20"/>
          <w:szCs w:val="20"/>
        </w:rPr>
        <w:t>ostního</w:t>
      </w:r>
      <w:proofErr w:type="spellEnd"/>
      <w:r w:rsidRPr="004B0D0B">
        <w:rPr>
          <w:rFonts w:cstheme="minorHAnsi"/>
          <w:b/>
          <w:sz w:val="20"/>
          <w:szCs w:val="20"/>
        </w:rPr>
        <w:t xml:space="preserve"> parametru (</w:t>
      </w:r>
      <w:r w:rsidR="00F11670">
        <w:rPr>
          <w:rFonts w:cstheme="minorHAnsi"/>
          <w:b/>
          <w:sz w:val="20"/>
          <w:szCs w:val="20"/>
        </w:rPr>
        <w:t xml:space="preserve">tj. </w:t>
      </w:r>
      <w:r w:rsidRPr="004B0D0B">
        <w:rPr>
          <w:rFonts w:cstheme="minorHAnsi"/>
          <w:b/>
          <w:sz w:val="20"/>
          <w:szCs w:val="20"/>
        </w:rPr>
        <w:t>normalizace IGF-1 – viz níže pozn. 13)</w:t>
      </w:r>
      <w:r w:rsidRPr="004B0D0B">
        <w:rPr>
          <w:rFonts w:cstheme="minorHAnsi"/>
          <w:sz w:val="20"/>
          <w:szCs w:val="20"/>
        </w:rPr>
        <w:t xml:space="preserve"> </w:t>
      </w:r>
      <w:r w:rsidR="009276BC">
        <w:rPr>
          <w:rFonts w:cstheme="minorHAnsi"/>
          <w:sz w:val="20"/>
          <w:szCs w:val="20"/>
        </w:rPr>
        <w:t xml:space="preserve">pro CEA </w:t>
      </w:r>
      <w:r w:rsidRPr="004B0D0B">
        <w:rPr>
          <w:rFonts w:cstheme="minorHAnsi"/>
          <w:sz w:val="20"/>
          <w:szCs w:val="20"/>
        </w:rPr>
        <w:t>bylo vzato z minimální a maximální</w:t>
      </w:r>
      <w:r w:rsidR="00F8206F" w:rsidRPr="004B0D0B">
        <w:rPr>
          <w:rFonts w:cstheme="minorHAnsi"/>
          <w:sz w:val="20"/>
          <w:szCs w:val="20"/>
        </w:rPr>
        <w:t xml:space="preserve"> bodové</w:t>
      </w:r>
      <w:r w:rsidRPr="004B0D0B">
        <w:rPr>
          <w:rFonts w:cstheme="minorHAnsi"/>
          <w:sz w:val="20"/>
          <w:szCs w:val="20"/>
        </w:rPr>
        <w:t xml:space="preserve"> hodnoty </w:t>
      </w:r>
      <w:r w:rsidR="00F8206F" w:rsidRPr="004B0D0B">
        <w:rPr>
          <w:rFonts w:cstheme="minorHAnsi"/>
          <w:sz w:val="20"/>
          <w:szCs w:val="20"/>
        </w:rPr>
        <w:t xml:space="preserve">(výjimkou byla jedna studie se SIGNIFOREM, kde byl uveden i 95% CI a použita byla jeho spodní hodnota za účelem rozšíření hodnoceného rozmezí) </w:t>
      </w:r>
      <w:r w:rsidRPr="004B0D0B">
        <w:rPr>
          <w:rFonts w:cstheme="minorHAnsi"/>
          <w:sz w:val="20"/>
          <w:szCs w:val="20"/>
        </w:rPr>
        <w:t>četnosti pacientů s dosažením toho parametru v jednotlivých studií (</w:t>
      </w:r>
      <w:r w:rsidR="00D82FDD">
        <w:rPr>
          <w:rFonts w:cstheme="minorHAnsi"/>
          <w:sz w:val="20"/>
          <w:szCs w:val="20"/>
        </w:rPr>
        <w:t xml:space="preserve">jak </w:t>
      </w:r>
      <w:r w:rsidRPr="004B0D0B">
        <w:rPr>
          <w:rFonts w:cstheme="minorHAnsi"/>
          <w:sz w:val="20"/>
          <w:szCs w:val="20"/>
        </w:rPr>
        <w:t>RCT</w:t>
      </w:r>
      <w:r w:rsidR="00D82FDD">
        <w:rPr>
          <w:rFonts w:cstheme="minorHAnsi"/>
          <w:sz w:val="20"/>
          <w:szCs w:val="20"/>
        </w:rPr>
        <w:t>, tak</w:t>
      </w:r>
      <w:r w:rsidRPr="004B0D0B">
        <w:rPr>
          <w:rFonts w:cstheme="minorHAnsi"/>
          <w:sz w:val="20"/>
          <w:szCs w:val="20"/>
        </w:rPr>
        <w:t xml:space="preserve"> i retrospektivních) pro jednotlivé lékové režimy</w:t>
      </w:r>
      <w:r w:rsidR="003E3040" w:rsidRPr="004B0D0B">
        <w:rPr>
          <w:rFonts w:cstheme="minorHAnsi"/>
          <w:sz w:val="20"/>
          <w:szCs w:val="20"/>
        </w:rPr>
        <w:t xml:space="preserve"> (výjimkou bylo použití hodnoty 33% pro 1. rok ze studie se SOMAVERTEM a </w:t>
      </w:r>
      <w:proofErr w:type="spellStart"/>
      <w:r w:rsidR="003E3040" w:rsidRPr="004B0D0B">
        <w:rPr>
          <w:rFonts w:cstheme="minorHAnsi"/>
          <w:sz w:val="20"/>
          <w:szCs w:val="20"/>
        </w:rPr>
        <w:t>add</w:t>
      </w:r>
      <w:proofErr w:type="spellEnd"/>
      <w:r w:rsidR="003E3040" w:rsidRPr="004B0D0B">
        <w:rPr>
          <w:rFonts w:cstheme="minorHAnsi"/>
          <w:sz w:val="20"/>
          <w:szCs w:val="20"/>
        </w:rPr>
        <w:t xml:space="preserve">-on FGSSA do kombinace za </w:t>
      </w:r>
      <w:r w:rsidR="00D82FDD">
        <w:rPr>
          <w:rFonts w:cstheme="minorHAnsi"/>
          <w:sz w:val="20"/>
          <w:szCs w:val="20"/>
        </w:rPr>
        <w:t xml:space="preserve">publikované </w:t>
      </w:r>
      <w:r w:rsidR="003E3040" w:rsidRPr="004B0D0B">
        <w:rPr>
          <w:rFonts w:cstheme="minorHAnsi"/>
          <w:sz w:val="20"/>
          <w:szCs w:val="20"/>
        </w:rPr>
        <w:t>období jen samostatně podávaného SOMAVERTU)</w:t>
      </w:r>
      <w:r w:rsidRPr="004B0D0B">
        <w:rPr>
          <w:rFonts w:cstheme="minorHAnsi"/>
          <w:sz w:val="20"/>
          <w:szCs w:val="20"/>
        </w:rPr>
        <w:t xml:space="preserve"> zvláště </w:t>
      </w:r>
      <w:r w:rsidRPr="004B0D0B">
        <w:rPr>
          <w:rFonts w:cstheme="minorHAnsi"/>
          <w:sz w:val="20"/>
          <w:szCs w:val="20"/>
          <w:u w:val="single"/>
        </w:rPr>
        <w:t>pro období 1. roku</w:t>
      </w:r>
      <w:r w:rsidRPr="004B0D0B">
        <w:rPr>
          <w:rFonts w:cstheme="minorHAnsi"/>
          <w:sz w:val="20"/>
          <w:szCs w:val="20"/>
        </w:rPr>
        <w:t xml:space="preserve"> (</w:t>
      </w:r>
      <w:r w:rsidR="00D82FDD">
        <w:rPr>
          <w:rFonts w:cstheme="minorHAnsi"/>
          <w:sz w:val="20"/>
          <w:szCs w:val="20"/>
        </w:rPr>
        <w:t xml:space="preserve">zahrnuty byly </w:t>
      </w:r>
      <w:r w:rsidRPr="004B0D0B">
        <w:rPr>
          <w:rFonts w:cstheme="minorHAnsi"/>
          <w:sz w:val="20"/>
          <w:szCs w:val="20"/>
        </w:rPr>
        <w:t>studie s délkou podávání studované medikace (ať absolutních či mediánových hodno</w:t>
      </w:r>
      <w:r w:rsidR="00204347" w:rsidRPr="004B0D0B">
        <w:rPr>
          <w:rFonts w:cstheme="minorHAnsi"/>
          <w:sz w:val="20"/>
          <w:szCs w:val="20"/>
        </w:rPr>
        <w:t>t) 36 až 52 týdnů, výjimkou byla</w:t>
      </w:r>
      <w:r w:rsidRPr="004B0D0B">
        <w:rPr>
          <w:rFonts w:cstheme="minorHAnsi"/>
          <w:sz w:val="20"/>
          <w:szCs w:val="20"/>
        </w:rPr>
        <w:t xml:space="preserve"> vybran</w:t>
      </w:r>
      <w:r w:rsidR="00204347" w:rsidRPr="004B0D0B">
        <w:rPr>
          <w:rFonts w:cstheme="minorHAnsi"/>
          <w:sz w:val="20"/>
          <w:szCs w:val="20"/>
        </w:rPr>
        <w:t xml:space="preserve">á hodnota 56% </w:t>
      </w:r>
      <w:r w:rsidRPr="004B0D0B">
        <w:rPr>
          <w:rFonts w:cstheme="minorHAnsi"/>
          <w:sz w:val="20"/>
          <w:szCs w:val="20"/>
        </w:rPr>
        <w:t xml:space="preserve">pro SOMAVERT v kombinačním režimu s FGSSA ze studie s mediánem doby 5,8 let kvůli jen jedné nalezené studii s obdobím do 1 roku za účelem rozšíření hodnoceného rozmezí) a </w:t>
      </w:r>
      <w:r w:rsidRPr="004B0D0B">
        <w:rPr>
          <w:rFonts w:cstheme="minorHAnsi"/>
          <w:sz w:val="20"/>
          <w:szCs w:val="20"/>
          <w:u w:val="single"/>
        </w:rPr>
        <w:t>doplňkově (jako analýza scénářů) pro období 3 let</w:t>
      </w:r>
      <w:r w:rsidRPr="004B0D0B">
        <w:rPr>
          <w:rFonts w:cstheme="minorHAnsi"/>
          <w:sz w:val="20"/>
          <w:szCs w:val="20"/>
        </w:rPr>
        <w:t xml:space="preserve"> (</w:t>
      </w:r>
      <w:r w:rsidR="00D82FDD">
        <w:rPr>
          <w:rFonts w:cstheme="minorHAnsi"/>
          <w:sz w:val="20"/>
          <w:szCs w:val="20"/>
        </w:rPr>
        <w:t xml:space="preserve">vybrány byly </w:t>
      </w:r>
      <w:r w:rsidRPr="004B0D0B">
        <w:rPr>
          <w:rFonts w:cstheme="minorHAnsi"/>
          <w:sz w:val="20"/>
          <w:szCs w:val="20"/>
        </w:rPr>
        <w:t>studie s délkou podávání studované medikace (ať absolutních či mediánových hodnot) 52 týdnů až 6,5 let</w:t>
      </w:r>
      <w:r w:rsidR="003E3040" w:rsidRPr="004B0D0B">
        <w:rPr>
          <w:rFonts w:cstheme="minorHAnsi"/>
          <w:sz w:val="20"/>
          <w:szCs w:val="20"/>
        </w:rPr>
        <w:t xml:space="preserve">, výjimkou byla vybraná hodnota 56% pro SOMAVERT </w:t>
      </w:r>
      <w:proofErr w:type="spellStart"/>
      <w:r w:rsidR="003E3040" w:rsidRPr="004B0D0B">
        <w:rPr>
          <w:rFonts w:cstheme="minorHAnsi"/>
          <w:sz w:val="20"/>
          <w:szCs w:val="20"/>
        </w:rPr>
        <w:t>monoterapii</w:t>
      </w:r>
      <w:proofErr w:type="spellEnd"/>
      <w:r w:rsidR="003E3040" w:rsidRPr="004B0D0B">
        <w:rPr>
          <w:rFonts w:cstheme="minorHAnsi"/>
          <w:sz w:val="20"/>
          <w:szCs w:val="20"/>
        </w:rPr>
        <w:t xml:space="preserve"> ze studie s dobou absolutního podávání 40 týdnů za účelem rozšíření hodnoceného rozmezí a hodnota 57% pro SIGNIFOR</w:t>
      </w:r>
      <w:r w:rsidR="00D82FDD">
        <w:rPr>
          <w:rFonts w:cstheme="minorHAnsi"/>
          <w:sz w:val="20"/>
          <w:szCs w:val="20"/>
        </w:rPr>
        <w:t xml:space="preserve"> v</w:t>
      </w:r>
      <w:r w:rsidR="003E3040" w:rsidRPr="004B0D0B">
        <w:rPr>
          <w:rFonts w:cstheme="minorHAnsi"/>
          <w:sz w:val="20"/>
          <w:szCs w:val="20"/>
        </w:rPr>
        <w:t xml:space="preserve"> </w:t>
      </w:r>
      <w:proofErr w:type="spellStart"/>
      <w:r w:rsidR="003E3040" w:rsidRPr="004B0D0B">
        <w:rPr>
          <w:rFonts w:cstheme="minorHAnsi"/>
          <w:sz w:val="20"/>
          <w:szCs w:val="20"/>
        </w:rPr>
        <w:t>monoterapi</w:t>
      </w:r>
      <w:r w:rsidR="00D82FDD">
        <w:rPr>
          <w:rFonts w:cstheme="minorHAnsi"/>
          <w:sz w:val="20"/>
          <w:szCs w:val="20"/>
        </w:rPr>
        <w:t>i</w:t>
      </w:r>
      <w:proofErr w:type="spellEnd"/>
      <w:r w:rsidR="003E3040" w:rsidRPr="004B0D0B">
        <w:rPr>
          <w:rFonts w:cstheme="minorHAnsi"/>
          <w:sz w:val="20"/>
          <w:szCs w:val="20"/>
        </w:rPr>
        <w:t xml:space="preserve"> ze studie s mediánem doby podávání 12 měsíců kvůli jen jedné nalezené studii s obdobím přes 1 roku za účelem rozšíření hodnoceného rozmezí</w:t>
      </w:r>
      <w:r w:rsidRPr="004B0D0B">
        <w:rPr>
          <w:rFonts w:cstheme="minorHAnsi"/>
          <w:sz w:val="20"/>
          <w:szCs w:val="20"/>
        </w:rPr>
        <w:t>). V</w:t>
      </w:r>
      <w:r w:rsidRPr="004B0D0B">
        <w:rPr>
          <w:rStyle w:val="Hypertextovodkaz"/>
          <w:rFonts w:cstheme="minorHAnsi"/>
          <w:color w:val="auto"/>
          <w:sz w:val="20"/>
          <w:szCs w:val="20"/>
          <w:u w:val="none"/>
        </w:rPr>
        <w:t>iz „</w:t>
      </w:r>
      <w:r w:rsidRPr="004B0D0B">
        <w:rPr>
          <w:rFonts w:cstheme="minorHAnsi"/>
          <w:sz w:val="20"/>
          <w:szCs w:val="20"/>
        </w:rPr>
        <w:t xml:space="preserve">Tabulka </w:t>
      </w:r>
      <w:proofErr w:type="spellStart"/>
      <w:r w:rsidRPr="004B0D0B">
        <w:rPr>
          <w:rFonts w:cstheme="minorHAnsi"/>
          <w:sz w:val="20"/>
          <w:szCs w:val="20"/>
        </w:rPr>
        <w:t>komparátorových</w:t>
      </w:r>
      <w:proofErr w:type="spellEnd"/>
      <w:r w:rsidRPr="004B0D0B">
        <w:rPr>
          <w:rFonts w:cstheme="minorHAnsi"/>
          <w:sz w:val="20"/>
          <w:szCs w:val="20"/>
        </w:rPr>
        <w:t xml:space="preserve"> režimů k LP SIGNIFOR“ výše (CAVE! do </w:t>
      </w:r>
      <w:r w:rsidR="00326C36" w:rsidRPr="004B0D0B">
        <w:rPr>
          <w:rFonts w:cstheme="minorHAnsi"/>
          <w:sz w:val="20"/>
          <w:szCs w:val="20"/>
        </w:rPr>
        <w:t xml:space="preserve">přehledu </w:t>
      </w:r>
      <w:r w:rsidRPr="004B0D0B">
        <w:rPr>
          <w:rFonts w:cstheme="minorHAnsi"/>
          <w:sz w:val="20"/>
          <w:szCs w:val="20"/>
        </w:rPr>
        <w:t>srovnání byly zahrnuty jen studie s co nejpodobnějšími vstupními a hodnotícími parametry!).</w:t>
      </w:r>
    </w:p>
    <w:p w:rsidR="00EF3E9E" w:rsidRPr="00C33600" w:rsidRDefault="00C33600" w:rsidP="00F43012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C33600">
        <w:rPr>
          <w:rFonts w:cstheme="minorHAnsi"/>
          <w:sz w:val="20"/>
          <w:szCs w:val="20"/>
        </w:rPr>
        <w:t>Ve FN Olomouc je dle žádosti III. IK</w:t>
      </w:r>
      <w:r w:rsidRPr="00C33600">
        <w:rPr>
          <w:rFonts w:cstheme="minorHAnsi"/>
          <w:sz w:val="20"/>
          <w:szCs w:val="20"/>
          <w:vertAlign w:val="superscript"/>
        </w:rPr>
        <w:t>3</w:t>
      </w:r>
      <w:r w:rsidRPr="00C33600">
        <w:rPr>
          <w:rFonts w:cstheme="minorHAnsi"/>
          <w:sz w:val="20"/>
          <w:szCs w:val="20"/>
        </w:rPr>
        <w:t xml:space="preserve"> předpokládaný počet pacientů </w:t>
      </w:r>
      <w:r>
        <w:rPr>
          <w:rFonts w:cstheme="minorHAnsi"/>
          <w:sz w:val="20"/>
          <w:szCs w:val="20"/>
        </w:rPr>
        <w:t xml:space="preserve">vhodných pro léčbu LP SIGNIFOR </w:t>
      </w:r>
      <w:r w:rsidRPr="00C33600">
        <w:rPr>
          <w:rFonts w:cstheme="minorHAnsi"/>
          <w:sz w:val="20"/>
          <w:szCs w:val="20"/>
        </w:rPr>
        <w:t>2-4 ročně</w:t>
      </w:r>
      <w:r>
        <w:rPr>
          <w:rFonts w:cstheme="minorHAnsi"/>
          <w:sz w:val="20"/>
          <w:szCs w:val="20"/>
        </w:rPr>
        <w:t>,</w:t>
      </w:r>
      <w:r w:rsidRPr="00C33600">
        <w:rPr>
          <w:rFonts w:cstheme="minorHAnsi"/>
          <w:sz w:val="20"/>
          <w:szCs w:val="20"/>
        </w:rPr>
        <w:t xml:space="preserve"> </w:t>
      </w:r>
      <w:r w:rsidR="00F914FB">
        <w:rPr>
          <w:rFonts w:cstheme="minorHAnsi"/>
          <w:sz w:val="20"/>
          <w:szCs w:val="20"/>
        </w:rPr>
        <w:t xml:space="preserve">BIA proto byla prováděna ve 2 scénářích: pro 2 pacienty a pro 4 pacienty. </w:t>
      </w:r>
    </w:p>
    <w:p w:rsidR="00B91F00" w:rsidRPr="004B0D0B" w:rsidRDefault="00B91F00" w:rsidP="00310A6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4B0D0B">
        <w:rPr>
          <w:rFonts w:cstheme="minorHAnsi"/>
          <w:sz w:val="20"/>
          <w:szCs w:val="20"/>
        </w:rPr>
        <w:t>U CEA</w:t>
      </w:r>
      <w:r w:rsidR="003760F8">
        <w:rPr>
          <w:rFonts w:cstheme="minorHAnsi"/>
          <w:sz w:val="20"/>
          <w:szCs w:val="20"/>
        </w:rPr>
        <w:t xml:space="preserve"> ve scénáři pro 3 roky léčby</w:t>
      </w:r>
      <w:r w:rsidRPr="004B0D0B">
        <w:rPr>
          <w:rFonts w:cstheme="minorHAnsi"/>
          <w:sz w:val="20"/>
          <w:szCs w:val="20"/>
        </w:rPr>
        <w:t xml:space="preserve"> </w:t>
      </w:r>
      <w:r w:rsidRPr="003760F8">
        <w:rPr>
          <w:rFonts w:cstheme="minorHAnsi"/>
          <w:b/>
          <w:sz w:val="20"/>
          <w:szCs w:val="20"/>
        </w:rPr>
        <w:t xml:space="preserve">nebyla prováděna </w:t>
      </w:r>
      <w:proofErr w:type="spellStart"/>
      <w:r w:rsidRPr="003760F8">
        <w:rPr>
          <w:rFonts w:cstheme="minorHAnsi"/>
          <w:b/>
          <w:sz w:val="20"/>
          <w:szCs w:val="20"/>
        </w:rPr>
        <w:t>diskontace</w:t>
      </w:r>
      <w:proofErr w:type="spellEnd"/>
      <w:r w:rsidRPr="004B0D0B">
        <w:rPr>
          <w:rFonts w:cstheme="minorHAnsi"/>
          <w:sz w:val="20"/>
          <w:szCs w:val="20"/>
        </w:rPr>
        <w:t xml:space="preserve"> nákladů, ani přínosů. </w:t>
      </w:r>
      <w:r w:rsidRPr="003760F8">
        <w:rPr>
          <w:rFonts w:cstheme="minorHAnsi"/>
          <w:b/>
          <w:sz w:val="20"/>
          <w:szCs w:val="20"/>
        </w:rPr>
        <w:t>Analýza senzitivity u CEA</w:t>
      </w:r>
      <w:r w:rsidRPr="004B0D0B">
        <w:rPr>
          <w:rFonts w:cstheme="minorHAnsi"/>
          <w:sz w:val="20"/>
          <w:szCs w:val="20"/>
        </w:rPr>
        <w:t xml:space="preserve"> byla provedena z</w:t>
      </w:r>
      <w:r w:rsidR="00BA249F" w:rsidRPr="004B0D0B">
        <w:rPr>
          <w:rFonts w:cstheme="minorHAnsi"/>
          <w:sz w:val="20"/>
          <w:szCs w:val="20"/>
        </w:rPr>
        <w:t>apočítáním</w:t>
      </w:r>
      <w:r w:rsidR="0088030A" w:rsidRPr="004B0D0B">
        <w:rPr>
          <w:rFonts w:cstheme="minorHAnsi"/>
          <w:sz w:val="20"/>
          <w:szCs w:val="20"/>
        </w:rPr>
        <w:t xml:space="preserve"> rozmezí parametrů účinnosti a </w:t>
      </w:r>
      <w:r w:rsidR="003760F8">
        <w:rPr>
          <w:rFonts w:cstheme="minorHAnsi"/>
          <w:sz w:val="20"/>
          <w:szCs w:val="20"/>
        </w:rPr>
        <w:t>rozmezí výše podávaných dávek (podrobněji viz body výše)</w:t>
      </w:r>
      <w:r w:rsidR="00BA249F" w:rsidRPr="004B0D0B">
        <w:rPr>
          <w:rFonts w:cstheme="minorHAnsi"/>
          <w:sz w:val="20"/>
          <w:szCs w:val="20"/>
        </w:rPr>
        <w:t>.</w:t>
      </w:r>
    </w:p>
    <w:p w:rsidR="00BA249F" w:rsidRPr="003760F8" w:rsidRDefault="00336914" w:rsidP="003760F8">
      <w:pPr>
        <w:spacing w:after="0"/>
        <w:ind w:left="360"/>
        <w:jc w:val="both"/>
        <w:rPr>
          <w:rFonts w:cstheme="minorHAnsi"/>
          <w:sz w:val="20"/>
          <w:szCs w:val="20"/>
        </w:rPr>
      </w:pPr>
      <w:r w:rsidRPr="003760F8">
        <w:rPr>
          <w:rFonts w:cstheme="minorHAnsi"/>
          <w:sz w:val="20"/>
          <w:szCs w:val="20"/>
        </w:rPr>
        <w:t>.</w:t>
      </w:r>
    </w:p>
    <w:p w:rsidR="00BA249F" w:rsidRPr="00560697" w:rsidRDefault="00BA249F" w:rsidP="00BA249F">
      <w:pPr>
        <w:pStyle w:val="Odstavecseseznamem"/>
        <w:spacing w:after="0"/>
        <w:jc w:val="both"/>
        <w:rPr>
          <w:rFonts w:cstheme="minorHAnsi"/>
          <w:sz w:val="18"/>
          <w:szCs w:val="18"/>
        </w:rPr>
      </w:pPr>
    </w:p>
    <w:p w:rsidR="00332119" w:rsidRDefault="00332119" w:rsidP="00061346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8E59F0" w:rsidRDefault="008E59F0" w:rsidP="00061346">
      <w:pPr>
        <w:spacing w:after="0"/>
        <w:jc w:val="both"/>
        <w:rPr>
          <w:rFonts w:cstheme="minorHAnsi"/>
          <w:b/>
          <w:sz w:val="32"/>
          <w:szCs w:val="32"/>
          <w:u w:val="single"/>
        </w:rPr>
      </w:pPr>
    </w:p>
    <w:p w:rsidR="00E22129" w:rsidRPr="006274AE" w:rsidRDefault="00E22129" w:rsidP="00061346">
      <w:pPr>
        <w:spacing w:after="0"/>
        <w:jc w:val="both"/>
        <w:rPr>
          <w:rFonts w:cstheme="minorHAnsi"/>
          <w:b/>
          <w:sz w:val="32"/>
          <w:szCs w:val="32"/>
          <w:u w:val="single"/>
        </w:rPr>
      </w:pPr>
      <w:r w:rsidRPr="006274AE">
        <w:rPr>
          <w:rFonts w:cstheme="minorHAnsi"/>
          <w:b/>
          <w:sz w:val="32"/>
          <w:szCs w:val="32"/>
          <w:u w:val="single"/>
        </w:rPr>
        <w:t>Výsledky CEA:</w:t>
      </w:r>
    </w:p>
    <w:p w:rsidR="00E22129" w:rsidRPr="00C37830" w:rsidRDefault="00E22129" w:rsidP="00061346">
      <w:pPr>
        <w:spacing w:after="0"/>
        <w:jc w:val="both"/>
        <w:rPr>
          <w:rFonts w:cstheme="minorHAnsi"/>
          <w:b/>
          <w:sz w:val="8"/>
          <w:szCs w:val="8"/>
        </w:rPr>
      </w:pPr>
    </w:p>
    <w:p w:rsidR="00E22129" w:rsidRDefault="00E04772" w:rsidP="00061346">
      <w:pPr>
        <w:spacing w:after="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cs-CZ"/>
        </w:rPr>
        <w:drawing>
          <wp:inline distT="0" distB="0" distL="0" distR="0">
            <wp:extent cx="6837045" cy="4412615"/>
            <wp:effectExtent l="0" t="0" r="1905" b="6985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441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830" w:rsidRPr="00130818" w:rsidRDefault="00130818" w:rsidP="00130818">
      <w:pPr>
        <w:spacing w:after="0"/>
        <w:jc w:val="center"/>
        <w:rPr>
          <w:rFonts w:cstheme="minorHAnsi"/>
          <w:b/>
          <w:sz w:val="28"/>
          <w:szCs w:val="28"/>
        </w:rPr>
      </w:pPr>
      <w:r w:rsidRPr="00130818">
        <w:rPr>
          <w:rFonts w:cstheme="minorHAnsi"/>
          <w:b/>
          <w:sz w:val="28"/>
          <w:szCs w:val="28"/>
        </w:rPr>
        <w:t xml:space="preserve">Pro doplňkový 2. </w:t>
      </w:r>
      <w:r>
        <w:rPr>
          <w:rFonts w:cstheme="minorHAnsi"/>
          <w:b/>
          <w:sz w:val="28"/>
          <w:szCs w:val="28"/>
        </w:rPr>
        <w:t>s</w:t>
      </w:r>
      <w:r w:rsidRPr="00130818">
        <w:rPr>
          <w:rFonts w:cstheme="minorHAnsi"/>
          <w:b/>
          <w:sz w:val="28"/>
          <w:szCs w:val="28"/>
        </w:rPr>
        <w:t>cén</w:t>
      </w:r>
      <w:r w:rsidR="00452C69">
        <w:rPr>
          <w:rFonts w:cstheme="minorHAnsi"/>
          <w:b/>
          <w:sz w:val="28"/>
          <w:szCs w:val="28"/>
        </w:rPr>
        <w:t>á</w:t>
      </w:r>
      <w:r w:rsidRPr="00130818">
        <w:rPr>
          <w:rFonts w:cstheme="minorHAnsi"/>
          <w:b/>
          <w:sz w:val="28"/>
          <w:szCs w:val="28"/>
        </w:rPr>
        <w:t>ř po 3 letech léčby viz Přílohu č. 22</w:t>
      </w:r>
    </w:p>
    <w:p w:rsidR="00E22129" w:rsidRDefault="00E22129" w:rsidP="00061346">
      <w:pPr>
        <w:spacing w:after="0"/>
        <w:jc w:val="both"/>
        <w:rPr>
          <w:rFonts w:cstheme="minorHAnsi"/>
          <w:b/>
          <w:sz w:val="32"/>
          <w:szCs w:val="32"/>
        </w:rPr>
      </w:pPr>
    </w:p>
    <w:p w:rsidR="0036262F" w:rsidRDefault="0036262F" w:rsidP="00061346">
      <w:pPr>
        <w:spacing w:after="0"/>
        <w:jc w:val="both"/>
        <w:rPr>
          <w:rFonts w:cstheme="minorHAnsi"/>
          <w:b/>
          <w:sz w:val="32"/>
          <w:szCs w:val="32"/>
        </w:rPr>
      </w:pPr>
    </w:p>
    <w:p w:rsidR="00C67E48" w:rsidRDefault="00C67E48" w:rsidP="00061346">
      <w:pPr>
        <w:spacing w:after="0"/>
        <w:jc w:val="both"/>
        <w:rPr>
          <w:rFonts w:cstheme="minorHAnsi"/>
          <w:b/>
          <w:sz w:val="32"/>
          <w:szCs w:val="32"/>
        </w:rPr>
      </w:pPr>
    </w:p>
    <w:p w:rsidR="00AE12B5" w:rsidRDefault="00DC796E" w:rsidP="00061346">
      <w:pPr>
        <w:spacing w:after="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cs-CZ"/>
        </w:rPr>
        <w:drawing>
          <wp:inline distT="0" distB="0" distL="0" distR="0">
            <wp:extent cx="6837045" cy="3381375"/>
            <wp:effectExtent l="0" t="0" r="1905" b="9525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2F" w:rsidRPr="00130818" w:rsidRDefault="0036262F" w:rsidP="0036262F">
      <w:pPr>
        <w:spacing w:after="0"/>
        <w:jc w:val="center"/>
        <w:rPr>
          <w:rFonts w:cstheme="minorHAnsi"/>
          <w:b/>
          <w:sz w:val="28"/>
          <w:szCs w:val="28"/>
        </w:rPr>
      </w:pPr>
      <w:r w:rsidRPr="00130818">
        <w:rPr>
          <w:rFonts w:cstheme="minorHAnsi"/>
          <w:b/>
          <w:sz w:val="28"/>
          <w:szCs w:val="28"/>
        </w:rPr>
        <w:t xml:space="preserve">Pro doplňkový 2. </w:t>
      </w:r>
      <w:r>
        <w:rPr>
          <w:rFonts w:cstheme="minorHAnsi"/>
          <w:b/>
          <w:sz w:val="28"/>
          <w:szCs w:val="28"/>
        </w:rPr>
        <w:t>s</w:t>
      </w:r>
      <w:r w:rsidRPr="00130818">
        <w:rPr>
          <w:rFonts w:cstheme="minorHAnsi"/>
          <w:b/>
          <w:sz w:val="28"/>
          <w:szCs w:val="28"/>
        </w:rPr>
        <w:t>cén</w:t>
      </w:r>
      <w:r>
        <w:rPr>
          <w:rFonts w:cstheme="minorHAnsi"/>
          <w:b/>
          <w:sz w:val="28"/>
          <w:szCs w:val="28"/>
        </w:rPr>
        <w:t>á</w:t>
      </w:r>
      <w:r w:rsidRPr="00130818">
        <w:rPr>
          <w:rFonts w:cstheme="minorHAnsi"/>
          <w:b/>
          <w:sz w:val="28"/>
          <w:szCs w:val="28"/>
        </w:rPr>
        <w:t>ř po 3 letech léčby viz Přílohu č. 22</w:t>
      </w:r>
    </w:p>
    <w:p w:rsidR="00BA144D" w:rsidRDefault="00BA144D" w:rsidP="00061346">
      <w:pPr>
        <w:spacing w:after="0"/>
        <w:jc w:val="both"/>
        <w:rPr>
          <w:rFonts w:cstheme="minorHAnsi"/>
          <w:b/>
          <w:sz w:val="32"/>
          <w:szCs w:val="32"/>
          <w:u w:val="single"/>
        </w:rPr>
      </w:pPr>
      <w:r w:rsidRPr="006274AE">
        <w:rPr>
          <w:rFonts w:cstheme="minorHAnsi"/>
          <w:b/>
          <w:sz w:val="32"/>
          <w:szCs w:val="32"/>
          <w:u w:val="single"/>
        </w:rPr>
        <w:lastRenderedPageBreak/>
        <w:t>Výsledky</w:t>
      </w:r>
      <w:r w:rsidR="00E22129" w:rsidRPr="006274AE">
        <w:rPr>
          <w:rFonts w:cstheme="minorHAnsi"/>
          <w:b/>
          <w:sz w:val="32"/>
          <w:szCs w:val="32"/>
          <w:u w:val="single"/>
        </w:rPr>
        <w:t xml:space="preserve"> BIA</w:t>
      </w:r>
      <w:r w:rsidRPr="006274AE">
        <w:rPr>
          <w:rFonts w:cstheme="minorHAnsi"/>
          <w:b/>
          <w:sz w:val="32"/>
          <w:szCs w:val="32"/>
          <w:u w:val="single"/>
        </w:rPr>
        <w:t>:</w:t>
      </w:r>
    </w:p>
    <w:p w:rsidR="00502919" w:rsidRPr="002D7280" w:rsidRDefault="00502919" w:rsidP="00061346">
      <w:pPr>
        <w:spacing w:after="0"/>
        <w:jc w:val="both"/>
        <w:rPr>
          <w:rFonts w:cstheme="minorHAnsi"/>
          <w:b/>
          <w:sz w:val="10"/>
          <w:szCs w:val="10"/>
          <w:u w:val="single"/>
        </w:rPr>
      </w:pPr>
    </w:p>
    <w:p w:rsidR="00C67E48" w:rsidRPr="008C7645" w:rsidRDefault="002D7280" w:rsidP="00061346">
      <w:pPr>
        <w:spacing w:after="0"/>
        <w:jc w:val="both"/>
        <w:rPr>
          <w:rFonts w:cstheme="minorHAnsi"/>
          <w:b/>
          <w:sz w:val="20"/>
          <w:szCs w:val="20"/>
        </w:rPr>
      </w:pPr>
      <w:r w:rsidRPr="008C7645">
        <w:rPr>
          <w:rFonts w:cstheme="minorHAnsi"/>
          <w:sz w:val="20"/>
          <w:szCs w:val="20"/>
          <w:highlight w:val="yellow"/>
        </w:rPr>
        <w:t xml:space="preserve">CAVE! </w:t>
      </w:r>
      <w:r w:rsidR="00B35546" w:rsidRPr="008C7645">
        <w:rPr>
          <w:rFonts w:cstheme="minorHAnsi"/>
          <w:sz w:val="20"/>
          <w:szCs w:val="20"/>
          <w:highlight w:val="yellow"/>
        </w:rPr>
        <w:t xml:space="preserve">Při event. přechodu </w:t>
      </w:r>
      <w:r w:rsidR="008A47FC">
        <w:rPr>
          <w:rFonts w:cstheme="minorHAnsi"/>
          <w:sz w:val="20"/>
          <w:szCs w:val="20"/>
          <w:highlight w:val="yellow"/>
        </w:rPr>
        <w:t xml:space="preserve">kompenzovaného </w:t>
      </w:r>
      <w:r w:rsidR="00B35546" w:rsidRPr="008C7645">
        <w:rPr>
          <w:rFonts w:cstheme="minorHAnsi"/>
          <w:sz w:val="20"/>
          <w:szCs w:val="20"/>
          <w:highlight w:val="yellow"/>
        </w:rPr>
        <w:t>pacienta z</w:t>
      </w:r>
      <w:r w:rsidRPr="008C7645">
        <w:rPr>
          <w:rFonts w:cstheme="minorHAnsi"/>
          <w:sz w:val="20"/>
          <w:szCs w:val="20"/>
          <w:highlight w:val="yellow"/>
        </w:rPr>
        <w:t> </w:t>
      </w:r>
      <w:r w:rsidR="00B35546" w:rsidRPr="008C7645">
        <w:rPr>
          <w:rFonts w:cstheme="minorHAnsi"/>
          <w:sz w:val="20"/>
          <w:szCs w:val="20"/>
          <w:highlight w:val="yellow"/>
        </w:rPr>
        <w:t>komb</w:t>
      </w:r>
      <w:r w:rsidRPr="008C7645">
        <w:rPr>
          <w:rFonts w:cstheme="minorHAnsi"/>
          <w:sz w:val="20"/>
          <w:szCs w:val="20"/>
          <w:highlight w:val="yellow"/>
        </w:rPr>
        <w:t xml:space="preserve">. </w:t>
      </w:r>
      <w:r w:rsidR="00B35546" w:rsidRPr="008C7645">
        <w:rPr>
          <w:rFonts w:cstheme="minorHAnsi"/>
          <w:sz w:val="20"/>
          <w:szCs w:val="20"/>
          <w:highlight w:val="yellow"/>
        </w:rPr>
        <w:t xml:space="preserve">SOMAVERT 30mg s FGSSA </w:t>
      </w:r>
      <w:r w:rsidRPr="008C7645">
        <w:rPr>
          <w:sz w:val="20"/>
          <w:szCs w:val="20"/>
          <w:highlight w:val="yellow"/>
        </w:rPr>
        <w:t>(viz níže pozn.</w:t>
      </w:r>
      <w:r w:rsidR="00B35546" w:rsidRPr="008C7645">
        <w:rPr>
          <w:sz w:val="20"/>
          <w:szCs w:val="20"/>
          <w:highlight w:val="yellow"/>
        </w:rPr>
        <w:t>19) je předpokládáno snížení dávky SOMAVERTU na 20mg při komb</w:t>
      </w:r>
      <w:r w:rsidRPr="008C7645">
        <w:rPr>
          <w:sz w:val="20"/>
          <w:szCs w:val="20"/>
          <w:highlight w:val="yellow"/>
        </w:rPr>
        <w:t>.</w:t>
      </w:r>
      <w:r w:rsidR="00B35546" w:rsidRPr="008C7645">
        <w:rPr>
          <w:sz w:val="20"/>
          <w:szCs w:val="20"/>
          <w:highlight w:val="yellow"/>
        </w:rPr>
        <w:t xml:space="preserve"> se </w:t>
      </w:r>
      <w:proofErr w:type="gramStart"/>
      <w:r w:rsidR="00B35546" w:rsidRPr="008C7645">
        <w:rPr>
          <w:sz w:val="20"/>
          <w:szCs w:val="20"/>
          <w:highlight w:val="yellow"/>
        </w:rPr>
        <w:t>SIGNIFOREM - u</w:t>
      </w:r>
      <w:proofErr w:type="gramEnd"/>
      <w:r w:rsidR="00B35546" w:rsidRPr="008C7645">
        <w:rPr>
          <w:rFonts w:cstheme="minorHAnsi"/>
          <w:sz w:val="20"/>
          <w:szCs w:val="20"/>
          <w:highlight w:val="yellow"/>
        </w:rPr>
        <w:t xml:space="preserve"> pac</w:t>
      </w:r>
      <w:r w:rsidR="008C7645" w:rsidRPr="008C7645">
        <w:rPr>
          <w:rFonts w:cstheme="minorHAnsi"/>
          <w:sz w:val="20"/>
          <w:szCs w:val="20"/>
          <w:highlight w:val="yellow"/>
        </w:rPr>
        <w:t>.</w:t>
      </w:r>
      <w:r w:rsidR="00B35546" w:rsidRPr="008C7645">
        <w:rPr>
          <w:rFonts w:cstheme="minorHAnsi"/>
          <w:sz w:val="20"/>
          <w:szCs w:val="20"/>
          <w:highlight w:val="yellow"/>
        </w:rPr>
        <w:t xml:space="preserve">, kteří vyžadují komb. léčbu </w:t>
      </w:r>
      <w:proofErr w:type="spellStart"/>
      <w:r w:rsidR="00B35546" w:rsidRPr="008C7645">
        <w:rPr>
          <w:rFonts w:cstheme="minorHAnsi"/>
          <w:sz w:val="20"/>
          <w:szCs w:val="20"/>
          <w:highlight w:val="yellow"/>
        </w:rPr>
        <w:t>pegvisomantu</w:t>
      </w:r>
      <w:proofErr w:type="spellEnd"/>
      <w:r w:rsidR="00B35546" w:rsidRPr="008C7645">
        <w:rPr>
          <w:rFonts w:cstheme="minorHAnsi"/>
          <w:sz w:val="20"/>
          <w:szCs w:val="20"/>
          <w:highlight w:val="yellow"/>
        </w:rPr>
        <w:t xml:space="preserve"> s FGSSA, může</w:t>
      </w:r>
      <w:r w:rsidRPr="008C7645">
        <w:rPr>
          <w:rFonts w:cstheme="minorHAnsi"/>
          <w:sz w:val="20"/>
          <w:szCs w:val="20"/>
          <w:highlight w:val="yellow"/>
        </w:rPr>
        <w:t xml:space="preserve"> totiž</w:t>
      </w:r>
      <w:r w:rsidR="00B35546" w:rsidRPr="008C7645">
        <w:rPr>
          <w:rFonts w:cstheme="minorHAnsi"/>
          <w:sz w:val="20"/>
          <w:szCs w:val="20"/>
          <w:highlight w:val="yellow"/>
        </w:rPr>
        <w:t xml:space="preserve"> přechod z FGSSA na </w:t>
      </w:r>
      <w:proofErr w:type="spellStart"/>
      <w:r w:rsidR="00B35546" w:rsidRPr="008C7645">
        <w:rPr>
          <w:rFonts w:cstheme="minorHAnsi"/>
          <w:sz w:val="20"/>
          <w:szCs w:val="20"/>
          <w:highlight w:val="yellow"/>
        </w:rPr>
        <w:t>pasireotid</w:t>
      </w:r>
      <w:proofErr w:type="spellEnd"/>
      <w:r w:rsidR="00B35546" w:rsidRPr="008C7645">
        <w:rPr>
          <w:rFonts w:cstheme="minorHAnsi"/>
          <w:sz w:val="20"/>
          <w:szCs w:val="20"/>
          <w:highlight w:val="yellow"/>
        </w:rPr>
        <w:t xml:space="preserve"> v kombi</w:t>
      </w:r>
      <w:r w:rsidR="008C7645" w:rsidRPr="008C7645">
        <w:rPr>
          <w:rFonts w:cstheme="minorHAnsi"/>
          <w:sz w:val="20"/>
          <w:szCs w:val="20"/>
          <w:highlight w:val="yellow"/>
        </w:rPr>
        <w:t>naci</w:t>
      </w:r>
      <w:r w:rsidR="00B35546" w:rsidRPr="008C7645">
        <w:rPr>
          <w:rFonts w:cstheme="minorHAnsi"/>
          <w:sz w:val="20"/>
          <w:szCs w:val="20"/>
          <w:highlight w:val="yellow"/>
        </w:rPr>
        <w:t xml:space="preserve"> s</w:t>
      </w:r>
      <w:r w:rsidR="00F93359">
        <w:rPr>
          <w:rFonts w:cstheme="minorHAnsi"/>
          <w:sz w:val="20"/>
          <w:szCs w:val="20"/>
          <w:highlight w:val="yellow"/>
        </w:rPr>
        <w:t> </w:t>
      </w:r>
      <w:proofErr w:type="spellStart"/>
      <w:r w:rsidR="00B35546" w:rsidRPr="008C7645">
        <w:rPr>
          <w:rFonts w:cstheme="minorHAnsi"/>
          <w:sz w:val="20"/>
          <w:szCs w:val="20"/>
          <w:highlight w:val="yellow"/>
        </w:rPr>
        <w:t>pegvisomantem</w:t>
      </w:r>
      <w:proofErr w:type="spellEnd"/>
      <w:r w:rsidR="00F93359">
        <w:rPr>
          <w:rFonts w:cstheme="minorHAnsi"/>
          <w:sz w:val="20"/>
          <w:szCs w:val="20"/>
          <w:highlight w:val="yellow"/>
        </w:rPr>
        <w:t xml:space="preserve"> u kontrolovaných pacientů</w:t>
      </w:r>
      <w:r w:rsidR="00B35546" w:rsidRPr="008C7645">
        <w:rPr>
          <w:rFonts w:cstheme="minorHAnsi"/>
          <w:sz w:val="20"/>
          <w:szCs w:val="20"/>
          <w:highlight w:val="yellow"/>
        </w:rPr>
        <w:t xml:space="preserve"> snížit dávku </w:t>
      </w:r>
      <w:proofErr w:type="spellStart"/>
      <w:r w:rsidR="00B35546" w:rsidRPr="008C7645">
        <w:rPr>
          <w:rFonts w:cstheme="minorHAnsi"/>
          <w:sz w:val="20"/>
          <w:szCs w:val="20"/>
          <w:highlight w:val="yellow"/>
        </w:rPr>
        <w:t>pegvisomantu</w:t>
      </w:r>
      <w:proofErr w:type="spellEnd"/>
      <w:r w:rsidR="00B35546" w:rsidRPr="008C7645">
        <w:rPr>
          <w:rFonts w:cstheme="minorHAnsi"/>
          <w:sz w:val="20"/>
          <w:szCs w:val="20"/>
          <w:highlight w:val="yellow"/>
        </w:rPr>
        <w:t xml:space="preserve"> až o 66%</w:t>
      </w:r>
      <w:r w:rsidR="008C7645" w:rsidRPr="008C7645">
        <w:rPr>
          <w:rFonts w:cstheme="minorHAnsi"/>
          <w:sz w:val="20"/>
          <w:szCs w:val="20"/>
          <w:highlight w:val="yellow"/>
          <w:vertAlign w:val="superscript"/>
        </w:rPr>
        <w:t>9</w:t>
      </w:r>
      <w:r w:rsidR="00F93359">
        <w:rPr>
          <w:rFonts w:cstheme="minorHAnsi"/>
          <w:sz w:val="20"/>
          <w:szCs w:val="20"/>
          <w:highlight w:val="yellow"/>
          <w:vertAlign w:val="superscript"/>
        </w:rPr>
        <w:t>2</w:t>
      </w:r>
      <w:r w:rsidR="00B35546" w:rsidRPr="008C7645">
        <w:rPr>
          <w:rFonts w:cstheme="minorHAnsi"/>
          <w:sz w:val="20"/>
          <w:szCs w:val="20"/>
        </w:rPr>
        <w:t>.</w:t>
      </w:r>
    </w:p>
    <w:p w:rsidR="00332119" w:rsidRPr="00560697" w:rsidRDefault="008307BC" w:rsidP="00061346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cs-CZ"/>
        </w:rPr>
        <w:drawing>
          <wp:inline distT="0" distB="0" distL="0" distR="0">
            <wp:extent cx="6840855" cy="4831080"/>
            <wp:effectExtent l="0" t="0" r="0" b="762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8C" w:rsidRPr="00560697" w:rsidRDefault="00EE078C" w:rsidP="00A93AA9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EC585C" w:rsidRPr="00130818" w:rsidRDefault="00EC585C" w:rsidP="00EC585C">
      <w:pPr>
        <w:spacing w:after="0"/>
        <w:jc w:val="center"/>
        <w:rPr>
          <w:rFonts w:cstheme="minorHAnsi"/>
          <w:b/>
          <w:sz w:val="28"/>
          <w:szCs w:val="28"/>
        </w:rPr>
      </w:pPr>
      <w:r w:rsidRPr="00130818">
        <w:rPr>
          <w:rFonts w:cstheme="minorHAnsi"/>
          <w:b/>
          <w:sz w:val="28"/>
          <w:szCs w:val="28"/>
        </w:rPr>
        <w:t xml:space="preserve">Pro </w:t>
      </w:r>
      <w:r>
        <w:rPr>
          <w:rFonts w:cstheme="minorHAnsi"/>
          <w:b/>
          <w:sz w:val="28"/>
          <w:szCs w:val="28"/>
        </w:rPr>
        <w:t xml:space="preserve">informativní hodnoty BIA pro 1. liniové </w:t>
      </w:r>
      <w:proofErr w:type="spellStart"/>
      <w:r>
        <w:rPr>
          <w:rFonts w:cstheme="minorHAnsi"/>
          <w:b/>
          <w:sz w:val="28"/>
          <w:szCs w:val="28"/>
        </w:rPr>
        <w:t>farmakoterap</w:t>
      </w:r>
      <w:proofErr w:type="spellEnd"/>
      <w:r>
        <w:rPr>
          <w:rFonts w:cstheme="minorHAnsi"/>
          <w:b/>
          <w:sz w:val="28"/>
          <w:szCs w:val="28"/>
        </w:rPr>
        <w:t>. režimy</w:t>
      </w:r>
      <w:r w:rsidRPr="00130818">
        <w:rPr>
          <w:rFonts w:cstheme="minorHAnsi"/>
          <w:b/>
          <w:sz w:val="28"/>
          <w:szCs w:val="28"/>
        </w:rPr>
        <w:t xml:space="preserve"> viz Přílohu č. 2</w:t>
      </w:r>
      <w:r>
        <w:rPr>
          <w:rFonts w:cstheme="minorHAnsi"/>
          <w:b/>
          <w:sz w:val="28"/>
          <w:szCs w:val="28"/>
        </w:rPr>
        <w:t>6</w:t>
      </w:r>
    </w:p>
    <w:p w:rsidR="00861048" w:rsidRDefault="00861048" w:rsidP="00EE078C">
      <w:pPr>
        <w:spacing w:after="0"/>
        <w:ind w:left="1531"/>
        <w:rPr>
          <w:rFonts w:cstheme="minorHAnsi"/>
        </w:rPr>
      </w:pPr>
    </w:p>
    <w:p w:rsidR="00D50E91" w:rsidRDefault="00D50E91" w:rsidP="00EE078C">
      <w:pPr>
        <w:spacing w:after="0"/>
        <w:ind w:left="1531"/>
        <w:rPr>
          <w:rFonts w:cstheme="minorHAnsi"/>
        </w:rPr>
      </w:pPr>
    </w:p>
    <w:p w:rsidR="00861048" w:rsidRDefault="00032407" w:rsidP="00EE078C">
      <w:pPr>
        <w:spacing w:after="0"/>
        <w:ind w:left="1531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A675D" wp14:editId="419C1A1A">
                <wp:simplePos x="0" y="0"/>
                <wp:positionH relativeFrom="margin">
                  <wp:posOffset>1905</wp:posOffset>
                </wp:positionH>
                <wp:positionV relativeFrom="paragraph">
                  <wp:posOffset>19685</wp:posOffset>
                </wp:positionV>
                <wp:extent cx="6848475" cy="3301365"/>
                <wp:effectExtent l="19050" t="19050" r="28575" b="13335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30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5ACE" w:rsidRDefault="00CE5ACE" w:rsidP="00C67E48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921C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Závěr:</w:t>
                            </w:r>
                          </w:p>
                          <w:p w:rsidR="00CE5ACE" w:rsidRPr="005674E2" w:rsidRDefault="00CE5ACE" w:rsidP="00C67E48">
                            <w:pPr>
                              <w:spacing w:after="0"/>
                              <w:rPr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CE5ACE" w:rsidRPr="00347641" w:rsidRDefault="00CE5ACE" w:rsidP="00C5326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532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LP SIGNIFOR </w:t>
                            </w:r>
                            <w:proofErr w:type="spellStart"/>
                            <w:r w:rsidRPr="00C5326C">
                              <w:rPr>
                                <w:b/>
                                <w:sz w:val="24"/>
                                <w:szCs w:val="24"/>
                              </w:rPr>
                              <w:t>inj</w:t>
                            </w:r>
                            <w:proofErr w:type="spellEnd"/>
                            <w:r w:rsidRPr="00C5326C">
                              <w:rPr>
                                <w:b/>
                                <w:sz w:val="24"/>
                                <w:szCs w:val="24"/>
                              </w:rPr>
                              <w:t>. (</w:t>
                            </w:r>
                            <w:proofErr w:type="spellStart"/>
                            <w:r w:rsidRPr="00C5326C">
                              <w:rPr>
                                <w:b/>
                                <w:sz w:val="24"/>
                                <w:szCs w:val="24"/>
                              </w:rPr>
                              <w:t>pasireotid</w:t>
                            </w:r>
                            <w:proofErr w:type="spellEnd"/>
                            <w:r w:rsidRPr="00C532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LAR</w:t>
                            </w:r>
                            <w:r w:rsidRPr="003234B7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7</w:t>
                            </w:r>
                            <w:r w:rsidRPr="00C532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je </w:t>
                            </w:r>
                            <w:r w:rsidRPr="00C5326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analog</w:t>
                            </w:r>
                            <w:r w:rsidR="00D82F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em</w:t>
                            </w:r>
                            <w:r w:rsidRPr="00C5326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somatostatinu</w:t>
                            </w:r>
                            <w:r w:rsidRPr="003234B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19 </w:t>
                            </w:r>
                            <w:r w:rsidRPr="00C5326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2. generace, který se váže s vysokou afinitou na čtyři z pěti SSTR</w:t>
                            </w:r>
                            <w:r w:rsidRPr="003234B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10</w:t>
                            </w:r>
                            <w:r w:rsidRPr="00C5326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 LP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je žádán</w:t>
                            </w:r>
                            <w:r w:rsidRPr="00C5326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32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k léčbě dospělých </w:t>
                            </w:r>
                            <w:r w:rsidR="00D82F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pacientů </w:t>
                            </w:r>
                            <w:r w:rsidRPr="009E132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 akromegalií</w:t>
                            </w:r>
                            <w:r w:rsidRPr="00C5326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u nichž není vhodná operace nebo operace neměla dostatečný léčebný efekt, a </w:t>
                            </w:r>
                            <w:r w:rsidRPr="009E132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kteří nejsou dostatečně kontrolováni léčbou jiným analogem </w:t>
                            </w:r>
                            <w:proofErr w:type="spellStart"/>
                            <w:r w:rsidRPr="009E132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somatostatinu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755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Akromegalie je klinický syndrom, který je důsledkem nadměrné sekrece GH</w:t>
                            </w:r>
                            <w:r w:rsidRPr="00F755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13</w:t>
                            </w:r>
                            <w:r w:rsidRPr="00F755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, vysoké sérové koncentrace GH a IGF-1</w:t>
                            </w:r>
                            <w:r w:rsidRPr="00F755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13</w:t>
                            </w:r>
                            <w:r w:rsidRPr="00F755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(ten je závislý na GH) </w:t>
                            </w:r>
                            <w:r w:rsidR="00D82F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pak </w:t>
                            </w:r>
                            <w:r w:rsidRPr="00F755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způsobují somatické i metabolické nežádoucí účinky. B</w:t>
                            </w:r>
                            <w:r w:rsidRPr="00F755C9">
                              <w:rPr>
                                <w:rFonts w:eastAsia="ScalaLancetPro-Bold" w:cs="ScalaLancetPro-Bold"/>
                                <w:b/>
                                <w:bCs/>
                                <w:sz w:val="24"/>
                                <w:szCs w:val="24"/>
                              </w:rPr>
                              <w:t>iochemická kontrola (normalizace) hladin IGF-1 je jedním ze základních biochemických cílů léčby akromegalie. Ú</w:t>
                            </w:r>
                            <w:r w:rsidRPr="00F755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činnější </w:t>
                            </w:r>
                            <w:r w:rsidR="00D82F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možnosti </w:t>
                            </w:r>
                            <w:r w:rsidRPr="00F755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farmakoterapie m</w:t>
                            </w:r>
                            <w:r w:rsidR="00D82F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ohou</w:t>
                            </w:r>
                            <w:r w:rsidRPr="00F755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přinést vyšší míru biochemické kontroly a tím snížit pravděpodobnost rozvoje respiračních a kardiovaskulárních komorbidit, které zvyšují úmrtnost pac</w:t>
                            </w:r>
                            <w:r w:rsidR="00D82F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F755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s akromegalií.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E132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LP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SIGNIFOR </w:t>
                            </w:r>
                            <w:r w:rsidRPr="009E132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je registrován v EU jako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„</w:t>
                            </w:r>
                            <w:proofErr w:type="spellStart"/>
                            <w:r w:rsidRPr="009E132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orphan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drug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“</w:t>
                            </w:r>
                            <w:r w:rsidRPr="0034764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, dne </w:t>
                            </w:r>
                            <w:r w:rsidRPr="00347641">
                              <w:rPr>
                                <w:b/>
                                <w:sz w:val="24"/>
                                <w:szCs w:val="24"/>
                              </w:rPr>
                              <w:t>13. 3. 2023 vydal SUKL ve standardně probíhajícím správním řízení Hodnotící zprávu</w:t>
                            </w:r>
                            <w:r w:rsidRPr="00347641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89</w:t>
                            </w:r>
                            <w:r w:rsidRPr="00347641">
                              <w:rPr>
                                <w:b/>
                                <w:sz w:val="24"/>
                                <w:szCs w:val="24"/>
                              </w:rPr>
                              <w:t>, kde navrhuje LP SIGNIFOR úhradu nepřiznat</w:t>
                            </w:r>
                            <w:r w:rsidRPr="00347641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90</w:t>
                            </w:r>
                            <w:r w:rsidRPr="0034764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tzn. </w:t>
                            </w:r>
                            <w:r w:rsidRPr="009E132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aktuálně je možná pro LP jen žád</w:t>
                            </w:r>
                            <w:r w:rsidR="00D82FD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at</w:t>
                            </w:r>
                            <w:r w:rsidRPr="009E132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o mimořádnou úhradu </w:t>
                            </w:r>
                            <w:proofErr w:type="gramStart"/>
                            <w:r w:rsidRPr="009E132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ze</w:t>
                            </w:r>
                            <w:proofErr w:type="gramEnd"/>
                            <w:r w:rsidRPr="009E132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zdrav</w:t>
                            </w:r>
                            <w:r w:rsidR="00D82FD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9E132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pojištění dle ustanovení § 16</w:t>
                            </w:r>
                            <w:r w:rsidRPr="0034764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zákona č. 48/1997 Sb. o veřejném zdravotním pojištění.</w:t>
                            </w:r>
                          </w:p>
                          <w:p w:rsidR="00CE5ACE" w:rsidRDefault="00CE5ACE" w:rsidP="00C5326C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E59F0">
                              <w:rPr>
                                <w:b/>
                                <w:sz w:val="24"/>
                                <w:szCs w:val="24"/>
                              </w:rPr>
                              <w:t>Octreotid</w:t>
                            </w:r>
                            <w:proofErr w:type="spellEnd"/>
                            <w:r w:rsidRPr="008E59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LAR a </w:t>
                            </w:r>
                            <w:proofErr w:type="spellStart"/>
                            <w:r w:rsidRPr="008E59F0">
                              <w:rPr>
                                <w:b/>
                                <w:sz w:val="24"/>
                                <w:szCs w:val="24"/>
                              </w:rPr>
                              <w:t>lanreotid</w:t>
                            </w:r>
                            <w:proofErr w:type="spellEnd"/>
                            <w:r w:rsidRPr="008E59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(oba jsou FGSSA</w:t>
                            </w:r>
                            <w:r w:rsidRPr="0068716A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19</w:t>
                            </w:r>
                            <w:r w:rsidRPr="008E59F0">
                              <w:rPr>
                                <w:b/>
                                <w:sz w:val="24"/>
                                <w:szCs w:val="24"/>
                              </w:rPr>
                              <w:t>) se používají zatím jako léky 1. volby farmakoterapie jak v ČR</w:t>
                            </w:r>
                            <w:r w:rsidRPr="008E59F0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77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8E59F0">
                              <w:rPr>
                                <w:b/>
                                <w:sz w:val="24"/>
                                <w:szCs w:val="24"/>
                              </w:rPr>
                              <w:t>tak v zahraničí (viz Přílohu č. 5) vzhledem k jejich příznivému profilu rizika/přínosu.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A675D" id="Textové pole 48" o:spid="_x0000_s1027" type="#_x0000_t202" style="position:absolute;left:0;text-align:left;margin-left:.15pt;margin-top:1.55pt;width:539.25pt;height:259.9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" fillcolor="white [3201]" strokeweight="3pt">
                <v:textbox>
                  <w:txbxContent>
                    <w:p w:rsidR="00CE5ACE" w:rsidRDefault="00CE5ACE" w:rsidP="00C67E48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921CC">
                        <w:rPr>
                          <w:b/>
                          <w:sz w:val="32"/>
                          <w:szCs w:val="32"/>
                          <w:u w:val="single"/>
                        </w:rPr>
                        <w:t>Závěr:</w:t>
                      </w:r>
                    </w:p>
                    <w:p w:rsidR="00CE5ACE" w:rsidRPr="005674E2" w:rsidRDefault="00CE5ACE" w:rsidP="00C67E48">
                      <w:pPr>
                        <w:spacing w:after="0"/>
                        <w:rPr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:rsidR="00CE5ACE" w:rsidRPr="00347641" w:rsidRDefault="00CE5ACE" w:rsidP="00C5326C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C5326C">
                        <w:rPr>
                          <w:b/>
                          <w:sz w:val="24"/>
                          <w:szCs w:val="24"/>
                        </w:rPr>
                        <w:t xml:space="preserve">LP SIGNIFOR </w:t>
                      </w:r>
                      <w:proofErr w:type="spellStart"/>
                      <w:r w:rsidRPr="00C5326C">
                        <w:rPr>
                          <w:b/>
                          <w:sz w:val="24"/>
                          <w:szCs w:val="24"/>
                        </w:rPr>
                        <w:t>inj</w:t>
                      </w:r>
                      <w:proofErr w:type="spellEnd"/>
                      <w:r w:rsidRPr="00C5326C">
                        <w:rPr>
                          <w:b/>
                          <w:sz w:val="24"/>
                          <w:szCs w:val="24"/>
                        </w:rPr>
                        <w:t>. (</w:t>
                      </w:r>
                      <w:proofErr w:type="spellStart"/>
                      <w:r w:rsidRPr="00C5326C">
                        <w:rPr>
                          <w:b/>
                          <w:sz w:val="24"/>
                          <w:szCs w:val="24"/>
                        </w:rPr>
                        <w:t>pasireotid</w:t>
                      </w:r>
                      <w:proofErr w:type="spellEnd"/>
                      <w:r w:rsidRPr="00C5326C">
                        <w:rPr>
                          <w:b/>
                          <w:sz w:val="24"/>
                          <w:szCs w:val="24"/>
                        </w:rPr>
                        <w:t xml:space="preserve"> LAR</w:t>
                      </w:r>
                      <w:r w:rsidRPr="003234B7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7</w:t>
                      </w:r>
                      <w:r w:rsidRPr="00C5326C">
                        <w:rPr>
                          <w:b/>
                          <w:sz w:val="24"/>
                          <w:szCs w:val="24"/>
                        </w:rPr>
                        <w:t xml:space="preserve">) je </w:t>
                      </w:r>
                      <w:r w:rsidRPr="00C5326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analog</w:t>
                      </w:r>
                      <w:r w:rsidR="00D82F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em</w:t>
                      </w:r>
                      <w:r w:rsidRPr="00C5326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somatostatinu</w:t>
                      </w:r>
                      <w:r w:rsidRPr="003234B7">
                        <w:rPr>
                          <w:rFonts w:cstheme="minorHAnsi"/>
                          <w:b/>
                          <w:sz w:val="24"/>
                          <w:szCs w:val="24"/>
                          <w:vertAlign w:val="superscript"/>
                        </w:rPr>
                        <w:t xml:space="preserve">19 </w:t>
                      </w:r>
                      <w:r w:rsidRPr="00C5326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2. generace, který se váže s vysokou afinitou na čtyři z pěti SSTR</w:t>
                      </w:r>
                      <w:r w:rsidRPr="003234B7">
                        <w:rPr>
                          <w:rFonts w:cstheme="minorHAnsi"/>
                          <w:b/>
                          <w:sz w:val="24"/>
                          <w:szCs w:val="24"/>
                          <w:vertAlign w:val="superscript"/>
                        </w:rPr>
                        <w:t>10</w:t>
                      </w:r>
                      <w:r w:rsidRPr="00C5326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 LP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je žádán</w:t>
                      </w:r>
                      <w:r w:rsidRPr="00C5326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E132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k léčbě dospělých </w:t>
                      </w:r>
                      <w:r w:rsidR="00D82FDD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pacientů </w:t>
                      </w:r>
                      <w:r w:rsidRPr="009E132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s akromegalií</w:t>
                      </w:r>
                      <w:r w:rsidRPr="00C5326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u nichž není vhodná operace nebo operace neměla dostatečný léčebný efekt, a </w:t>
                      </w:r>
                      <w:r w:rsidRPr="009E132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kteří nejsou dostatečně kontrolováni léčbou jiným analogem </w:t>
                      </w:r>
                      <w:proofErr w:type="spellStart"/>
                      <w:r w:rsidRPr="009E132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somatostatinu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F755C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Akromegalie je klinický syndrom, který je důsledkem nadměrné sekrece GH</w:t>
                      </w:r>
                      <w:r w:rsidRPr="00F755C9">
                        <w:rPr>
                          <w:rFonts w:cstheme="minorHAnsi"/>
                          <w:b/>
                          <w:sz w:val="24"/>
                          <w:szCs w:val="24"/>
                          <w:vertAlign w:val="superscript"/>
                        </w:rPr>
                        <w:t>13</w:t>
                      </w:r>
                      <w:r w:rsidRPr="00F755C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, vysoké sérové koncentrace GH a IGF-1</w:t>
                      </w:r>
                      <w:r w:rsidRPr="00F755C9">
                        <w:rPr>
                          <w:rFonts w:cstheme="minorHAnsi"/>
                          <w:b/>
                          <w:sz w:val="24"/>
                          <w:szCs w:val="24"/>
                          <w:vertAlign w:val="superscript"/>
                        </w:rPr>
                        <w:t>13</w:t>
                      </w:r>
                      <w:r w:rsidRPr="00F755C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(ten je závislý na GH) </w:t>
                      </w:r>
                      <w:r w:rsidR="00D82F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pak </w:t>
                      </w:r>
                      <w:r w:rsidRPr="00F755C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způsobují somatické i metabolické nežádoucí účinky. B</w:t>
                      </w:r>
                      <w:r w:rsidRPr="00F755C9">
                        <w:rPr>
                          <w:rFonts w:eastAsia="ScalaLancetPro-Bold" w:cs="ScalaLancetPro-Bold"/>
                          <w:b/>
                          <w:bCs/>
                          <w:sz w:val="24"/>
                          <w:szCs w:val="24"/>
                        </w:rPr>
                        <w:t>iochemická kontrola (normalizace) hladin IGF-1 je jedním ze základních biochemických cílů léčby akromegalie. Ú</w:t>
                      </w:r>
                      <w:r w:rsidRPr="00F755C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činnější </w:t>
                      </w:r>
                      <w:r w:rsidR="00D82F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možnosti </w:t>
                      </w:r>
                      <w:r w:rsidRPr="00F755C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farmakoterapie m</w:t>
                      </w:r>
                      <w:r w:rsidR="00D82F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ohou</w:t>
                      </w:r>
                      <w:r w:rsidRPr="00F755C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přinést vyšší míru biochemické kontroly a tím snížit pravděpodobnost rozvoje respiračních a kardiovaskulárních komorbidit, které zvyšují úmrtnost pac</w:t>
                      </w:r>
                      <w:r w:rsidR="00D82F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</w:t>
                      </w:r>
                      <w:r w:rsidRPr="00F755C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s akromegalií.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9E132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LP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SIGNIFOR </w:t>
                      </w:r>
                      <w:r w:rsidRPr="009E132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je registrován v EU jako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„</w:t>
                      </w:r>
                      <w:proofErr w:type="spellStart"/>
                      <w:r w:rsidRPr="009E132E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orphan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drug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“</w:t>
                      </w:r>
                      <w:r w:rsidRPr="0034764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, dne </w:t>
                      </w:r>
                      <w:r w:rsidRPr="00347641">
                        <w:rPr>
                          <w:b/>
                          <w:sz w:val="24"/>
                          <w:szCs w:val="24"/>
                        </w:rPr>
                        <w:t>13. 3. 2023 vydal SUKL ve standardně probíhajícím správním řízení Hodnotící zprávu</w:t>
                      </w:r>
                      <w:r w:rsidRPr="00347641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89</w:t>
                      </w:r>
                      <w:r w:rsidRPr="00347641">
                        <w:rPr>
                          <w:b/>
                          <w:sz w:val="24"/>
                          <w:szCs w:val="24"/>
                        </w:rPr>
                        <w:t>, kde navrhuje LP SIGNIFOR úhradu nepřiznat</w:t>
                      </w:r>
                      <w:r w:rsidRPr="00347641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90</w:t>
                      </w:r>
                      <w:r w:rsidRPr="00347641">
                        <w:rPr>
                          <w:b/>
                          <w:sz w:val="24"/>
                          <w:szCs w:val="24"/>
                        </w:rPr>
                        <w:t xml:space="preserve">, tzn. </w:t>
                      </w:r>
                      <w:r w:rsidRPr="009E132E">
                        <w:rPr>
                          <w:b/>
                          <w:sz w:val="24"/>
                          <w:szCs w:val="24"/>
                          <w:u w:val="single"/>
                        </w:rPr>
                        <w:t>aktuálně je možná pro LP jen žád</w:t>
                      </w:r>
                      <w:r w:rsidR="00D82FDD">
                        <w:rPr>
                          <w:b/>
                          <w:sz w:val="24"/>
                          <w:szCs w:val="24"/>
                          <w:u w:val="single"/>
                        </w:rPr>
                        <w:t>at</w:t>
                      </w:r>
                      <w:r w:rsidRPr="009E132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o mimořádnou úhradu </w:t>
                      </w:r>
                      <w:proofErr w:type="gramStart"/>
                      <w:r w:rsidRPr="009E132E">
                        <w:rPr>
                          <w:b/>
                          <w:sz w:val="24"/>
                          <w:szCs w:val="24"/>
                          <w:u w:val="single"/>
                        </w:rPr>
                        <w:t>ze</w:t>
                      </w:r>
                      <w:proofErr w:type="gramEnd"/>
                      <w:r w:rsidRPr="009E132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zdrav</w:t>
                      </w:r>
                      <w:r w:rsidR="00D82FDD">
                        <w:rPr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9E132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pojištění dle ustanovení § 16</w:t>
                      </w:r>
                      <w:r w:rsidRPr="00347641">
                        <w:rPr>
                          <w:b/>
                          <w:sz w:val="24"/>
                          <w:szCs w:val="24"/>
                        </w:rPr>
                        <w:t xml:space="preserve"> zákona č. 48/1997 Sb. o veřejném zdravotním pojištění.</w:t>
                      </w:r>
                    </w:p>
                    <w:p w:rsidR="00CE5ACE" w:rsidRDefault="00CE5ACE" w:rsidP="00C5326C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E59F0">
                        <w:rPr>
                          <w:b/>
                          <w:sz w:val="24"/>
                          <w:szCs w:val="24"/>
                        </w:rPr>
                        <w:t>Octreotid</w:t>
                      </w:r>
                      <w:proofErr w:type="spellEnd"/>
                      <w:r w:rsidRPr="008E59F0">
                        <w:rPr>
                          <w:b/>
                          <w:sz w:val="24"/>
                          <w:szCs w:val="24"/>
                        </w:rPr>
                        <w:t xml:space="preserve"> LAR a </w:t>
                      </w:r>
                      <w:proofErr w:type="spellStart"/>
                      <w:r w:rsidRPr="008E59F0">
                        <w:rPr>
                          <w:b/>
                          <w:sz w:val="24"/>
                          <w:szCs w:val="24"/>
                        </w:rPr>
                        <w:t>lanreotid</w:t>
                      </w:r>
                      <w:proofErr w:type="spellEnd"/>
                      <w:r w:rsidRPr="008E59F0">
                        <w:rPr>
                          <w:b/>
                          <w:sz w:val="24"/>
                          <w:szCs w:val="24"/>
                        </w:rPr>
                        <w:t xml:space="preserve"> (oba jsou FGSSA</w:t>
                      </w:r>
                      <w:r w:rsidRPr="0068716A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19</w:t>
                      </w:r>
                      <w:r w:rsidRPr="008E59F0">
                        <w:rPr>
                          <w:b/>
                          <w:sz w:val="24"/>
                          <w:szCs w:val="24"/>
                        </w:rPr>
                        <w:t>) se používají zatím jako léky 1. volby farmakoterapie jak v ČR</w:t>
                      </w:r>
                      <w:r w:rsidRPr="008E59F0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77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8E59F0">
                        <w:rPr>
                          <w:b/>
                          <w:sz w:val="24"/>
                          <w:szCs w:val="24"/>
                        </w:rPr>
                        <w:t>tak v zahraničí (viz Přílohu č. 5) vzhledem k jejich příznivému profilu rizika/přínosu.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744E" w:rsidRDefault="00AF744E" w:rsidP="00295012">
      <w:pPr>
        <w:spacing w:after="0"/>
        <w:jc w:val="both"/>
        <w:rPr>
          <w:rFonts w:cstheme="minorHAnsi"/>
          <w:u w:val="single"/>
        </w:rPr>
      </w:pPr>
    </w:p>
    <w:p w:rsidR="00C67E48" w:rsidRDefault="00C67E48" w:rsidP="00295012">
      <w:pPr>
        <w:spacing w:after="0"/>
        <w:jc w:val="both"/>
        <w:rPr>
          <w:rFonts w:cstheme="minorHAnsi"/>
          <w:u w:val="single"/>
        </w:rPr>
      </w:pPr>
    </w:p>
    <w:p w:rsidR="00C67E48" w:rsidRDefault="00C67E48" w:rsidP="00295012">
      <w:pPr>
        <w:spacing w:after="0"/>
        <w:jc w:val="both"/>
        <w:rPr>
          <w:rFonts w:cstheme="minorHAnsi"/>
          <w:u w:val="single"/>
        </w:rPr>
      </w:pPr>
    </w:p>
    <w:p w:rsidR="00C67E48" w:rsidRDefault="00C67E48" w:rsidP="00295012">
      <w:pPr>
        <w:spacing w:after="0"/>
        <w:jc w:val="both"/>
        <w:rPr>
          <w:rFonts w:cstheme="minorHAnsi"/>
          <w:u w:val="single"/>
        </w:rPr>
      </w:pPr>
    </w:p>
    <w:p w:rsidR="00C67E48" w:rsidRDefault="00C67E48" w:rsidP="00295012">
      <w:pPr>
        <w:spacing w:after="0"/>
        <w:jc w:val="both"/>
        <w:rPr>
          <w:rFonts w:cstheme="minorHAnsi"/>
          <w:u w:val="single"/>
        </w:rPr>
      </w:pPr>
    </w:p>
    <w:p w:rsidR="00C67E48" w:rsidRDefault="00C67E48" w:rsidP="00295012">
      <w:pPr>
        <w:spacing w:after="0"/>
        <w:jc w:val="both"/>
        <w:rPr>
          <w:rFonts w:cstheme="minorHAnsi"/>
          <w:u w:val="single"/>
        </w:rPr>
      </w:pPr>
    </w:p>
    <w:p w:rsidR="00C67E48" w:rsidRDefault="00C67E48" w:rsidP="00295012">
      <w:pPr>
        <w:spacing w:after="0"/>
        <w:jc w:val="both"/>
        <w:rPr>
          <w:rFonts w:cstheme="minorHAnsi"/>
          <w:u w:val="single"/>
        </w:rPr>
      </w:pPr>
    </w:p>
    <w:p w:rsidR="00C67E48" w:rsidRDefault="00C67E48" w:rsidP="00295012">
      <w:pPr>
        <w:spacing w:after="0"/>
        <w:jc w:val="both"/>
        <w:rPr>
          <w:rFonts w:cstheme="minorHAnsi"/>
          <w:u w:val="single"/>
        </w:rPr>
      </w:pPr>
    </w:p>
    <w:p w:rsidR="00C67E48" w:rsidRDefault="00C67E48" w:rsidP="00295012">
      <w:pPr>
        <w:spacing w:after="0"/>
        <w:jc w:val="both"/>
        <w:rPr>
          <w:rFonts w:cstheme="minorHAnsi"/>
          <w:u w:val="single"/>
        </w:rPr>
      </w:pPr>
    </w:p>
    <w:p w:rsidR="00C67E48" w:rsidRDefault="00C67E48" w:rsidP="00295012">
      <w:pPr>
        <w:spacing w:after="0"/>
        <w:jc w:val="both"/>
        <w:rPr>
          <w:rFonts w:cstheme="minorHAnsi"/>
          <w:u w:val="single"/>
        </w:rPr>
      </w:pPr>
    </w:p>
    <w:p w:rsidR="00C67E48" w:rsidRDefault="00C67E48" w:rsidP="00295012">
      <w:pPr>
        <w:spacing w:after="0"/>
        <w:jc w:val="both"/>
        <w:rPr>
          <w:rFonts w:cstheme="minorHAnsi"/>
          <w:u w:val="single"/>
        </w:rPr>
      </w:pPr>
    </w:p>
    <w:p w:rsidR="00C67E48" w:rsidRDefault="00C67E48" w:rsidP="00295012">
      <w:pPr>
        <w:spacing w:after="0"/>
        <w:jc w:val="both"/>
        <w:rPr>
          <w:rFonts w:cstheme="minorHAnsi"/>
          <w:u w:val="single"/>
        </w:rPr>
      </w:pPr>
    </w:p>
    <w:p w:rsidR="00C67E48" w:rsidRDefault="00C67E48" w:rsidP="00295012">
      <w:pPr>
        <w:spacing w:after="0"/>
        <w:jc w:val="both"/>
        <w:rPr>
          <w:rFonts w:cstheme="minorHAnsi"/>
          <w:u w:val="single"/>
        </w:rPr>
      </w:pPr>
    </w:p>
    <w:p w:rsidR="00C67E48" w:rsidRDefault="00C67E48" w:rsidP="00295012">
      <w:pPr>
        <w:spacing w:after="0"/>
        <w:jc w:val="both"/>
        <w:rPr>
          <w:rFonts w:cstheme="minorHAnsi"/>
          <w:u w:val="single"/>
        </w:rPr>
      </w:pPr>
    </w:p>
    <w:p w:rsidR="00C67E48" w:rsidRDefault="00C67E48" w:rsidP="00295012">
      <w:pPr>
        <w:spacing w:after="0"/>
        <w:jc w:val="both"/>
        <w:rPr>
          <w:rFonts w:cstheme="minorHAnsi"/>
          <w:u w:val="single"/>
        </w:rPr>
      </w:pPr>
    </w:p>
    <w:p w:rsidR="00C67E48" w:rsidRDefault="00C67E48" w:rsidP="00295012">
      <w:pPr>
        <w:spacing w:after="0"/>
        <w:jc w:val="both"/>
        <w:rPr>
          <w:rFonts w:cstheme="minorHAnsi"/>
          <w:u w:val="single"/>
        </w:rPr>
      </w:pPr>
    </w:p>
    <w:p w:rsidR="00C67E48" w:rsidRDefault="00C67E48" w:rsidP="00295012">
      <w:pPr>
        <w:spacing w:after="0"/>
        <w:jc w:val="both"/>
        <w:rPr>
          <w:rFonts w:cstheme="minorHAnsi"/>
          <w:u w:val="single"/>
        </w:rPr>
      </w:pPr>
    </w:p>
    <w:p w:rsidR="00D50E91" w:rsidRDefault="005674E2" w:rsidP="00295012">
      <w:pPr>
        <w:spacing w:after="0"/>
        <w:jc w:val="both"/>
        <w:rPr>
          <w:rFonts w:cstheme="minorHAnsi"/>
          <w:u w:val="single"/>
        </w:rPr>
      </w:pPr>
      <w:r>
        <w:rPr>
          <w:rFonts w:cstheme="minorHAnsi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624C2A" wp14:editId="6C10ADD7">
                <wp:simplePos x="0" y="0"/>
                <wp:positionH relativeFrom="margin">
                  <wp:posOffset>-36195</wp:posOffset>
                </wp:positionH>
                <wp:positionV relativeFrom="paragraph">
                  <wp:posOffset>97155</wp:posOffset>
                </wp:positionV>
                <wp:extent cx="6848475" cy="9220200"/>
                <wp:effectExtent l="19050" t="1905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922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5ACE" w:rsidRPr="005674E2" w:rsidRDefault="00CE5ACE" w:rsidP="008E59F0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716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Volba terapie </w:t>
                            </w:r>
                            <w:r w:rsidRPr="006871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jako 2. linie u pacientů, kteří nedosahují biochemické kontroly maximálními dávkami FGSSA je možná </w:t>
                            </w:r>
                            <w:r w:rsidRPr="0068716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mezi LP SOMAVERT (buď v </w:t>
                            </w:r>
                            <w:proofErr w:type="spellStart"/>
                            <w:r w:rsidRPr="0068716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monoterapii</w:t>
                            </w:r>
                            <w:proofErr w:type="spellEnd"/>
                            <w:r w:rsidRPr="0068716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nebo v kombinaci s FGSSA) nebo LP SIGNIFOR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jako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monoterapie</w:t>
                            </w:r>
                            <w:proofErr w:type="spellEnd"/>
                            <w:r w:rsidRPr="0068716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 mezi výše uvedenými farmakologickými skupinami by volba měla být zejména individualizována na základě faktorů </w:t>
                            </w:r>
                            <w:r w:rsidRPr="005674E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specifických pro onemocnění a pacienta, </w:t>
                            </w:r>
                            <w:r w:rsidR="00D82FD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tzn. faktorů </w:t>
                            </w:r>
                            <w:r w:rsidRPr="005674E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o nichž je známo, že ovlivňují </w:t>
                            </w:r>
                            <w:proofErr w:type="spellStart"/>
                            <w:r w:rsidRPr="005674E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terap</w:t>
                            </w:r>
                            <w:proofErr w:type="spellEnd"/>
                            <w:r w:rsidR="00D82FD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5674E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účinnost a bezpečnost těchto dvou </w:t>
                            </w:r>
                            <w:proofErr w:type="gramStart"/>
                            <w:r w:rsidRPr="005674E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LP</w:t>
                            </w:r>
                            <w:r w:rsidRPr="005674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- viz</w:t>
                            </w:r>
                            <w:proofErr w:type="gramEnd"/>
                            <w:r w:rsidRPr="005674E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např. Přílohu č. 7. </w:t>
                            </w:r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LP SIGNIFOR byl přímo v RCT fáz</w:t>
                            </w:r>
                            <w:r w:rsidR="00D82F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3 srovnáván jen s FGSSA a to jen po dobu 24 týdnů</w:t>
                            </w:r>
                            <w:r w:rsidR="00D82F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, konkrétně:</w:t>
                            </w:r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ve studi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PAOLA</w:t>
                            </w:r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32</w:t>
                            </w:r>
                            <w:r w:rsidRPr="005674E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Nepřímé srovnání účinnosti/bezpečnosti SIGNIFORU vůči SOMAVERTU (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v </w:t>
                            </w:r>
                            <w:proofErr w:type="spellStart"/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monoterapii</w:t>
                            </w:r>
                            <w:proofErr w:type="spellEnd"/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i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v </w:t>
                            </w:r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kombinaci s FGSSA) u pac. neodpovídající</w:t>
                            </w:r>
                            <w:r w:rsidR="00D82FD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ch</w:t>
                            </w:r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na léčbu 1. linií FGSSA je komplikováno velkou heterogenností pacientů s </w:t>
                            </w:r>
                            <w:proofErr w:type="spellStart"/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akromegálií</w:t>
                            </w:r>
                            <w:proofErr w:type="spellEnd"/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 velkým množstvím faktorů ovlivňujících účinnost, příp. velikost dávky obou </w:t>
                            </w:r>
                            <w:proofErr w:type="gramStart"/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LP</w:t>
                            </w:r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viz</w:t>
                            </w:r>
                            <w:proofErr w:type="gramEnd"/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výše „Výsledky CEA“ a</w:t>
                            </w:r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soubor v Excel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(„</w:t>
                            </w:r>
                            <w:proofErr w:type="spellStart"/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Signifor</w:t>
                            </w:r>
                            <w:proofErr w:type="spellEnd"/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-pomocný soubor“) připojen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ý</w:t>
                            </w:r>
                            <w:r w:rsidRPr="005674E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jako samostatná příloha.</w:t>
                            </w:r>
                          </w:p>
                          <w:p w:rsidR="00CE5ACE" w:rsidRPr="00F43FDC" w:rsidRDefault="00CE5ACE" w:rsidP="00E70906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D5068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SOMAVERT a SIGNIFOR se totiž liší v mechanismu účinku a v NÚ, přičemž tyto odlišnosti určitým způsobem determinují postavení LP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 z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>e stanoviska ČES</w:t>
                            </w:r>
                            <w:r w:rsidRPr="009276BC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77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,89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vyplývá, že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SOMAVERT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bude volen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přednostně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tam, kde pacient není ohrožen velikostí a vztahem tumoru k okolí, či pacient</w:t>
                            </w:r>
                            <w:r w:rsidR="00D82FDD">
                              <w:rPr>
                                <w:b/>
                                <w:sz w:val="24"/>
                                <w:szCs w:val="24"/>
                              </w:rPr>
                              <w:t>, který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je již po léčbě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SRS</w:t>
                            </w:r>
                            <w:r w:rsidRPr="0062040B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51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>, která zastaví další růst rezidua adenomu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CC2DBF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Pr="00CC2DB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 ČR je </w:t>
                            </w:r>
                            <w:proofErr w:type="spellStart"/>
                            <w:r w:rsidRPr="00CC2DB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Pr="00CC2DBF">
                              <w:rPr>
                                <w:rFonts w:cs="CIDFont+F5"/>
                                <w:b/>
                                <w:sz w:val="24"/>
                                <w:szCs w:val="24"/>
                              </w:rPr>
                              <w:t>onoterapie</w:t>
                            </w:r>
                            <w:proofErr w:type="spellEnd"/>
                            <w:r w:rsidRPr="00CC2DBF">
                              <w:rPr>
                                <w:rFonts w:cs="CIDFont+F5"/>
                                <w:b/>
                                <w:sz w:val="24"/>
                                <w:szCs w:val="24"/>
                              </w:rPr>
                              <w:t xml:space="preserve"> SOMAVERTEM volena obvykle tam, kde není pozorován efekt</w:t>
                            </w:r>
                            <w:r w:rsidRPr="00CC2DBF">
                              <w:rPr>
                                <w:rFonts w:cs="CIDFont+F5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21</w:t>
                            </w:r>
                            <w:r w:rsidRPr="00CC2DBF">
                              <w:rPr>
                                <w:rFonts w:cs="CIDFont+F5"/>
                                <w:b/>
                                <w:sz w:val="24"/>
                                <w:szCs w:val="24"/>
                              </w:rPr>
                              <w:t xml:space="preserve"> samotného FGSSA</w:t>
                            </w:r>
                            <w:r w:rsidRPr="00CC2DBF">
                              <w:rPr>
                                <w:rFonts w:cs="CIDFont+F5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19</w:t>
                            </w:r>
                            <w:r w:rsidRPr="00CC2DBF">
                              <w:rPr>
                                <w:rFonts w:cs="CIDFont+F5"/>
                                <w:b/>
                                <w:sz w:val="24"/>
                                <w:szCs w:val="24"/>
                              </w:rPr>
                              <w:t xml:space="preserve"> v 1. linii terapie, kombinovaná léčba s FGSSA pak při parciálním efektu</w:t>
                            </w:r>
                            <w:r w:rsidRPr="00CC2DBF">
                              <w:rPr>
                                <w:rFonts w:cs="CIDFont+F5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21</w:t>
                            </w:r>
                            <w:r w:rsidRPr="00CC2DBF">
                              <w:rPr>
                                <w:rFonts w:cs="CIDFont+F5"/>
                                <w:b/>
                                <w:sz w:val="24"/>
                                <w:szCs w:val="24"/>
                              </w:rPr>
                              <w:t xml:space="preserve"> samotného FGSSA v 1. </w:t>
                            </w:r>
                            <w:r>
                              <w:rPr>
                                <w:rFonts w:cs="CIDFont+F5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CC2DBF">
                              <w:rPr>
                                <w:rFonts w:cs="CIDFont+F5"/>
                                <w:b/>
                                <w:sz w:val="24"/>
                                <w:szCs w:val="24"/>
                              </w:rPr>
                              <w:t>inii)</w:t>
                            </w:r>
                            <w:r w:rsidRPr="00CC2DBF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naopak u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populace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pacientů 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ohrožené velikostí adenomu nebo jeho růstem se může využít právě mechanismus účinku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SIGNIFORU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kterým se odlišuje od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SOMAVERTU (tzn. 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jeho přímého působení na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SSTR</w:t>
                            </w:r>
                            <w:r w:rsidRPr="0062040B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10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v reziduálním adenomu hypofýzy, a pokusit se tak ovlivnit jeho růst/velikost (u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SIGNIFORU 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lze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např. 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dle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výsledků studie PAOLA</w:t>
                            </w:r>
                            <w:r w:rsidRPr="0062040B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33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očekávat významnější vliv na velikost adenomu než u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FG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>SSA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D82FDD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Další indikací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SIGNIFORU 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>dle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>ČES</w:t>
                            </w:r>
                            <w:r w:rsidRPr="009276BC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77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,89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by mohly být bolesti hlavy, které nereagují na jinou terapii a někdy je možné je potlačit právě SSA</w:t>
                            </w:r>
                            <w:r w:rsidRPr="00CC2DBF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19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SIGNIFOR</w:t>
                            </w:r>
                            <w:r w:rsidRPr="00E7090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může mít výraznější ochranný účinek proti obratlovým zlomeninám ve srovnání s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e SOMAVERTEM. </w:t>
                            </w:r>
                            <w:r w:rsidRPr="00D82FD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Nevýhodou SIGNIFORU je pak negativní působení na glukózový metabolismus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>, a proto bude v případě již přítomné poruchy glukózového metabolismu dle ČES</w:t>
                            </w:r>
                            <w:r w:rsidRPr="00CC2DBF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89</w:t>
                            </w:r>
                            <w:r w:rsidRPr="00E70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vhodnější léčba </w:t>
                            </w:r>
                            <w:r w:rsidR="009F4202">
                              <w:rPr>
                                <w:b/>
                                <w:sz w:val="24"/>
                                <w:szCs w:val="24"/>
                              </w:rPr>
                              <w:t>SOMAVERTEM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5068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Pr="00D5068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rop-</w:t>
                            </w:r>
                            <w:proofErr w:type="spellStart"/>
                            <w:r w:rsidRPr="00D5068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out</w:t>
                            </w:r>
                            <w:proofErr w:type="spellEnd"/>
                            <w:r w:rsidRPr="00D5068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pacientů na léčbě SIGNIFOREM je odhadován na 10 % ročně</w:t>
                            </w:r>
                            <w:r w:rsidRPr="00D5068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78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43FD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Ve FN Olomouc je dle žádosti III. IK</w:t>
                            </w:r>
                            <w:r w:rsidRPr="00F43FD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3</w:t>
                            </w:r>
                            <w:r w:rsidRPr="00F43FD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předpokládaný počet pacientů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na LP SIGNIFOR </w:t>
                            </w:r>
                            <w:r w:rsidRPr="00F43FD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43FD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43FD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pacienti</w:t>
                            </w:r>
                            <w:r w:rsidRPr="00F43FD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ročně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:rsidR="00CE5ACE" w:rsidRPr="005071CC" w:rsidRDefault="00CE5ACE" w:rsidP="00E70906">
                            <w:pPr>
                              <w:spacing w:after="0"/>
                              <w:jc w:val="both"/>
                              <w:rPr>
                                <w:b/>
                                <w:sz w:val="8"/>
                                <w:szCs w:val="8"/>
                                <w:vertAlign w:val="superscript"/>
                              </w:rPr>
                            </w:pPr>
                          </w:p>
                          <w:p w:rsidR="00CE5ACE" w:rsidRDefault="00CE5ACE" w:rsidP="005071CC">
                            <w:pPr>
                              <w:spacing w:after="0"/>
                              <w:jc w:val="both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Dle cen a bonusů aktuálně platných k datu 14. 3. 2023 (při vědomí omezení uvedených výše) a použité metodiky (viz výše odstavec „Specifikace FE analýzy“) jsou výsledky CEA a BIA následující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E5ACE" w:rsidRDefault="00CE5ACE" w:rsidP="007F1247">
                            <w:pPr>
                              <w:pStyle w:val="Odstavecseseznamem"/>
                              <w:numPr>
                                <w:ilvl w:val="0"/>
                                <w:numId w:val="37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F124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náklady za samotné komparované LP činí přes 98% z celkových zdravotnických nákladů za příslušné režimy (viz pozn. 81)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, takže jsou pro výsledky analýzy rozhodujícími faktory,</w:t>
                            </w:r>
                          </w:p>
                          <w:p w:rsidR="00CE5ACE" w:rsidRDefault="00CE5ACE" w:rsidP="007F1247">
                            <w:pPr>
                              <w:pStyle w:val="Odstavecseseznamem"/>
                              <w:numPr>
                                <w:ilvl w:val="0"/>
                                <w:numId w:val="37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dle CEA výsledků má ve větších populacích pacientů SIGNIFOR tendenci být nákladově efektivnější, zvláště v časovém horizontu delším než 1. rok, </w:t>
                            </w:r>
                            <w:r w:rsidRPr="009F420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privilegující v</w:t>
                            </w:r>
                            <w:r w:rsidRPr="009F4202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ýhodou SIGNIFORU je stejná cena pro obě síly, na rozdíl od SOMAVERTU!, tím se výrazně zužuje rozptyl jeho výsledných hodnot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významně výsledky modifikujícími faktory (kromě výše uvedených) je pravděpodobně také opožděnější léčebná biochemická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odpověd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ˇ u řady pacientů</w:t>
                            </w:r>
                            <w:r w:rsidRPr="007F124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na SIGNIFORU či event. prodloužení dávkovacího intervalu u části kontrolovaných pacientů na léčbě SOMAVERTEM,</w:t>
                            </w:r>
                          </w:p>
                          <w:p w:rsidR="00CE5ACE" w:rsidRPr="002674F7" w:rsidRDefault="00CE5ACE" w:rsidP="007F1247">
                            <w:pPr>
                              <w:pStyle w:val="Odstavecseseznamem"/>
                              <w:numPr>
                                <w:ilvl w:val="0"/>
                                <w:numId w:val="37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  <w:r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dle BIA výsledků bude SIGNIFOR velmi pravděpodobně ve 2. linii nákladově šetřící LP oproti léčebným režimům se SOMAVERTEM: od 75.000 Kč až do téměř 6 miliónů Kč za 1</w:t>
                            </w:r>
                            <w:r w:rsid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.</w:t>
                            </w:r>
                            <w:r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rok léčby 2 – 4 pacientů (konkrétní výsledek bude výrazně určován, kromě počtu pacientů, také jejich charakteristikami!</w:t>
                            </w:r>
                            <w:r w:rsidR="002674F7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- viz výše „Výsledky CEA“</w:t>
                            </w:r>
                            <w:r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), ve 3. linii bude při převedení např. 1 pac.</w:t>
                            </w:r>
                            <w:r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kompenzovaného na komb. SOMAVERT 30mg/den + SANDOSTATIN LAR 30mg 1x za 28 dní </w:t>
                            </w:r>
                            <w:r w:rsidR="00D40A51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n</w:t>
                            </w:r>
                            <w:r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a komb</w:t>
                            </w:r>
                            <w:r w:rsidR="00D40A51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.</w:t>
                            </w:r>
                            <w:r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S</w:t>
                            </w:r>
                            <w:r w:rsidR="00D40A51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IGNIFOR</w:t>
                            </w:r>
                            <w:r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60mg 1x za 28 dní</w:t>
                            </w:r>
                            <w:r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+ S</w:t>
                            </w:r>
                            <w:r w:rsidR="00D40A51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OMAVERT</w:t>
                            </w:r>
                            <w:r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20mg</w:t>
                            </w:r>
                            <w:r w:rsidR="00D40A51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/den zajišťující kompenzaci</w:t>
                            </w:r>
                            <w:r w:rsidR="009F420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9F420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pac. </w:t>
                            </w:r>
                            <w:r w:rsidR="00D40A51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úspora cca 250 tisíc Kč za rok, </w:t>
                            </w:r>
                            <w:r w:rsidR="009F420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naopak </w:t>
                            </w:r>
                            <w:r w:rsidR="00D40A51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při převedení 1 pac.</w:t>
                            </w:r>
                            <w:r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nekompenzova</w:t>
                            </w:r>
                            <w:r w:rsidR="00D40A51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ného</w:t>
                            </w:r>
                            <w:r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na komb</w:t>
                            </w:r>
                            <w:r w:rsidR="00D40A51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. </w:t>
                            </w:r>
                            <w:r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SOMAVERT 30mg/den + SANDOSTATIN LAR 30mg 1x za 28 dní </w:t>
                            </w:r>
                            <w:r w:rsidR="00D40A51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na komb. maxim. dávek SIGNIFOR</w:t>
                            </w:r>
                            <w:r w:rsidR="009F420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U</w:t>
                            </w:r>
                            <w:r w:rsidR="00D40A51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60mg 1x za 28 dní</w:t>
                            </w:r>
                            <w:r w:rsidR="00D40A51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D40A51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+ SOMAVERT</w:t>
                            </w:r>
                            <w:r w:rsidR="009F420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U</w:t>
                            </w:r>
                            <w:r w:rsidR="00D40A51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8E4734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3</w:t>
                            </w:r>
                            <w:r w:rsidR="00D40A51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0mg/den</w:t>
                            </w:r>
                            <w:r w:rsidR="00D40A51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  <w:vertAlign w:val="superscript"/>
                              </w:rPr>
                              <w:t xml:space="preserve">76 </w:t>
                            </w:r>
                            <w:r w:rsidR="008E4734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budou náklady navíc</w:t>
                            </w:r>
                            <w:r w:rsidR="0084546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– a to ve výši</w:t>
                            </w:r>
                            <w:r w:rsidR="008E4734" w:rsidRPr="002674F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cca 425 tisíc Kč za rok.</w:t>
                            </w:r>
                          </w:p>
                          <w:p w:rsidR="00CE5ACE" w:rsidRPr="00CE5ACE" w:rsidRDefault="00CE5ACE" w:rsidP="005071CC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E5ACE" w:rsidRPr="00E70906" w:rsidRDefault="00CE5ACE" w:rsidP="00E70906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24C2A" id="Textové pole 29" o:spid="_x0000_s1028" type="#_x0000_t202" style="position:absolute;left:0;text-align:left;margin-left:-2.85pt;margin-top:7.65pt;width:539.25pt;height:726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" fillcolor="white [3201]" strokeweight="3pt">
                <v:textbox>
                  <w:txbxContent>
                    <w:p w:rsidR="00CE5ACE" w:rsidRPr="005674E2" w:rsidRDefault="00CE5ACE" w:rsidP="008E59F0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68716A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Volba terapie </w:t>
                      </w:r>
                      <w:r w:rsidRPr="0068716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jako 2. linie u pacientů, kteří nedosahují biochemické kontroly maximálními dávkami FGSSA je možná </w:t>
                      </w:r>
                      <w:r w:rsidRPr="0068716A">
                        <w:rPr>
                          <w:b/>
                          <w:sz w:val="24"/>
                          <w:szCs w:val="24"/>
                          <w:u w:val="single"/>
                        </w:rPr>
                        <w:t>mezi LP SOMAVERT (buď v </w:t>
                      </w:r>
                      <w:proofErr w:type="spellStart"/>
                      <w:r w:rsidRPr="0068716A">
                        <w:rPr>
                          <w:b/>
                          <w:sz w:val="24"/>
                          <w:szCs w:val="24"/>
                          <w:u w:val="single"/>
                        </w:rPr>
                        <w:t>monoterapii</w:t>
                      </w:r>
                      <w:proofErr w:type="spellEnd"/>
                      <w:r w:rsidRPr="0068716A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nebo v kombinaci s FGSSA) nebo LP SIGNIFOR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jako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monoterapie</w:t>
                      </w:r>
                      <w:proofErr w:type="spellEnd"/>
                      <w:r w:rsidRPr="0068716A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– mezi výše uvedenými farmakologickými skupinami by volba měla být zejména individualizována na základě faktorů </w:t>
                      </w:r>
                      <w:r w:rsidRPr="005674E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specifických pro onemocnění a pacienta, </w:t>
                      </w:r>
                      <w:r w:rsidR="00D82FD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tzn. faktorů </w:t>
                      </w:r>
                      <w:r w:rsidRPr="005674E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o nichž je známo, že ovlivňují </w:t>
                      </w:r>
                      <w:proofErr w:type="spellStart"/>
                      <w:r w:rsidRPr="005674E2">
                        <w:rPr>
                          <w:b/>
                          <w:sz w:val="24"/>
                          <w:szCs w:val="24"/>
                          <w:u w:val="single"/>
                        </w:rPr>
                        <w:t>terap</w:t>
                      </w:r>
                      <w:proofErr w:type="spellEnd"/>
                      <w:r w:rsidR="00D82FDD">
                        <w:rPr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5674E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účinnost a bezpečnost těchto dvou </w:t>
                      </w:r>
                      <w:proofErr w:type="gramStart"/>
                      <w:r w:rsidRPr="005674E2">
                        <w:rPr>
                          <w:b/>
                          <w:sz w:val="24"/>
                          <w:szCs w:val="24"/>
                          <w:u w:val="single"/>
                        </w:rPr>
                        <w:t>LP</w:t>
                      </w:r>
                      <w:r w:rsidRPr="005674E2">
                        <w:rPr>
                          <w:b/>
                          <w:sz w:val="24"/>
                          <w:szCs w:val="24"/>
                        </w:rPr>
                        <w:t xml:space="preserve"> - viz</w:t>
                      </w:r>
                      <w:proofErr w:type="gramEnd"/>
                      <w:r w:rsidRPr="005674E2">
                        <w:rPr>
                          <w:b/>
                          <w:sz w:val="24"/>
                          <w:szCs w:val="24"/>
                        </w:rPr>
                        <w:t xml:space="preserve"> např. Přílohu č. 7. </w:t>
                      </w:r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LP SIGNIFOR byl přímo v RCT fáz</w:t>
                      </w:r>
                      <w:r w:rsidR="00D82F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</w:t>
                      </w:r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3 srovnáván jen s FGSSA a to jen po dobu 24 týdnů</w:t>
                      </w:r>
                      <w:r w:rsidR="00D82FD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, konkrétně:</w:t>
                      </w:r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ve studi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i</w:t>
                      </w:r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PAOLA</w:t>
                      </w:r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  <w:vertAlign w:val="superscript"/>
                        </w:rPr>
                        <w:t>32</w:t>
                      </w:r>
                      <w:r w:rsidRPr="005674E2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Nepřímé srovnání účinnosti/bezpečnosti SIGNIFORU vůči SOMAVERTU (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v </w:t>
                      </w:r>
                      <w:proofErr w:type="spellStart"/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monoterapii</w:t>
                      </w:r>
                      <w:proofErr w:type="spellEnd"/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i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v </w:t>
                      </w:r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kombinaci s FGSSA) u pac. neodpovídající</w:t>
                      </w:r>
                      <w:r w:rsidR="00D82FDD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ch</w:t>
                      </w:r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na léčbu 1. linií FGSSA je komplikováno velkou heterogenností pacientů s </w:t>
                      </w:r>
                      <w:proofErr w:type="spellStart"/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akromegálií</w:t>
                      </w:r>
                      <w:proofErr w:type="spellEnd"/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a velkým množstvím faktorů ovlivňujících účinnost, příp. velikost dávky obou </w:t>
                      </w:r>
                      <w:proofErr w:type="gramStart"/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LP</w:t>
                      </w:r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viz</w:t>
                      </w:r>
                      <w:proofErr w:type="gramEnd"/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výše „Výsledky CEA“ a</w:t>
                      </w:r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soubor v Excel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u</w:t>
                      </w:r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(„</w:t>
                      </w:r>
                      <w:proofErr w:type="spellStart"/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Signifor</w:t>
                      </w:r>
                      <w:proofErr w:type="spellEnd"/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-pomocný soubor“) připojen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ý</w:t>
                      </w:r>
                      <w:r w:rsidRPr="005674E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jako samostatná příloha.</w:t>
                      </w:r>
                    </w:p>
                    <w:p w:rsidR="00CE5ACE" w:rsidRPr="00F43FDC" w:rsidRDefault="00CE5ACE" w:rsidP="00E70906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D5068B">
                        <w:rPr>
                          <w:b/>
                          <w:sz w:val="24"/>
                          <w:szCs w:val="24"/>
                          <w:u w:val="single"/>
                        </w:rPr>
                        <w:t>SOMAVERT a SIGNIFOR se totiž liší v mechanismu účinku a v NÚ, přičemž tyto odlišnosti určitým způsobem determinují postavení LP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 z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>e stanoviska ČES</w:t>
                      </w:r>
                      <w:r w:rsidRPr="009276BC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77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,89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 xml:space="preserve"> vyplývá, že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SOMAVERT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 xml:space="preserve"> bude volen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přednostně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 xml:space="preserve"> tam, kde pacient není ohrožen velikostí a vztahem tumoru k okolí, či pacient</w:t>
                      </w:r>
                      <w:r w:rsidR="00D82FDD">
                        <w:rPr>
                          <w:b/>
                          <w:sz w:val="24"/>
                          <w:szCs w:val="24"/>
                        </w:rPr>
                        <w:t>, který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 xml:space="preserve"> je již po léčbě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SRS</w:t>
                      </w:r>
                      <w:r w:rsidRPr="0062040B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51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>, která zastaví další růst rezidua adenomu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Pr="00CC2DBF"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 w:rsidRPr="00CC2DB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 ČR je </w:t>
                      </w:r>
                      <w:proofErr w:type="spellStart"/>
                      <w:r w:rsidRPr="00CC2DB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</w:t>
                      </w:r>
                      <w:r w:rsidRPr="00CC2DBF">
                        <w:rPr>
                          <w:rFonts w:cs="CIDFont+F5"/>
                          <w:b/>
                          <w:sz w:val="24"/>
                          <w:szCs w:val="24"/>
                        </w:rPr>
                        <w:t>onoterapie</w:t>
                      </w:r>
                      <w:proofErr w:type="spellEnd"/>
                      <w:r w:rsidRPr="00CC2DBF">
                        <w:rPr>
                          <w:rFonts w:cs="CIDFont+F5"/>
                          <w:b/>
                          <w:sz w:val="24"/>
                          <w:szCs w:val="24"/>
                        </w:rPr>
                        <w:t xml:space="preserve"> SOMAVERTEM volena obvykle tam, kde není pozorován efekt</w:t>
                      </w:r>
                      <w:r w:rsidRPr="00CC2DBF">
                        <w:rPr>
                          <w:rFonts w:cs="CIDFont+F5"/>
                          <w:b/>
                          <w:sz w:val="24"/>
                          <w:szCs w:val="24"/>
                          <w:vertAlign w:val="superscript"/>
                        </w:rPr>
                        <w:t>21</w:t>
                      </w:r>
                      <w:r w:rsidRPr="00CC2DBF">
                        <w:rPr>
                          <w:rFonts w:cs="CIDFont+F5"/>
                          <w:b/>
                          <w:sz w:val="24"/>
                          <w:szCs w:val="24"/>
                        </w:rPr>
                        <w:t xml:space="preserve"> samotného FGSSA</w:t>
                      </w:r>
                      <w:r w:rsidRPr="00CC2DBF">
                        <w:rPr>
                          <w:rFonts w:cs="CIDFont+F5"/>
                          <w:b/>
                          <w:sz w:val="24"/>
                          <w:szCs w:val="24"/>
                          <w:vertAlign w:val="superscript"/>
                        </w:rPr>
                        <w:t>19</w:t>
                      </w:r>
                      <w:r w:rsidRPr="00CC2DBF">
                        <w:rPr>
                          <w:rFonts w:cs="CIDFont+F5"/>
                          <w:b/>
                          <w:sz w:val="24"/>
                          <w:szCs w:val="24"/>
                        </w:rPr>
                        <w:t xml:space="preserve"> v 1. linii terapie, kombinovaná léčba s FGSSA pak při parciálním efektu</w:t>
                      </w:r>
                      <w:r w:rsidRPr="00CC2DBF">
                        <w:rPr>
                          <w:rFonts w:cs="CIDFont+F5"/>
                          <w:b/>
                          <w:sz w:val="24"/>
                          <w:szCs w:val="24"/>
                          <w:vertAlign w:val="superscript"/>
                        </w:rPr>
                        <w:t>21</w:t>
                      </w:r>
                      <w:r w:rsidRPr="00CC2DBF">
                        <w:rPr>
                          <w:rFonts w:cs="CIDFont+F5"/>
                          <w:b/>
                          <w:sz w:val="24"/>
                          <w:szCs w:val="24"/>
                        </w:rPr>
                        <w:t xml:space="preserve"> samotného FGSSA v 1. </w:t>
                      </w:r>
                      <w:r>
                        <w:rPr>
                          <w:rFonts w:cs="CIDFont+F5"/>
                          <w:b/>
                          <w:sz w:val="24"/>
                          <w:szCs w:val="24"/>
                        </w:rPr>
                        <w:t>l</w:t>
                      </w:r>
                      <w:r w:rsidRPr="00CC2DBF">
                        <w:rPr>
                          <w:rFonts w:cs="CIDFont+F5"/>
                          <w:b/>
                          <w:sz w:val="24"/>
                          <w:szCs w:val="24"/>
                        </w:rPr>
                        <w:t>inii)</w:t>
                      </w:r>
                      <w:r w:rsidRPr="00CC2DBF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naopak u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 xml:space="preserve"> populace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pacientů 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 xml:space="preserve">ohrožené velikostí adenomu nebo jeho růstem se může využít právě mechanismus účinku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SIGNIFORU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 xml:space="preserve">, kterým se odlišuje od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SOMAVERTU (tzn. 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 xml:space="preserve">jeho přímého působení na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SSTR</w:t>
                      </w:r>
                      <w:r w:rsidRPr="0062040B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10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 xml:space="preserve"> v reziduálním adenomu hypofýzy, a pokusit se tak ovlivnit jeho růst/velikost (u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SIGNIFORU 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 xml:space="preserve">lze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např. 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 xml:space="preserve">dle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výsledků studie PAOLA</w:t>
                      </w:r>
                      <w:r w:rsidRPr="0062040B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33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 xml:space="preserve">očekávat významnější vliv na velikost adenomu než u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FG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>SSA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="00D82FDD"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 xml:space="preserve">Další indikací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SIGNIFORU 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>dle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>ČES</w:t>
                      </w:r>
                      <w:r w:rsidRPr="009276BC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77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,89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 xml:space="preserve"> by mohly být bolesti hlavy, které nereagují na jinou terapii a někdy je možné je potlačit právě SSA</w:t>
                      </w:r>
                      <w:r w:rsidRPr="00CC2DBF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19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SIGNIFOR</w:t>
                      </w:r>
                      <w:r w:rsidRPr="00E7090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může mít výraznější ochranný účinek proti obratlovým zlomeninám ve srovnání s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e SOMAVERTEM. </w:t>
                      </w:r>
                      <w:r w:rsidRPr="00D82FDD">
                        <w:rPr>
                          <w:b/>
                          <w:sz w:val="24"/>
                          <w:szCs w:val="24"/>
                          <w:u w:val="single"/>
                        </w:rPr>
                        <w:t>Nevýhodou SIGNIFORU je pak negativní působení na glukózový metabolismus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>, a proto bude v případě již přítomné poruchy glukózového metabolismu dle ČES</w:t>
                      </w:r>
                      <w:r w:rsidRPr="00CC2DBF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89</w:t>
                      </w:r>
                      <w:r w:rsidRPr="00E70906">
                        <w:rPr>
                          <w:b/>
                          <w:sz w:val="24"/>
                          <w:szCs w:val="24"/>
                        </w:rPr>
                        <w:t xml:space="preserve"> vhodnější léčba </w:t>
                      </w:r>
                      <w:r w:rsidR="009F4202">
                        <w:rPr>
                          <w:b/>
                          <w:sz w:val="24"/>
                          <w:szCs w:val="24"/>
                        </w:rPr>
                        <w:t>SOMAVERTEM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D5068B">
                        <w:rPr>
                          <w:b/>
                          <w:sz w:val="24"/>
                          <w:szCs w:val="24"/>
                          <w:u w:val="single"/>
                        </w:rPr>
                        <w:t>D</w:t>
                      </w:r>
                      <w:r w:rsidRPr="00D5068B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rop-</w:t>
                      </w:r>
                      <w:proofErr w:type="spellStart"/>
                      <w:r w:rsidRPr="00D5068B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out</w:t>
                      </w:r>
                      <w:proofErr w:type="spellEnd"/>
                      <w:r w:rsidRPr="00D5068B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pacientů na léčbě SIGNIFOREM je odhadován na 10 % ročně</w:t>
                      </w:r>
                      <w:r w:rsidRPr="00D5068B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78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F43FDC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Ve FN Olomouc je dle žádosti III. IK</w:t>
                      </w:r>
                      <w:r w:rsidRPr="00F43FDC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3</w:t>
                      </w:r>
                      <w:r w:rsidRPr="00F43FDC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předpokládaný počet pacientů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na LP SIGNIFOR </w:t>
                      </w:r>
                      <w:r w:rsidRPr="00F43FDC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43FDC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-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43FDC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4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pacienti</w:t>
                      </w:r>
                      <w:r w:rsidRPr="00F43FDC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ročně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:rsidR="00CE5ACE" w:rsidRPr="005071CC" w:rsidRDefault="00CE5ACE" w:rsidP="00E70906">
                      <w:pPr>
                        <w:spacing w:after="0"/>
                        <w:jc w:val="both"/>
                        <w:rPr>
                          <w:b/>
                          <w:sz w:val="8"/>
                          <w:szCs w:val="8"/>
                          <w:vertAlign w:val="superscript"/>
                        </w:rPr>
                      </w:pPr>
                    </w:p>
                    <w:p w:rsidR="00CE5ACE" w:rsidRDefault="00CE5ACE" w:rsidP="005071CC">
                      <w:pPr>
                        <w:spacing w:after="0"/>
                        <w:jc w:val="both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  <w:u w:val="single"/>
                        </w:rPr>
                        <w:t>Dle cen a bonusů aktuálně platných k datu 14. 3. 2023 (při vědomí omezení uvedených výše) a použité metodiky (viz výše odstavec „Specifikace FE analýzy“) jsou výsledky CEA a BIA následující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CE5ACE" w:rsidRDefault="00CE5ACE" w:rsidP="007F1247">
                      <w:pPr>
                        <w:pStyle w:val="Odstavecseseznamem"/>
                        <w:numPr>
                          <w:ilvl w:val="0"/>
                          <w:numId w:val="37"/>
                        </w:numPr>
                        <w:spacing w:after="0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F124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náklady za samotné komparované LP činí přes 98% z celkových zdravotnických nákladů za příslušné režimy (viz pozn. 81)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, takže jsou pro výsledky analýzy rozhodujícími faktory,</w:t>
                      </w:r>
                    </w:p>
                    <w:p w:rsidR="00CE5ACE" w:rsidRDefault="00CE5ACE" w:rsidP="007F1247">
                      <w:pPr>
                        <w:pStyle w:val="Odstavecseseznamem"/>
                        <w:numPr>
                          <w:ilvl w:val="0"/>
                          <w:numId w:val="37"/>
                        </w:numPr>
                        <w:spacing w:after="0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dle CEA výsledků má ve větších populacích pacientů SIGNIFOR tendenci být nákladově efektivnější, zvláště v časovém horizontu delším než 1. rok, </w:t>
                      </w:r>
                      <w:r w:rsidRPr="009F4202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</w:rPr>
                        <w:t>privilegující v</w:t>
                      </w:r>
                      <w:r w:rsidRPr="009F4202">
                        <w:rPr>
                          <w:b/>
                          <w:sz w:val="24"/>
                          <w:szCs w:val="24"/>
                          <w:highlight w:val="yellow"/>
                        </w:rPr>
                        <w:t>ýhodou SIGNIFORU je stejná cena pro obě síly, na rozdíl od SOMAVERTU!, tím se výrazně zužuje rozptyl jeho výsledných hodnot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, významně výsledky modifikujícími faktory (kromě výše uvedených) je pravděpodobně také opožděnější léčebná biochemická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odpověd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ˇ u řady pacientů</w:t>
                      </w:r>
                      <w:r w:rsidRPr="007F124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na SIGNIFORU či event. prodloužení dávkovacího intervalu u části kontrolovaných pacientů na léčbě SOMAVERTEM,</w:t>
                      </w:r>
                    </w:p>
                    <w:p w:rsidR="00CE5ACE" w:rsidRPr="002674F7" w:rsidRDefault="00CE5ACE" w:rsidP="007F1247">
                      <w:pPr>
                        <w:pStyle w:val="Odstavecseseznamem"/>
                        <w:numPr>
                          <w:ilvl w:val="0"/>
                          <w:numId w:val="37"/>
                        </w:numPr>
                        <w:spacing w:after="0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  <w:r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dle BIA výsledků bude SIGNIFOR velmi pravděpodobně ve 2. linii nákladově šetřící LP oproti léčebným režimům se SOMAVERTEM: od 75.000 Kč až do téměř 6 miliónů Kč za 1</w:t>
                      </w:r>
                      <w:r w:rsid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.</w:t>
                      </w:r>
                      <w:r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rok léčby 2 – 4 pacientů (konkrétní výsledek bude výrazně určován, kromě počtu pacientů, také jejich charakteristikami!</w:t>
                      </w:r>
                      <w:r w:rsidR="002674F7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- viz výše „Výsledky CEA“</w:t>
                      </w:r>
                      <w:r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), ve 3. linii bude při převedení např. 1 pac.</w:t>
                      </w:r>
                      <w:r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kompenzovaného na komb. SOMAVERT 30mg/den + SANDOSTATIN LAR 30mg 1x za 28 dní </w:t>
                      </w:r>
                      <w:r w:rsidR="00D40A51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n</w:t>
                      </w:r>
                      <w:r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a komb</w:t>
                      </w:r>
                      <w:r w:rsidR="00D40A51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.</w:t>
                      </w:r>
                      <w:r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S</w:t>
                      </w:r>
                      <w:r w:rsidR="00D40A51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IGNIFOR</w:t>
                      </w:r>
                      <w:r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60mg 1x za 28 dní</w:t>
                      </w:r>
                      <w:r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  <w:vertAlign w:val="superscript"/>
                        </w:rPr>
                        <w:t xml:space="preserve"> </w:t>
                      </w:r>
                      <w:r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+ S</w:t>
                      </w:r>
                      <w:r w:rsidR="00D40A51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OMAVERT</w:t>
                      </w:r>
                      <w:r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20mg</w:t>
                      </w:r>
                      <w:r w:rsidR="00D40A51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/den zajišťující kompenzaci</w:t>
                      </w:r>
                      <w:r w:rsidR="009F4202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  <w:vertAlign w:val="superscript"/>
                        </w:rPr>
                        <w:t xml:space="preserve"> </w:t>
                      </w:r>
                      <w:r w:rsidR="009F4202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pac. </w:t>
                      </w:r>
                      <w:r w:rsidR="00D40A51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úspora cca 250 tisíc Kč za rok, </w:t>
                      </w:r>
                      <w:r w:rsidR="009F4202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naopak </w:t>
                      </w:r>
                      <w:r w:rsidR="00D40A51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při převedení 1 pac.</w:t>
                      </w:r>
                      <w:r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nekompenzova</w:t>
                      </w:r>
                      <w:r w:rsidR="00D40A51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ného</w:t>
                      </w:r>
                      <w:r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na komb</w:t>
                      </w:r>
                      <w:r w:rsidR="00D40A51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. </w:t>
                      </w:r>
                      <w:r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SOMAVERT 30mg/den + SANDOSTATIN LAR 30mg 1x za 28 dní </w:t>
                      </w:r>
                      <w:r w:rsidR="00D40A51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na komb. maxim. dávek SIGNIFOR</w:t>
                      </w:r>
                      <w:r w:rsidR="009F4202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U</w:t>
                      </w:r>
                      <w:r w:rsidR="00D40A51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60mg 1x za 28 dní</w:t>
                      </w:r>
                      <w:r w:rsidR="00D40A51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  <w:vertAlign w:val="superscript"/>
                        </w:rPr>
                        <w:t xml:space="preserve"> </w:t>
                      </w:r>
                      <w:r w:rsidR="00D40A51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+ SOMAVERT</w:t>
                      </w:r>
                      <w:r w:rsidR="009F4202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U</w:t>
                      </w:r>
                      <w:r w:rsidR="00D40A51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</w:t>
                      </w:r>
                      <w:r w:rsidR="008E4734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3</w:t>
                      </w:r>
                      <w:r w:rsidR="00D40A51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0mg/den</w:t>
                      </w:r>
                      <w:r w:rsidR="00D40A51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  <w:vertAlign w:val="superscript"/>
                        </w:rPr>
                        <w:t xml:space="preserve">76 </w:t>
                      </w:r>
                      <w:r w:rsidR="008E4734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budou náklady navíc</w:t>
                      </w:r>
                      <w:r w:rsidR="00845468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– a to ve výši</w:t>
                      </w:r>
                      <w:r w:rsidR="008E4734" w:rsidRPr="002674F7">
                        <w:rPr>
                          <w:rFonts w:cstheme="minorHAnsi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cca 425 tisíc Kč za rok.</w:t>
                      </w:r>
                    </w:p>
                    <w:p w:rsidR="00CE5ACE" w:rsidRPr="00CE5ACE" w:rsidRDefault="00CE5ACE" w:rsidP="005071CC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CE5ACE" w:rsidRPr="00E70906" w:rsidRDefault="00CE5ACE" w:rsidP="00E70906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6968" w:rsidRPr="003A6968" w:rsidRDefault="003A6968" w:rsidP="003A6968">
      <w:pPr>
        <w:spacing w:after="0"/>
        <w:rPr>
          <w:rFonts w:cstheme="minorHAnsi"/>
        </w:rPr>
      </w:pPr>
    </w:p>
    <w:p w:rsidR="008B608E" w:rsidRDefault="008B608E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CD21F4" w:rsidRDefault="00CD21F4" w:rsidP="005776B1">
      <w:pPr>
        <w:spacing w:after="0"/>
        <w:rPr>
          <w:rFonts w:cstheme="minorHAnsi"/>
        </w:rPr>
      </w:pPr>
    </w:p>
    <w:p w:rsidR="00CD21F4" w:rsidRDefault="00CD21F4" w:rsidP="005776B1">
      <w:pPr>
        <w:spacing w:after="0"/>
        <w:rPr>
          <w:rFonts w:cstheme="minorHAnsi"/>
        </w:rPr>
      </w:pPr>
    </w:p>
    <w:p w:rsidR="00CD21F4" w:rsidRDefault="00CD21F4" w:rsidP="005776B1">
      <w:pPr>
        <w:spacing w:after="0"/>
        <w:rPr>
          <w:rFonts w:cstheme="minorHAnsi"/>
        </w:rPr>
      </w:pPr>
    </w:p>
    <w:p w:rsidR="00C41313" w:rsidRDefault="00C41313" w:rsidP="005776B1">
      <w:pPr>
        <w:spacing w:after="0"/>
        <w:rPr>
          <w:rFonts w:cstheme="minorHAnsi"/>
        </w:rPr>
      </w:pPr>
    </w:p>
    <w:p w:rsidR="00C41313" w:rsidRDefault="00C41313" w:rsidP="005776B1">
      <w:pPr>
        <w:spacing w:after="0"/>
        <w:rPr>
          <w:rFonts w:cstheme="minorHAnsi"/>
        </w:rPr>
      </w:pPr>
    </w:p>
    <w:p w:rsidR="00C41313" w:rsidRDefault="00C41313" w:rsidP="005776B1">
      <w:pPr>
        <w:spacing w:after="0"/>
        <w:rPr>
          <w:rFonts w:cstheme="minorHAnsi"/>
        </w:rPr>
      </w:pPr>
    </w:p>
    <w:p w:rsidR="00674109" w:rsidRDefault="00674109" w:rsidP="005776B1">
      <w:pPr>
        <w:spacing w:after="0"/>
        <w:rPr>
          <w:rFonts w:cstheme="minorHAnsi"/>
        </w:rPr>
      </w:pPr>
    </w:p>
    <w:p w:rsidR="00AF744E" w:rsidRDefault="00AF744E" w:rsidP="005776B1">
      <w:pPr>
        <w:spacing w:after="0"/>
        <w:rPr>
          <w:rFonts w:cstheme="minorHAnsi"/>
        </w:rPr>
      </w:pPr>
    </w:p>
    <w:p w:rsidR="00AF744E" w:rsidRDefault="00AF744E" w:rsidP="005776B1">
      <w:pPr>
        <w:spacing w:after="0"/>
        <w:rPr>
          <w:rFonts w:cstheme="minorHAnsi"/>
        </w:rPr>
      </w:pPr>
    </w:p>
    <w:p w:rsidR="00E70906" w:rsidRDefault="00E70906" w:rsidP="005776B1">
      <w:pPr>
        <w:spacing w:after="0"/>
        <w:rPr>
          <w:rFonts w:cstheme="minorHAnsi"/>
        </w:rPr>
      </w:pPr>
    </w:p>
    <w:p w:rsidR="00E70906" w:rsidRDefault="00E70906" w:rsidP="005776B1">
      <w:pPr>
        <w:spacing w:after="0"/>
        <w:rPr>
          <w:rFonts w:cstheme="minorHAnsi"/>
        </w:rPr>
      </w:pPr>
    </w:p>
    <w:p w:rsidR="00E70906" w:rsidRDefault="00E70906" w:rsidP="005776B1">
      <w:pPr>
        <w:spacing w:after="0"/>
        <w:rPr>
          <w:rFonts w:cstheme="minorHAnsi"/>
        </w:rPr>
      </w:pPr>
    </w:p>
    <w:p w:rsidR="00E70906" w:rsidRDefault="00E70906" w:rsidP="005776B1">
      <w:pPr>
        <w:spacing w:after="0"/>
        <w:rPr>
          <w:rFonts w:cstheme="minorHAnsi"/>
        </w:rPr>
      </w:pPr>
    </w:p>
    <w:p w:rsidR="00E70906" w:rsidRDefault="00E70906" w:rsidP="005776B1">
      <w:pPr>
        <w:spacing w:after="0"/>
        <w:rPr>
          <w:rFonts w:cstheme="minorHAnsi"/>
        </w:rPr>
      </w:pPr>
    </w:p>
    <w:p w:rsidR="00E70906" w:rsidRDefault="00E70906" w:rsidP="005776B1">
      <w:pPr>
        <w:spacing w:after="0"/>
        <w:rPr>
          <w:rFonts w:cstheme="minorHAnsi"/>
        </w:rPr>
      </w:pPr>
    </w:p>
    <w:p w:rsidR="00E70906" w:rsidRDefault="00E70906" w:rsidP="005776B1">
      <w:pPr>
        <w:spacing w:after="0"/>
        <w:rPr>
          <w:rFonts w:cstheme="minorHAnsi"/>
        </w:rPr>
      </w:pPr>
    </w:p>
    <w:p w:rsidR="00E70906" w:rsidRDefault="00E70906" w:rsidP="005776B1">
      <w:pPr>
        <w:spacing w:after="0"/>
        <w:rPr>
          <w:rFonts w:cstheme="minorHAnsi"/>
        </w:rPr>
      </w:pPr>
    </w:p>
    <w:p w:rsidR="00E70906" w:rsidRDefault="00E70906" w:rsidP="005776B1">
      <w:pPr>
        <w:spacing w:after="0"/>
        <w:rPr>
          <w:rFonts w:cstheme="minorHAnsi"/>
        </w:rPr>
      </w:pPr>
    </w:p>
    <w:p w:rsidR="00E70906" w:rsidRDefault="00E70906" w:rsidP="005776B1">
      <w:pPr>
        <w:spacing w:after="0"/>
        <w:rPr>
          <w:rFonts w:cstheme="minorHAnsi"/>
        </w:rPr>
      </w:pPr>
    </w:p>
    <w:p w:rsidR="00FA736A" w:rsidRDefault="00FA736A" w:rsidP="005776B1">
      <w:pPr>
        <w:spacing w:after="0"/>
        <w:rPr>
          <w:rFonts w:cstheme="minorHAnsi"/>
        </w:rPr>
      </w:pPr>
    </w:p>
    <w:p w:rsidR="00FA736A" w:rsidRDefault="00FA736A" w:rsidP="005776B1">
      <w:pPr>
        <w:spacing w:after="0"/>
        <w:rPr>
          <w:rFonts w:cstheme="minorHAnsi"/>
        </w:rPr>
      </w:pPr>
    </w:p>
    <w:p w:rsidR="00FA736A" w:rsidRDefault="00FA736A" w:rsidP="005776B1">
      <w:pPr>
        <w:spacing w:after="0"/>
        <w:rPr>
          <w:rFonts w:cstheme="minorHAnsi"/>
        </w:rPr>
      </w:pPr>
    </w:p>
    <w:p w:rsidR="00FA736A" w:rsidRDefault="00FA736A" w:rsidP="005776B1">
      <w:pPr>
        <w:spacing w:after="0"/>
        <w:rPr>
          <w:rFonts w:cstheme="minorHAnsi"/>
        </w:rPr>
      </w:pPr>
    </w:p>
    <w:p w:rsidR="00FA736A" w:rsidRDefault="00FA736A" w:rsidP="005776B1">
      <w:pPr>
        <w:spacing w:after="0"/>
        <w:rPr>
          <w:rFonts w:cstheme="minorHAnsi"/>
        </w:rPr>
      </w:pPr>
    </w:p>
    <w:p w:rsidR="00FA736A" w:rsidRDefault="00FA736A" w:rsidP="005776B1">
      <w:pPr>
        <w:spacing w:after="0"/>
        <w:rPr>
          <w:rFonts w:cstheme="minorHAnsi"/>
        </w:rPr>
      </w:pPr>
    </w:p>
    <w:p w:rsidR="00FA736A" w:rsidRDefault="00FA736A" w:rsidP="005776B1">
      <w:pPr>
        <w:spacing w:after="0"/>
        <w:rPr>
          <w:rFonts w:cstheme="minorHAnsi"/>
        </w:rPr>
      </w:pPr>
    </w:p>
    <w:p w:rsidR="00FA736A" w:rsidRDefault="00FA736A" w:rsidP="005776B1">
      <w:pPr>
        <w:spacing w:after="0"/>
        <w:rPr>
          <w:rFonts w:cstheme="minorHAnsi"/>
        </w:rPr>
      </w:pPr>
    </w:p>
    <w:p w:rsidR="00FA736A" w:rsidRDefault="00FA736A" w:rsidP="005776B1">
      <w:pPr>
        <w:spacing w:after="0"/>
        <w:rPr>
          <w:rFonts w:cstheme="minorHAnsi"/>
        </w:rPr>
      </w:pPr>
    </w:p>
    <w:p w:rsidR="00FA736A" w:rsidRDefault="00FA736A" w:rsidP="005776B1">
      <w:pPr>
        <w:spacing w:after="0"/>
        <w:rPr>
          <w:rFonts w:cstheme="minorHAnsi"/>
        </w:rPr>
      </w:pPr>
    </w:p>
    <w:p w:rsidR="00FA736A" w:rsidRDefault="00FA736A" w:rsidP="005776B1">
      <w:pPr>
        <w:spacing w:after="0"/>
        <w:rPr>
          <w:rFonts w:cstheme="minorHAnsi"/>
        </w:rPr>
      </w:pPr>
    </w:p>
    <w:p w:rsidR="00FA736A" w:rsidRDefault="00FA736A" w:rsidP="005776B1">
      <w:pPr>
        <w:spacing w:after="0"/>
        <w:rPr>
          <w:rFonts w:cstheme="minorHAnsi"/>
        </w:rPr>
      </w:pPr>
    </w:p>
    <w:p w:rsidR="00FA736A" w:rsidRDefault="00FA736A" w:rsidP="005776B1">
      <w:pPr>
        <w:spacing w:after="0"/>
        <w:rPr>
          <w:rFonts w:cstheme="minorHAnsi"/>
        </w:rPr>
      </w:pPr>
    </w:p>
    <w:p w:rsidR="00FA736A" w:rsidRDefault="00FA736A" w:rsidP="005776B1">
      <w:pPr>
        <w:spacing w:after="0"/>
        <w:rPr>
          <w:rFonts w:cstheme="minorHAnsi"/>
        </w:rPr>
      </w:pPr>
    </w:p>
    <w:p w:rsidR="00FA736A" w:rsidRDefault="00FA736A" w:rsidP="005776B1">
      <w:pPr>
        <w:spacing w:after="0"/>
        <w:rPr>
          <w:rFonts w:cstheme="minorHAnsi"/>
        </w:rPr>
      </w:pPr>
    </w:p>
    <w:p w:rsidR="008E4734" w:rsidRPr="008E4734" w:rsidRDefault="008E4734" w:rsidP="005776B1">
      <w:pPr>
        <w:spacing w:after="0"/>
        <w:rPr>
          <w:rFonts w:cstheme="minorHAnsi"/>
          <w:sz w:val="16"/>
          <w:szCs w:val="16"/>
        </w:rPr>
      </w:pPr>
    </w:p>
    <w:p w:rsidR="00E42CAD" w:rsidRDefault="00886014" w:rsidP="005776B1">
      <w:pPr>
        <w:spacing w:after="0"/>
        <w:rPr>
          <w:rFonts w:cstheme="minorHAnsi"/>
        </w:rPr>
      </w:pPr>
      <w:r>
        <w:rPr>
          <w:rFonts w:cstheme="minorHAnsi"/>
        </w:rPr>
        <w:t>Zpracoval: Mgr. Jaroslav Duda</w:t>
      </w:r>
      <w:r w:rsidR="0098743A">
        <w:rPr>
          <w:rFonts w:cstheme="minorHAnsi"/>
        </w:rPr>
        <w:t xml:space="preserve">                                                   </w:t>
      </w:r>
      <w:r w:rsidR="0066214E">
        <w:rPr>
          <w:rFonts w:cstheme="minorHAnsi"/>
        </w:rPr>
        <w:t>1</w:t>
      </w:r>
      <w:r w:rsidR="002170BA">
        <w:rPr>
          <w:rFonts w:cstheme="minorHAnsi"/>
        </w:rPr>
        <w:t>5</w:t>
      </w:r>
      <w:r w:rsidR="0066214E">
        <w:rPr>
          <w:rFonts w:cstheme="minorHAnsi"/>
        </w:rPr>
        <w:t>.</w:t>
      </w:r>
      <w:r w:rsidR="00CE5ACE">
        <w:rPr>
          <w:rFonts w:cstheme="minorHAnsi"/>
        </w:rPr>
        <w:t xml:space="preserve"> </w:t>
      </w:r>
      <w:r w:rsidR="0066214E">
        <w:rPr>
          <w:rFonts w:cstheme="minorHAnsi"/>
        </w:rPr>
        <w:t>3.</w:t>
      </w:r>
      <w:r w:rsidR="00CE5ACE">
        <w:rPr>
          <w:rFonts w:cstheme="minorHAnsi"/>
        </w:rPr>
        <w:t xml:space="preserve"> </w:t>
      </w:r>
      <w:r w:rsidR="0066214E">
        <w:rPr>
          <w:rFonts w:cstheme="minorHAnsi"/>
        </w:rPr>
        <w:t>2023</w:t>
      </w:r>
    </w:p>
    <w:p w:rsidR="009E688B" w:rsidRPr="00E42CAD" w:rsidRDefault="00E42CAD" w:rsidP="009E688B">
      <w:pPr>
        <w:spacing w:after="0"/>
        <w:rPr>
          <w:rFonts w:cstheme="minorHAnsi"/>
          <w:b/>
          <w:sz w:val="28"/>
          <w:szCs w:val="28"/>
          <w:u w:val="single"/>
        </w:rPr>
      </w:pPr>
      <w:r w:rsidRPr="00E42CAD">
        <w:rPr>
          <w:rFonts w:cstheme="minorHAnsi"/>
          <w:b/>
          <w:sz w:val="28"/>
          <w:szCs w:val="28"/>
          <w:u w:val="single"/>
        </w:rPr>
        <w:lastRenderedPageBreak/>
        <w:t>PŘÍLOHY:</w:t>
      </w:r>
    </w:p>
    <w:p w:rsidR="009E688B" w:rsidRDefault="008A0BAD" w:rsidP="009E688B">
      <w:pPr>
        <w:spacing w:after="0"/>
        <w:rPr>
          <w:rFonts w:cstheme="minorHAnsi"/>
          <w:sz w:val="20"/>
          <w:szCs w:val="20"/>
        </w:rPr>
      </w:pPr>
      <w:r w:rsidRPr="008A0BAD">
        <w:rPr>
          <w:rFonts w:cstheme="minorHAnsi"/>
          <w:sz w:val="20"/>
          <w:szCs w:val="20"/>
          <w:highlight w:val="yellow"/>
        </w:rPr>
        <w:t>ostatní přílohy, poznámky a odkazy na zdroje jsou k dispozici u autora této FE analýzy!</w:t>
      </w:r>
    </w:p>
    <w:p w:rsidR="009E688B" w:rsidRDefault="009E688B" w:rsidP="009E688B">
      <w:pPr>
        <w:spacing w:after="0"/>
        <w:rPr>
          <w:rFonts w:cstheme="minorHAnsi"/>
          <w:sz w:val="20"/>
          <w:szCs w:val="20"/>
        </w:rPr>
      </w:pPr>
    </w:p>
    <w:p w:rsidR="00A75249" w:rsidRDefault="006905B4" w:rsidP="000B76BB">
      <w:pPr>
        <w:spacing w:after="0"/>
        <w:jc w:val="both"/>
        <w:rPr>
          <w:rFonts w:cstheme="minorHAnsi"/>
        </w:rPr>
      </w:pPr>
      <w:r w:rsidRPr="00C26E7E">
        <w:rPr>
          <w:b/>
          <w:u w:val="single"/>
        </w:rPr>
        <w:t xml:space="preserve">Příloha č. </w:t>
      </w:r>
      <w:proofErr w:type="gramStart"/>
      <w:r>
        <w:rPr>
          <w:b/>
          <w:u w:val="single"/>
        </w:rPr>
        <w:t>22</w:t>
      </w:r>
      <w:r w:rsidRPr="00C26E7E">
        <w:rPr>
          <w:b/>
          <w:u w:val="single"/>
        </w:rPr>
        <w:t>:</w:t>
      </w:r>
      <w:r w:rsidRPr="00C26E7E">
        <w:t xml:space="preserve"> </w:t>
      </w:r>
      <w:r w:rsidR="000D148E">
        <w:t xml:space="preserve">  </w:t>
      </w:r>
      <w:proofErr w:type="gramEnd"/>
      <w:r>
        <w:rPr>
          <w:rFonts w:cstheme="minorHAnsi"/>
        </w:rPr>
        <w:t>výsledky CEA po 3 letech léčby</w:t>
      </w:r>
    </w:p>
    <w:p w:rsidR="00051EE8" w:rsidRPr="00051EE8" w:rsidRDefault="00051EE8" w:rsidP="000B76BB">
      <w:pPr>
        <w:spacing w:after="0"/>
        <w:jc w:val="both"/>
        <w:rPr>
          <w:rFonts w:cstheme="minorHAnsi"/>
          <w:sz w:val="8"/>
          <w:szCs w:val="8"/>
        </w:rPr>
      </w:pPr>
      <w:bookmarkStart w:id="0" w:name="_GoBack"/>
      <w:bookmarkEnd w:id="0"/>
    </w:p>
    <w:p w:rsidR="006905B4" w:rsidRDefault="00D73F46" w:rsidP="000B76B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inline distT="0" distB="0" distL="0" distR="0">
            <wp:extent cx="6837045" cy="4295775"/>
            <wp:effectExtent l="0" t="0" r="1905" b="952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BAD" w:rsidRDefault="008A0BAD" w:rsidP="000B76BB">
      <w:pPr>
        <w:spacing w:after="0"/>
        <w:jc w:val="both"/>
        <w:rPr>
          <w:rFonts w:cstheme="minorHAnsi"/>
          <w:sz w:val="20"/>
          <w:szCs w:val="20"/>
        </w:rPr>
      </w:pPr>
    </w:p>
    <w:p w:rsidR="008A0BAD" w:rsidRDefault="008A0BAD" w:rsidP="000B76BB">
      <w:pPr>
        <w:spacing w:after="0"/>
        <w:jc w:val="both"/>
        <w:rPr>
          <w:rFonts w:cstheme="minorHAnsi"/>
          <w:sz w:val="20"/>
          <w:szCs w:val="20"/>
        </w:rPr>
      </w:pPr>
    </w:p>
    <w:p w:rsidR="008A0BAD" w:rsidRDefault="008A0BAD" w:rsidP="000B76BB">
      <w:pPr>
        <w:spacing w:after="0"/>
        <w:jc w:val="both"/>
        <w:rPr>
          <w:rFonts w:cstheme="minorHAnsi"/>
          <w:sz w:val="20"/>
          <w:szCs w:val="20"/>
        </w:rPr>
      </w:pPr>
    </w:p>
    <w:p w:rsidR="00175C8B" w:rsidRDefault="00321A1C" w:rsidP="000B76B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inline distT="0" distB="0" distL="0" distR="0">
            <wp:extent cx="6829218" cy="3190875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319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AEB" w:rsidRDefault="001C2AEB" w:rsidP="000B76BB">
      <w:pPr>
        <w:spacing w:after="0"/>
        <w:jc w:val="both"/>
        <w:rPr>
          <w:rFonts w:cstheme="minorHAnsi"/>
          <w:sz w:val="20"/>
          <w:szCs w:val="20"/>
        </w:rPr>
      </w:pPr>
    </w:p>
    <w:p w:rsidR="008A0BAD" w:rsidRDefault="008A0BAD" w:rsidP="000B76BB">
      <w:pPr>
        <w:spacing w:after="0"/>
        <w:jc w:val="both"/>
        <w:rPr>
          <w:rFonts w:cstheme="minorHAnsi"/>
          <w:sz w:val="20"/>
          <w:szCs w:val="20"/>
        </w:rPr>
      </w:pPr>
    </w:p>
    <w:p w:rsidR="008A0BAD" w:rsidRDefault="008A0BAD" w:rsidP="000B76BB">
      <w:pPr>
        <w:spacing w:after="0"/>
        <w:jc w:val="both"/>
        <w:rPr>
          <w:rFonts w:cstheme="minorHAnsi"/>
          <w:sz w:val="20"/>
          <w:szCs w:val="20"/>
        </w:rPr>
      </w:pPr>
    </w:p>
    <w:p w:rsidR="008A0BAD" w:rsidRDefault="008A0BAD" w:rsidP="000B76BB">
      <w:pPr>
        <w:spacing w:after="0"/>
        <w:jc w:val="both"/>
        <w:rPr>
          <w:rFonts w:cstheme="minorHAnsi"/>
          <w:sz w:val="20"/>
          <w:szCs w:val="20"/>
        </w:rPr>
      </w:pPr>
    </w:p>
    <w:p w:rsidR="008A0BAD" w:rsidRDefault="008A0BAD" w:rsidP="000B76BB">
      <w:pPr>
        <w:spacing w:after="0"/>
        <w:jc w:val="both"/>
        <w:rPr>
          <w:rFonts w:cstheme="minorHAnsi"/>
          <w:sz w:val="20"/>
          <w:szCs w:val="20"/>
        </w:rPr>
      </w:pPr>
    </w:p>
    <w:p w:rsidR="001C2AEB" w:rsidRDefault="001C2AEB" w:rsidP="000B76BB">
      <w:pPr>
        <w:spacing w:after="0"/>
        <w:jc w:val="both"/>
        <w:rPr>
          <w:rFonts w:cstheme="minorHAnsi"/>
          <w:sz w:val="20"/>
          <w:szCs w:val="20"/>
        </w:rPr>
      </w:pPr>
    </w:p>
    <w:p w:rsidR="006C779E" w:rsidRDefault="00B654FA" w:rsidP="000B76BB">
      <w:pPr>
        <w:spacing w:after="0"/>
        <w:jc w:val="both"/>
      </w:pPr>
      <w:r w:rsidRPr="00C26E7E">
        <w:rPr>
          <w:b/>
          <w:u w:val="single"/>
        </w:rPr>
        <w:t xml:space="preserve">Příloha č. </w:t>
      </w:r>
      <w:proofErr w:type="gramStart"/>
      <w:r>
        <w:rPr>
          <w:b/>
          <w:u w:val="single"/>
        </w:rPr>
        <w:t>25</w:t>
      </w:r>
      <w:r w:rsidRPr="00C26E7E">
        <w:rPr>
          <w:b/>
          <w:u w:val="single"/>
        </w:rPr>
        <w:t>:</w:t>
      </w:r>
      <w:r>
        <w:t xml:space="preserve">  přehled</w:t>
      </w:r>
      <w:proofErr w:type="gramEnd"/>
      <w:r>
        <w:t xml:space="preserve"> jednotlivých LP, jejich vlastností a jednotkových cen</w:t>
      </w:r>
    </w:p>
    <w:p w:rsidR="00764D1B" w:rsidRPr="00764D1B" w:rsidRDefault="00764D1B" w:rsidP="000B76BB">
      <w:pPr>
        <w:spacing w:after="0"/>
        <w:jc w:val="both"/>
        <w:rPr>
          <w:sz w:val="6"/>
          <w:szCs w:val="6"/>
        </w:rPr>
      </w:pPr>
    </w:p>
    <w:p w:rsidR="00764D1B" w:rsidRDefault="00764D1B" w:rsidP="000B76B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inline distT="0" distB="0" distL="0" distR="0">
            <wp:extent cx="6837045" cy="3933825"/>
            <wp:effectExtent l="0" t="0" r="1905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D1B" w:rsidRDefault="00764D1B" w:rsidP="000B76BB">
      <w:pPr>
        <w:spacing w:after="0"/>
        <w:jc w:val="both"/>
        <w:rPr>
          <w:rFonts w:cstheme="minorHAnsi"/>
          <w:sz w:val="20"/>
          <w:szCs w:val="20"/>
        </w:rPr>
      </w:pPr>
    </w:p>
    <w:p w:rsidR="00764D1B" w:rsidRDefault="00764D1B" w:rsidP="000B76BB">
      <w:pPr>
        <w:spacing w:after="0"/>
        <w:jc w:val="both"/>
        <w:rPr>
          <w:rFonts w:cstheme="minorHAnsi"/>
          <w:sz w:val="20"/>
          <w:szCs w:val="20"/>
        </w:rPr>
      </w:pPr>
    </w:p>
    <w:p w:rsidR="003A096B" w:rsidRDefault="003A096B" w:rsidP="000B76BB">
      <w:pPr>
        <w:spacing w:after="0"/>
        <w:jc w:val="both"/>
        <w:rPr>
          <w:rFonts w:cstheme="minorHAnsi"/>
          <w:sz w:val="20"/>
          <w:szCs w:val="20"/>
        </w:rPr>
      </w:pPr>
    </w:p>
    <w:p w:rsidR="003A096B" w:rsidRDefault="003A096B" w:rsidP="000B76BB">
      <w:pPr>
        <w:spacing w:after="0"/>
        <w:jc w:val="both"/>
        <w:rPr>
          <w:rFonts w:cstheme="minorHAnsi"/>
          <w:sz w:val="20"/>
          <w:szCs w:val="20"/>
        </w:rPr>
      </w:pPr>
    </w:p>
    <w:p w:rsidR="006C779E" w:rsidRDefault="00B135F0" w:rsidP="000B76BB">
      <w:pPr>
        <w:spacing w:after="0"/>
        <w:jc w:val="both"/>
      </w:pPr>
      <w:r w:rsidRPr="00C26E7E">
        <w:rPr>
          <w:b/>
          <w:u w:val="single"/>
        </w:rPr>
        <w:t xml:space="preserve">Příloha č. </w:t>
      </w:r>
      <w:proofErr w:type="gramStart"/>
      <w:r>
        <w:rPr>
          <w:b/>
          <w:u w:val="single"/>
        </w:rPr>
        <w:t>26</w:t>
      </w:r>
      <w:r w:rsidRPr="00C26E7E">
        <w:rPr>
          <w:b/>
          <w:u w:val="single"/>
        </w:rPr>
        <w:t>:</w:t>
      </w:r>
      <w:r w:rsidRPr="00C26E7E">
        <w:t xml:space="preserve"> </w:t>
      </w:r>
      <w:r>
        <w:t xml:space="preserve">  </w:t>
      </w:r>
      <w:proofErr w:type="gramEnd"/>
      <w:r>
        <w:t>výsledky BIA pro 1. linii léčby</w:t>
      </w:r>
      <w:r w:rsidR="00716BDD">
        <w:t xml:space="preserve"> </w:t>
      </w:r>
      <w:r w:rsidR="00716BDD" w:rsidRPr="00716BDD">
        <w:rPr>
          <w:sz w:val="20"/>
          <w:szCs w:val="20"/>
        </w:rPr>
        <w:t>(</w:t>
      </w:r>
      <w:proofErr w:type="spellStart"/>
      <w:r w:rsidR="00716BDD" w:rsidRPr="00716BDD">
        <w:rPr>
          <w:sz w:val="20"/>
          <w:szCs w:val="20"/>
        </w:rPr>
        <w:t>žutě</w:t>
      </w:r>
      <w:proofErr w:type="spellEnd"/>
      <w:r w:rsidR="00716BDD" w:rsidRPr="00716BDD">
        <w:rPr>
          <w:sz w:val="20"/>
          <w:szCs w:val="20"/>
        </w:rPr>
        <w:t xml:space="preserve"> je vyznačen režim s použitím RT rezidua adenomu po chirurg. zákroku)</w:t>
      </w:r>
    </w:p>
    <w:p w:rsidR="003A096B" w:rsidRPr="003A096B" w:rsidRDefault="003A096B" w:rsidP="000B76BB">
      <w:pPr>
        <w:spacing w:after="0"/>
        <w:jc w:val="both"/>
        <w:rPr>
          <w:sz w:val="6"/>
          <w:szCs w:val="6"/>
        </w:rPr>
      </w:pPr>
    </w:p>
    <w:p w:rsidR="003A096B" w:rsidRDefault="003A096B" w:rsidP="000B76B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inline distT="0" distB="0" distL="0" distR="0">
            <wp:extent cx="6837045" cy="3189605"/>
            <wp:effectExtent l="0" t="0" r="1905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96B" w:rsidRDefault="003A096B" w:rsidP="000B76BB">
      <w:pPr>
        <w:spacing w:after="0"/>
        <w:jc w:val="both"/>
        <w:rPr>
          <w:rFonts w:cstheme="minorHAnsi"/>
          <w:sz w:val="20"/>
          <w:szCs w:val="20"/>
        </w:rPr>
      </w:pPr>
    </w:p>
    <w:p w:rsidR="003A096B" w:rsidRDefault="003A096B" w:rsidP="000B76BB">
      <w:pPr>
        <w:spacing w:after="0"/>
        <w:jc w:val="both"/>
        <w:rPr>
          <w:rFonts w:cstheme="minorHAnsi"/>
          <w:sz w:val="20"/>
          <w:szCs w:val="20"/>
        </w:rPr>
      </w:pPr>
    </w:p>
    <w:p w:rsidR="003A096B" w:rsidRDefault="003A096B" w:rsidP="000B76BB">
      <w:pPr>
        <w:spacing w:after="0"/>
        <w:jc w:val="both"/>
        <w:rPr>
          <w:rFonts w:cstheme="minorHAnsi"/>
          <w:sz w:val="20"/>
          <w:szCs w:val="20"/>
        </w:rPr>
      </w:pPr>
    </w:p>
    <w:p w:rsidR="003A096B" w:rsidRPr="00517B0C" w:rsidRDefault="003A096B" w:rsidP="000B76BB">
      <w:pPr>
        <w:spacing w:after="0"/>
        <w:jc w:val="both"/>
        <w:rPr>
          <w:rFonts w:cstheme="minorHAnsi"/>
          <w:sz w:val="20"/>
          <w:szCs w:val="20"/>
        </w:rPr>
      </w:pPr>
    </w:p>
    <w:sectPr w:rsidR="003A096B" w:rsidRPr="00517B0C" w:rsidSect="00CB665F">
      <w:footerReference w:type="defaul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EB7" w:rsidRDefault="002F7EB7" w:rsidP="001312F1">
      <w:pPr>
        <w:spacing w:after="0" w:line="240" w:lineRule="auto"/>
      </w:pPr>
      <w:r>
        <w:separator/>
      </w:r>
    </w:p>
  </w:endnote>
  <w:endnote w:type="continuationSeparator" w:id="0">
    <w:p w:rsidR="002F7EB7" w:rsidRDefault="002F7EB7" w:rsidP="0013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te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Open Sans"/>
    <w:charset w:val="EE"/>
    <w:family w:val="swiss"/>
    <w:pitch w:val="variable"/>
    <w:sig w:usb0="E00002EF" w:usb1="4000205B" w:usb2="00000028" w:usb3="00000000" w:csb0="0000019F" w:csb1="00000000"/>
  </w:font>
  <w:font w:name="ITC Franklin Gothic Std M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Franklin Gothic Std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calaLancet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RWPalladioL-Ro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174363"/>
      <w:docPartObj>
        <w:docPartGallery w:val="Page Numbers (Bottom of Page)"/>
        <w:docPartUnique/>
      </w:docPartObj>
    </w:sdtPr>
    <w:sdtEndPr/>
    <w:sdtContent>
      <w:p w:rsidR="00CE5ACE" w:rsidRDefault="00CE5ACE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1" name="Vývojový diagram: alternativní postup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ACE" w:rsidRDefault="00CE5ACE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674F7" w:rsidRPr="002674F7">
                                <w:rPr>
                                  <w:noProof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1" o:spid="_x0000_s1029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R3pdgt8CAADlBQAADgAAAAAAAAAAAAAAAAAuAgAA&#10;ZHJzL2Uyb0RvYy54bWxQSwECLQAUAAYACAAAACEAGuRMndkAAAADAQAADwAAAAAAAAAAAAAAAAA5&#10;BQAAZHJzL2Rvd25yZXYueG1sUEsFBgAAAAAEAAQA8wAAAD8GAAAAAA==&#10;" filled="f" fillcolor="#5c83b4" stroked="f" strokecolor="#737373">
                  <v:textbox>
                    <w:txbxContent>
                      <w:p w:rsidR="00CE5ACE" w:rsidRDefault="00CE5ACE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674F7" w:rsidRPr="002674F7">
                          <w:rPr>
                            <w:noProof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EB7" w:rsidRDefault="002F7EB7" w:rsidP="001312F1">
      <w:pPr>
        <w:spacing w:after="0" w:line="240" w:lineRule="auto"/>
      </w:pPr>
      <w:r>
        <w:separator/>
      </w:r>
    </w:p>
  </w:footnote>
  <w:footnote w:type="continuationSeparator" w:id="0">
    <w:p w:rsidR="002F7EB7" w:rsidRDefault="002F7EB7" w:rsidP="0013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13E"/>
    <w:multiLevelType w:val="hybridMultilevel"/>
    <w:tmpl w:val="8C029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7E18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28C5"/>
    <w:multiLevelType w:val="hybridMultilevel"/>
    <w:tmpl w:val="5BE02BCE"/>
    <w:lvl w:ilvl="0" w:tplc="F6E419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2F91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A225F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F57E7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84EB6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4DFC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C611C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E4692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A2BB1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500AE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379A4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B2053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42484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C324C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E33E4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E02D4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56453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E4A0D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956CA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17E03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085"/>
    <w:multiLevelType w:val="hybridMultilevel"/>
    <w:tmpl w:val="8FA89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01DE9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C20D1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B4A97"/>
    <w:multiLevelType w:val="hybridMultilevel"/>
    <w:tmpl w:val="E9BC6846"/>
    <w:lvl w:ilvl="0" w:tplc="0CF803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E437B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F2FEF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1751D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13296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553D9"/>
    <w:multiLevelType w:val="hybridMultilevel"/>
    <w:tmpl w:val="915E3F54"/>
    <w:lvl w:ilvl="0" w:tplc="630C5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187F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B249E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B2EBB"/>
    <w:multiLevelType w:val="hybridMultilevel"/>
    <w:tmpl w:val="F2BA5234"/>
    <w:lvl w:ilvl="0" w:tplc="32567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F44C7"/>
    <w:multiLevelType w:val="hybridMultilevel"/>
    <w:tmpl w:val="BCFA6726"/>
    <w:lvl w:ilvl="0" w:tplc="9A3A4A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3481F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2"/>
  </w:num>
  <w:num w:numId="4">
    <w:abstractNumId w:val="23"/>
  </w:num>
  <w:num w:numId="5">
    <w:abstractNumId w:val="30"/>
  </w:num>
  <w:num w:numId="6">
    <w:abstractNumId w:val="33"/>
  </w:num>
  <w:num w:numId="7">
    <w:abstractNumId w:val="21"/>
  </w:num>
  <w:num w:numId="8">
    <w:abstractNumId w:val="14"/>
  </w:num>
  <w:num w:numId="9">
    <w:abstractNumId w:val="2"/>
  </w:num>
  <w:num w:numId="10">
    <w:abstractNumId w:val="18"/>
  </w:num>
  <w:num w:numId="11">
    <w:abstractNumId w:val="34"/>
  </w:num>
  <w:num w:numId="12">
    <w:abstractNumId w:val="29"/>
  </w:num>
  <w:num w:numId="13">
    <w:abstractNumId w:val="17"/>
  </w:num>
  <w:num w:numId="14">
    <w:abstractNumId w:val="9"/>
  </w:num>
  <w:num w:numId="15">
    <w:abstractNumId w:val="4"/>
  </w:num>
  <w:num w:numId="16">
    <w:abstractNumId w:val="8"/>
  </w:num>
  <w:num w:numId="17">
    <w:abstractNumId w:val="10"/>
  </w:num>
  <w:num w:numId="18">
    <w:abstractNumId w:val="11"/>
  </w:num>
  <w:num w:numId="19">
    <w:abstractNumId w:val="6"/>
  </w:num>
  <w:num w:numId="20">
    <w:abstractNumId w:val="35"/>
  </w:num>
  <w:num w:numId="21">
    <w:abstractNumId w:val="3"/>
  </w:num>
  <w:num w:numId="22">
    <w:abstractNumId w:val="5"/>
  </w:num>
  <w:num w:numId="23">
    <w:abstractNumId w:val="15"/>
  </w:num>
  <w:num w:numId="24">
    <w:abstractNumId w:val="13"/>
  </w:num>
  <w:num w:numId="25">
    <w:abstractNumId w:val="31"/>
  </w:num>
  <w:num w:numId="26">
    <w:abstractNumId w:val="28"/>
  </w:num>
  <w:num w:numId="27">
    <w:abstractNumId w:val="16"/>
  </w:num>
  <w:num w:numId="28">
    <w:abstractNumId w:val="27"/>
  </w:num>
  <w:num w:numId="29">
    <w:abstractNumId w:val="1"/>
  </w:num>
  <w:num w:numId="30">
    <w:abstractNumId w:val="32"/>
  </w:num>
  <w:num w:numId="31">
    <w:abstractNumId w:val="20"/>
  </w:num>
  <w:num w:numId="32">
    <w:abstractNumId w:val="24"/>
  </w:num>
  <w:num w:numId="33">
    <w:abstractNumId w:val="19"/>
  </w:num>
  <w:num w:numId="34">
    <w:abstractNumId w:val="7"/>
  </w:num>
  <w:num w:numId="35">
    <w:abstractNumId w:val="26"/>
  </w:num>
  <w:num w:numId="36">
    <w:abstractNumId w:val="3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B1"/>
    <w:rsid w:val="00003DD1"/>
    <w:rsid w:val="000057B2"/>
    <w:rsid w:val="00006D6C"/>
    <w:rsid w:val="000075A7"/>
    <w:rsid w:val="00011482"/>
    <w:rsid w:val="00011B5F"/>
    <w:rsid w:val="000123EC"/>
    <w:rsid w:val="00015003"/>
    <w:rsid w:val="000161A8"/>
    <w:rsid w:val="00020689"/>
    <w:rsid w:val="000229D9"/>
    <w:rsid w:val="00023336"/>
    <w:rsid w:val="00024574"/>
    <w:rsid w:val="0002621C"/>
    <w:rsid w:val="00026D7A"/>
    <w:rsid w:val="00031A08"/>
    <w:rsid w:val="00032407"/>
    <w:rsid w:val="00033A6C"/>
    <w:rsid w:val="00033C4A"/>
    <w:rsid w:val="00033D30"/>
    <w:rsid w:val="00034794"/>
    <w:rsid w:val="00036279"/>
    <w:rsid w:val="0004029E"/>
    <w:rsid w:val="00040559"/>
    <w:rsid w:val="00040DED"/>
    <w:rsid w:val="00045C44"/>
    <w:rsid w:val="00046E0C"/>
    <w:rsid w:val="00046E64"/>
    <w:rsid w:val="00051675"/>
    <w:rsid w:val="00051EE8"/>
    <w:rsid w:val="00054923"/>
    <w:rsid w:val="00061346"/>
    <w:rsid w:val="000616B8"/>
    <w:rsid w:val="00063BB5"/>
    <w:rsid w:val="000645C3"/>
    <w:rsid w:val="00065DB7"/>
    <w:rsid w:val="00066E0C"/>
    <w:rsid w:val="000708D5"/>
    <w:rsid w:val="00070983"/>
    <w:rsid w:val="000713F4"/>
    <w:rsid w:val="00071CED"/>
    <w:rsid w:val="0007421A"/>
    <w:rsid w:val="00075D75"/>
    <w:rsid w:val="000762C5"/>
    <w:rsid w:val="0007637D"/>
    <w:rsid w:val="00076B40"/>
    <w:rsid w:val="00082844"/>
    <w:rsid w:val="000838C2"/>
    <w:rsid w:val="00085C50"/>
    <w:rsid w:val="00086747"/>
    <w:rsid w:val="00091BDC"/>
    <w:rsid w:val="00093AC6"/>
    <w:rsid w:val="000942B5"/>
    <w:rsid w:val="00096746"/>
    <w:rsid w:val="000968BF"/>
    <w:rsid w:val="000A2C2F"/>
    <w:rsid w:val="000A36F7"/>
    <w:rsid w:val="000A4DBB"/>
    <w:rsid w:val="000A5D37"/>
    <w:rsid w:val="000A6ECC"/>
    <w:rsid w:val="000A7019"/>
    <w:rsid w:val="000A7873"/>
    <w:rsid w:val="000A7EF0"/>
    <w:rsid w:val="000B76BB"/>
    <w:rsid w:val="000B7A55"/>
    <w:rsid w:val="000C2626"/>
    <w:rsid w:val="000C74DB"/>
    <w:rsid w:val="000D148E"/>
    <w:rsid w:val="000D2603"/>
    <w:rsid w:val="000D286C"/>
    <w:rsid w:val="000D2A12"/>
    <w:rsid w:val="000D2C2B"/>
    <w:rsid w:val="000D4A61"/>
    <w:rsid w:val="000D4CF0"/>
    <w:rsid w:val="000D5F0B"/>
    <w:rsid w:val="000D6AD5"/>
    <w:rsid w:val="000E0B46"/>
    <w:rsid w:val="000E0BDE"/>
    <w:rsid w:val="000E2CEA"/>
    <w:rsid w:val="000E310E"/>
    <w:rsid w:val="000E4CA5"/>
    <w:rsid w:val="000E66A0"/>
    <w:rsid w:val="000E6C21"/>
    <w:rsid w:val="000E6DC9"/>
    <w:rsid w:val="000F0CBB"/>
    <w:rsid w:val="000F1D72"/>
    <w:rsid w:val="000F1E0D"/>
    <w:rsid w:val="000F21A0"/>
    <w:rsid w:val="000F3F1E"/>
    <w:rsid w:val="000F5771"/>
    <w:rsid w:val="0010021B"/>
    <w:rsid w:val="00101BEB"/>
    <w:rsid w:val="00105ED5"/>
    <w:rsid w:val="00106B9A"/>
    <w:rsid w:val="001073A6"/>
    <w:rsid w:val="00112756"/>
    <w:rsid w:val="00116B5A"/>
    <w:rsid w:val="001205AE"/>
    <w:rsid w:val="001245EE"/>
    <w:rsid w:val="00130818"/>
    <w:rsid w:val="00130F4A"/>
    <w:rsid w:val="001312F1"/>
    <w:rsid w:val="00135489"/>
    <w:rsid w:val="0013698D"/>
    <w:rsid w:val="0013740D"/>
    <w:rsid w:val="00137A46"/>
    <w:rsid w:val="00137D82"/>
    <w:rsid w:val="00142A5D"/>
    <w:rsid w:val="0014479F"/>
    <w:rsid w:val="00145EAC"/>
    <w:rsid w:val="00146FFF"/>
    <w:rsid w:val="00147CCB"/>
    <w:rsid w:val="00150CA3"/>
    <w:rsid w:val="00155D81"/>
    <w:rsid w:val="00162C92"/>
    <w:rsid w:val="00162EB6"/>
    <w:rsid w:val="001636D7"/>
    <w:rsid w:val="00163C6B"/>
    <w:rsid w:val="00165CA1"/>
    <w:rsid w:val="00166531"/>
    <w:rsid w:val="001723A7"/>
    <w:rsid w:val="001743DD"/>
    <w:rsid w:val="00174671"/>
    <w:rsid w:val="00174D05"/>
    <w:rsid w:val="00175265"/>
    <w:rsid w:val="00175C8B"/>
    <w:rsid w:val="0017631E"/>
    <w:rsid w:val="00177DE4"/>
    <w:rsid w:val="00181019"/>
    <w:rsid w:val="00181B68"/>
    <w:rsid w:val="00183174"/>
    <w:rsid w:val="00183EB4"/>
    <w:rsid w:val="00186F2E"/>
    <w:rsid w:val="001903EE"/>
    <w:rsid w:val="00190B90"/>
    <w:rsid w:val="00194C16"/>
    <w:rsid w:val="0019675C"/>
    <w:rsid w:val="001976FA"/>
    <w:rsid w:val="00197C50"/>
    <w:rsid w:val="001A116A"/>
    <w:rsid w:val="001A124B"/>
    <w:rsid w:val="001A23D7"/>
    <w:rsid w:val="001A2E10"/>
    <w:rsid w:val="001A3C4C"/>
    <w:rsid w:val="001A4C35"/>
    <w:rsid w:val="001B0427"/>
    <w:rsid w:val="001B1368"/>
    <w:rsid w:val="001B2F28"/>
    <w:rsid w:val="001B32CA"/>
    <w:rsid w:val="001B53EA"/>
    <w:rsid w:val="001C04A6"/>
    <w:rsid w:val="001C2AEB"/>
    <w:rsid w:val="001C30AA"/>
    <w:rsid w:val="001C5114"/>
    <w:rsid w:val="001C7672"/>
    <w:rsid w:val="001C7C71"/>
    <w:rsid w:val="001D0332"/>
    <w:rsid w:val="001D1E3D"/>
    <w:rsid w:val="001D31CF"/>
    <w:rsid w:val="001D37B7"/>
    <w:rsid w:val="001D4D9A"/>
    <w:rsid w:val="001D6FF9"/>
    <w:rsid w:val="001E0D42"/>
    <w:rsid w:val="001E1790"/>
    <w:rsid w:val="001E19EF"/>
    <w:rsid w:val="001E3B7E"/>
    <w:rsid w:val="001F103C"/>
    <w:rsid w:val="001F532E"/>
    <w:rsid w:val="001F62C4"/>
    <w:rsid w:val="0020182A"/>
    <w:rsid w:val="00202820"/>
    <w:rsid w:val="00203E27"/>
    <w:rsid w:val="00204347"/>
    <w:rsid w:val="002043D1"/>
    <w:rsid w:val="00205789"/>
    <w:rsid w:val="002170BA"/>
    <w:rsid w:val="00220972"/>
    <w:rsid w:val="00221177"/>
    <w:rsid w:val="00221C8F"/>
    <w:rsid w:val="002227CA"/>
    <w:rsid w:val="00224212"/>
    <w:rsid w:val="00224CE8"/>
    <w:rsid w:val="00226004"/>
    <w:rsid w:val="0023021C"/>
    <w:rsid w:val="00233241"/>
    <w:rsid w:val="0023684C"/>
    <w:rsid w:val="002374DF"/>
    <w:rsid w:val="0023784A"/>
    <w:rsid w:val="00241802"/>
    <w:rsid w:val="00241E07"/>
    <w:rsid w:val="00242F48"/>
    <w:rsid w:val="00244EFF"/>
    <w:rsid w:val="00247906"/>
    <w:rsid w:val="00247E1E"/>
    <w:rsid w:val="0025183E"/>
    <w:rsid w:val="00251EFF"/>
    <w:rsid w:val="002528F8"/>
    <w:rsid w:val="00253E17"/>
    <w:rsid w:val="00254E91"/>
    <w:rsid w:val="00255412"/>
    <w:rsid w:val="0025725E"/>
    <w:rsid w:val="00263584"/>
    <w:rsid w:val="00263EBB"/>
    <w:rsid w:val="002647B8"/>
    <w:rsid w:val="002666A8"/>
    <w:rsid w:val="00266F65"/>
    <w:rsid w:val="002674F7"/>
    <w:rsid w:val="00267D8E"/>
    <w:rsid w:val="002702A5"/>
    <w:rsid w:val="00270E67"/>
    <w:rsid w:val="00272E4D"/>
    <w:rsid w:val="0027515A"/>
    <w:rsid w:val="00276189"/>
    <w:rsid w:val="00277198"/>
    <w:rsid w:val="00280C73"/>
    <w:rsid w:val="00281321"/>
    <w:rsid w:val="00282926"/>
    <w:rsid w:val="00286D23"/>
    <w:rsid w:val="002900C4"/>
    <w:rsid w:val="0029077A"/>
    <w:rsid w:val="002914DD"/>
    <w:rsid w:val="00292218"/>
    <w:rsid w:val="002926E0"/>
    <w:rsid w:val="0029271A"/>
    <w:rsid w:val="00292CF9"/>
    <w:rsid w:val="002945F4"/>
    <w:rsid w:val="00294B7E"/>
    <w:rsid w:val="00295012"/>
    <w:rsid w:val="002A0972"/>
    <w:rsid w:val="002A3DB9"/>
    <w:rsid w:val="002A5E38"/>
    <w:rsid w:val="002A78C3"/>
    <w:rsid w:val="002A7B5D"/>
    <w:rsid w:val="002A7CD2"/>
    <w:rsid w:val="002B091A"/>
    <w:rsid w:val="002B1816"/>
    <w:rsid w:val="002B2964"/>
    <w:rsid w:val="002B31E8"/>
    <w:rsid w:val="002B3A44"/>
    <w:rsid w:val="002B5679"/>
    <w:rsid w:val="002B5C33"/>
    <w:rsid w:val="002C4487"/>
    <w:rsid w:val="002C48B2"/>
    <w:rsid w:val="002D141E"/>
    <w:rsid w:val="002D1F31"/>
    <w:rsid w:val="002D7280"/>
    <w:rsid w:val="002E0407"/>
    <w:rsid w:val="002E0CFE"/>
    <w:rsid w:val="002E423A"/>
    <w:rsid w:val="002E4D24"/>
    <w:rsid w:val="002E5659"/>
    <w:rsid w:val="002E7EBE"/>
    <w:rsid w:val="002F5DAA"/>
    <w:rsid w:val="002F71EC"/>
    <w:rsid w:val="002F7EB7"/>
    <w:rsid w:val="00300C6E"/>
    <w:rsid w:val="00302D82"/>
    <w:rsid w:val="00302E0F"/>
    <w:rsid w:val="00305285"/>
    <w:rsid w:val="00306027"/>
    <w:rsid w:val="003077B9"/>
    <w:rsid w:val="00310A67"/>
    <w:rsid w:val="003128ED"/>
    <w:rsid w:val="00312BF3"/>
    <w:rsid w:val="00313BDE"/>
    <w:rsid w:val="003154C1"/>
    <w:rsid w:val="00316015"/>
    <w:rsid w:val="00316DE2"/>
    <w:rsid w:val="00317567"/>
    <w:rsid w:val="00317FBA"/>
    <w:rsid w:val="003207B0"/>
    <w:rsid w:val="00321079"/>
    <w:rsid w:val="00321A1C"/>
    <w:rsid w:val="003234B7"/>
    <w:rsid w:val="00325CF7"/>
    <w:rsid w:val="003262E6"/>
    <w:rsid w:val="00326C36"/>
    <w:rsid w:val="00332119"/>
    <w:rsid w:val="0033298B"/>
    <w:rsid w:val="0033377C"/>
    <w:rsid w:val="00334272"/>
    <w:rsid w:val="003344D0"/>
    <w:rsid w:val="00334735"/>
    <w:rsid w:val="00336217"/>
    <w:rsid w:val="00336914"/>
    <w:rsid w:val="00341527"/>
    <w:rsid w:val="003415A5"/>
    <w:rsid w:val="00343E35"/>
    <w:rsid w:val="00346B7A"/>
    <w:rsid w:val="00347641"/>
    <w:rsid w:val="003512DD"/>
    <w:rsid w:val="00352A01"/>
    <w:rsid w:val="00352C3B"/>
    <w:rsid w:val="00356BA2"/>
    <w:rsid w:val="00360C01"/>
    <w:rsid w:val="0036262F"/>
    <w:rsid w:val="00362AA1"/>
    <w:rsid w:val="00367295"/>
    <w:rsid w:val="00367C80"/>
    <w:rsid w:val="00372532"/>
    <w:rsid w:val="00375807"/>
    <w:rsid w:val="003760F8"/>
    <w:rsid w:val="003763F3"/>
    <w:rsid w:val="00377108"/>
    <w:rsid w:val="00377268"/>
    <w:rsid w:val="00380092"/>
    <w:rsid w:val="00381B57"/>
    <w:rsid w:val="003821EF"/>
    <w:rsid w:val="00382A10"/>
    <w:rsid w:val="00383434"/>
    <w:rsid w:val="00384CE5"/>
    <w:rsid w:val="00387606"/>
    <w:rsid w:val="00393979"/>
    <w:rsid w:val="003A096B"/>
    <w:rsid w:val="003A145F"/>
    <w:rsid w:val="003A20CC"/>
    <w:rsid w:val="003A2131"/>
    <w:rsid w:val="003A2242"/>
    <w:rsid w:val="003A36D9"/>
    <w:rsid w:val="003A370A"/>
    <w:rsid w:val="003A4E65"/>
    <w:rsid w:val="003A63B9"/>
    <w:rsid w:val="003A6968"/>
    <w:rsid w:val="003B0AA1"/>
    <w:rsid w:val="003B12FF"/>
    <w:rsid w:val="003B2018"/>
    <w:rsid w:val="003B5691"/>
    <w:rsid w:val="003B5D08"/>
    <w:rsid w:val="003C0993"/>
    <w:rsid w:val="003C10A0"/>
    <w:rsid w:val="003C2293"/>
    <w:rsid w:val="003C3EB0"/>
    <w:rsid w:val="003C42F6"/>
    <w:rsid w:val="003C44C1"/>
    <w:rsid w:val="003C536E"/>
    <w:rsid w:val="003C5401"/>
    <w:rsid w:val="003D0472"/>
    <w:rsid w:val="003D4FCA"/>
    <w:rsid w:val="003D580D"/>
    <w:rsid w:val="003D59FD"/>
    <w:rsid w:val="003D6912"/>
    <w:rsid w:val="003E127A"/>
    <w:rsid w:val="003E16E1"/>
    <w:rsid w:val="003E1DFE"/>
    <w:rsid w:val="003E1E74"/>
    <w:rsid w:val="003E2628"/>
    <w:rsid w:val="003E3040"/>
    <w:rsid w:val="003E3349"/>
    <w:rsid w:val="003E34FE"/>
    <w:rsid w:val="003E4BA2"/>
    <w:rsid w:val="003E6F99"/>
    <w:rsid w:val="003F204B"/>
    <w:rsid w:val="003F2E4F"/>
    <w:rsid w:val="003F5872"/>
    <w:rsid w:val="003F62AB"/>
    <w:rsid w:val="00400732"/>
    <w:rsid w:val="0040080B"/>
    <w:rsid w:val="004022CC"/>
    <w:rsid w:val="00402505"/>
    <w:rsid w:val="0040273B"/>
    <w:rsid w:val="00403521"/>
    <w:rsid w:val="00404282"/>
    <w:rsid w:val="004049AD"/>
    <w:rsid w:val="00404F78"/>
    <w:rsid w:val="0040525B"/>
    <w:rsid w:val="004058E7"/>
    <w:rsid w:val="0040637C"/>
    <w:rsid w:val="00411ECC"/>
    <w:rsid w:val="00411F44"/>
    <w:rsid w:val="00415FD5"/>
    <w:rsid w:val="004206EC"/>
    <w:rsid w:val="00421352"/>
    <w:rsid w:val="00421667"/>
    <w:rsid w:val="00421FDC"/>
    <w:rsid w:val="0042655C"/>
    <w:rsid w:val="0043067D"/>
    <w:rsid w:val="00430878"/>
    <w:rsid w:val="00430FC0"/>
    <w:rsid w:val="004319A4"/>
    <w:rsid w:val="00431AAF"/>
    <w:rsid w:val="004335F3"/>
    <w:rsid w:val="00433914"/>
    <w:rsid w:val="00437037"/>
    <w:rsid w:val="00440559"/>
    <w:rsid w:val="00441E74"/>
    <w:rsid w:val="0044295F"/>
    <w:rsid w:val="004466F2"/>
    <w:rsid w:val="004471DB"/>
    <w:rsid w:val="00452C69"/>
    <w:rsid w:val="004533D9"/>
    <w:rsid w:val="00453DBF"/>
    <w:rsid w:val="00455C14"/>
    <w:rsid w:val="00456B05"/>
    <w:rsid w:val="004606DD"/>
    <w:rsid w:val="00461BCB"/>
    <w:rsid w:val="00462C8E"/>
    <w:rsid w:val="00463EBC"/>
    <w:rsid w:val="00465303"/>
    <w:rsid w:val="004655C0"/>
    <w:rsid w:val="00465F64"/>
    <w:rsid w:val="00467274"/>
    <w:rsid w:val="00470502"/>
    <w:rsid w:val="00470CFD"/>
    <w:rsid w:val="00471996"/>
    <w:rsid w:val="004724CC"/>
    <w:rsid w:val="0047507E"/>
    <w:rsid w:val="00476DF9"/>
    <w:rsid w:val="00483432"/>
    <w:rsid w:val="004839B0"/>
    <w:rsid w:val="00490F76"/>
    <w:rsid w:val="00491C8A"/>
    <w:rsid w:val="00493D86"/>
    <w:rsid w:val="0049615E"/>
    <w:rsid w:val="00496A68"/>
    <w:rsid w:val="00497C2A"/>
    <w:rsid w:val="004A0C43"/>
    <w:rsid w:val="004A10D9"/>
    <w:rsid w:val="004A22EC"/>
    <w:rsid w:val="004A28AE"/>
    <w:rsid w:val="004A3AFA"/>
    <w:rsid w:val="004A3D72"/>
    <w:rsid w:val="004A4D66"/>
    <w:rsid w:val="004A53D6"/>
    <w:rsid w:val="004A720E"/>
    <w:rsid w:val="004B0D0B"/>
    <w:rsid w:val="004B189A"/>
    <w:rsid w:val="004B50D7"/>
    <w:rsid w:val="004B6E82"/>
    <w:rsid w:val="004B7F5D"/>
    <w:rsid w:val="004C18D6"/>
    <w:rsid w:val="004C27D0"/>
    <w:rsid w:val="004C3404"/>
    <w:rsid w:val="004C45D0"/>
    <w:rsid w:val="004D46DD"/>
    <w:rsid w:val="004D6F54"/>
    <w:rsid w:val="004D71F8"/>
    <w:rsid w:val="004E0627"/>
    <w:rsid w:val="004E0F2C"/>
    <w:rsid w:val="004E4383"/>
    <w:rsid w:val="004E4CAC"/>
    <w:rsid w:val="004E4E1A"/>
    <w:rsid w:val="004E6B14"/>
    <w:rsid w:val="004E6BB9"/>
    <w:rsid w:val="004E7219"/>
    <w:rsid w:val="004E7601"/>
    <w:rsid w:val="004F015E"/>
    <w:rsid w:val="004F0432"/>
    <w:rsid w:val="004F31F4"/>
    <w:rsid w:val="004F3618"/>
    <w:rsid w:val="004F3B0C"/>
    <w:rsid w:val="004F3F5F"/>
    <w:rsid w:val="004F423B"/>
    <w:rsid w:val="004F4AD5"/>
    <w:rsid w:val="004F5FD6"/>
    <w:rsid w:val="004F6E46"/>
    <w:rsid w:val="00500106"/>
    <w:rsid w:val="005001AE"/>
    <w:rsid w:val="00501D09"/>
    <w:rsid w:val="00502919"/>
    <w:rsid w:val="005043E2"/>
    <w:rsid w:val="00505B12"/>
    <w:rsid w:val="00506256"/>
    <w:rsid w:val="0050644F"/>
    <w:rsid w:val="00506EF0"/>
    <w:rsid w:val="00507071"/>
    <w:rsid w:val="005071CC"/>
    <w:rsid w:val="005101E2"/>
    <w:rsid w:val="005122D0"/>
    <w:rsid w:val="005148C1"/>
    <w:rsid w:val="00516180"/>
    <w:rsid w:val="0051693F"/>
    <w:rsid w:val="00517B0C"/>
    <w:rsid w:val="00522A31"/>
    <w:rsid w:val="00523E83"/>
    <w:rsid w:val="00527216"/>
    <w:rsid w:val="00527E78"/>
    <w:rsid w:val="00530138"/>
    <w:rsid w:val="005306E4"/>
    <w:rsid w:val="00531BE3"/>
    <w:rsid w:val="00531C36"/>
    <w:rsid w:val="005330BF"/>
    <w:rsid w:val="005332A2"/>
    <w:rsid w:val="00537CC9"/>
    <w:rsid w:val="00543BD4"/>
    <w:rsid w:val="005454CC"/>
    <w:rsid w:val="005456DC"/>
    <w:rsid w:val="0054574A"/>
    <w:rsid w:val="00546B6C"/>
    <w:rsid w:val="00550D29"/>
    <w:rsid w:val="00553EAA"/>
    <w:rsid w:val="00553FB6"/>
    <w:rsid w:val="00554232"/>
    <w:rsid w:val="00556D5F"/>
    <w:rsid w:val="00560697"/>
    <w:rsid w:val="00560B61"/>
    <w:rsid w:val="0056152F"/>
    <w:rsid w:val="0056478B"/>
    <w:rsid w:val="005674E2"/>
    <w:rsid w:val="00567597"/>
    <w:rsid w:val="00576348"/>
    <w:rsid w:val="005776B1"/>
    <w:rsid w:val="00580969"/>
    <w:rsid w:val="00582C90"/>
    <w:rsid w:val="00582D52"/>
    <w:rsid w:val="00583E44"/>
    <w:rsid w:val="00585126"/>
    <w:rsid w:val="005915C0"/>
    <w:rsid w:val="005965EA"/>
    <w:rsid w:val="005A0D45"/>
    <w:rsid w:val="005A439C"/>
    <w:rsid w:val="005A53D3"/>
    <w:rsid w:val="005A590C"/>
    <w:rsid w:val="005A65C4"/>
    <w:rsid w:val="005B0E93"/>
    <w:rsid w:val="005B1AF4"/>
    <w:rsid w:val="005B2DB9"/>
    <w:rsid w:val="005B3283"/>
    <w:rsid w:val="005B5695"/>
    <w:rsid w:val="005B59E9"/>
    <w:rsid w:val="005C0751"/>
    <w:rsid w:val="005C1757"/>
    <w:rsid w:val="005C2078"/>
    <w:rsid w:val="005C5C01"/>
    <w:rsid w:val="005C6F10"/>
    <w:rsid w:val="005C741C"/>
    <w:rsid w:val="005D1EC7"/>
    <w:rsid w:val="005D30E8"/>
    <w:rsid w:val="005D3366"/>
    <w:rsid w:val="005D62AD"/>
    <w:rsid w:val="005E217D"/>
    <w:rsid w:val="005E5003"/>
    <w:rsid w:val="005E60F7"/>
    <w:rsid w:val="005E635D"/>
    <w:rsid w:val="005E665A"/>
    <w:rsid w:val="005F1B9D"/>
    <w:rsid w:val="005F46F0"/>
    <w:rsid w:val="005F534C"/>
    <w:rsid w:val="005F5D1B"/>
    <w:rsid w:val="005F6CB8"/>
    <w:rsid w:val="005F7706"/>
    <w:rsid w:val="00600FA3"/>
    <w:rsid w:val="00601B77"/>
    <w:rsid w:val="00607464"/>
    <w:rsid w:val="00607489"/>
    <w:rsid w:val="006076A7"/>
    <w:rsid w:val="00612787"/>
    <w:rsid w:val="00615617"/>
    <w:rsid w:val="00615E00"/>
    <w:rsid w:val="0061657C"/>
    <w:rsid w:val="0062040B"/>
    <w:rsid w:val="00626E83"/>
    <w:rsid w:val="006274AE"/>
    <w:rsid w:val="0063135B"/>
    <w:rsid w:val="00633866"/>
    <w:rsid w:val="00633EC5"/>
    <w:rsid w:val="0063487F"/>
    <w:rsid w:val="00634F96"/>
    <w:rsid w:val="00635DB6"/>
    <w:rsid w:val="00640086"/>
    <w:rsid w:val="00641745"/>
    <w:rsid w:val="00643BF7"/>
    <w:rsid w:val="0064411F"/>
    <w:rsid w:val="00645991"/>
    <w:rsid w:val="0064613E"/>
    <w:rsid w:val="006505AC"/>
    <w:rsid w:val="0066214E"/>
    <w:rsid w:val="006632AA"/>
    <w:rsid w:val="00663DD2"/>
    <w:rsid w:val="00664CB5"/>
    <w:rsid w:val="0066575F"/>
    <w:rsid w:val="00666105"/>
    <w:rsid w:val="00666258"/>
    <w:rsid w:val="00666C36"/>
    <w:rsid w:val="00666EE0"/>
    <w:rsid w:val="00670055"/>
    <w:rsid w:val="00671255"/>
    <w:rsid w:val="006726AA"/>
    <w:rsid w:val="00672F92"/>
    <w:rsid w:val="00673614"/>
    <w:rsid w:val="00674109"/>
    <w:rsid w:val="006758E8"/>
    <w:rsid w:val="006810B7"/>
    <w:rsid w:val="006829EB"/>
    <w:rsid w:val="006846DB"/>
    <w:rsid w:val="00684A76"/>
    <w:rsid w:val="00685DB3"/>
    <w:rsid w:val="006865DA"/>
    <w:rsid w:val="006869A6"/>
    <w:rsid w:val="0068716A"/>
    <w:rsid w:val="006905B4"/>
    <w:rsid w:val="00690901"/>
    <w:rsid w:val="0069157B"/>
    <w:rsid w:val="00691E31"/>
    <w:rsid w:val="0069372A"/>
    <w:rsid w:val="00695366"/>
    <w:rsid w:val="006A155D"/>
    <w:rsid w:val="006A1CC3"/>
    <w:rsid w:val="006A652F"/>
    <w:rsid w:val="006B0472"/>
    <w:rsid w:val="006B0D70"/>
    <w:rsid w:val="006B1775"/>
    <w:rsid w:val="006B27A6"/>
    <w:rsid w:val="006B2DBA"/>
    <w:rsid w:val="006C35B4"/>
    <w:rsid w:val="006C4372"/>
    <w:rsid w:val="006C4812"/>
    <w:rsid w:val="006C6B59"/>
    <w:rsid w:val="006C7536"/>
    <w:rsid w:val="006C779E"/>
    <w:rsid w:val="006C782C"/>
    <w:rsid w:val="006D00B4"/>
    <w:rsid w:val="006D162C"/>
    <w:rsid w:val="006D1835"/>
    <w:rsid w:val="006D1CA7"/>
    <w:rsid w:val="006D2321"/>
    <w:rsid w:val="006D6A6F"/>
    <w:rsid w:val="006E01FB"/>
    <w:rsid w:val="006E038C"/>
    <w:rsid w:val="006E3025"/>
    <w:rsid w:val="006F19F8"/>
    <w:rsid w:val="006F1E0E"/>
    <w:rsid w:val="006F3B77"/>
    <w:rsid w:val="006F55AE"/>
    <w:rsid w:val="006F634D"/>
    <w:rsid w:val="006F7C0B"/>
    <w:rsid w:val="00700C9B"/>
    <w:rsid w:val="00703B19"/>
    <w:rsid w:val="0070793A"/>
    <w:rsid w:val="007117E0"/>
    <w:rsid w:val="007156A9"/>
    <w:rsid w:val="00715E68"/>
    <w:rsid w:val="00716BDD"/>
    <w:rsid w:val="00721678"/>
    <w:rsid w:val="0072349A"/>
    <w:rsid w:val="007241FB"/>
    <w:rsid w:val="007243F4"/>
    <w:rsid w:val="00725AC3"/>
    <w:rsid w:val="00730501"/>
    <w:rsid w:val="00730594"/>
    <w:rsid w:val="00731941"/>
    <w:rsid w:val="00732C39"/>
    <w:rsid w:val="00735E49"/>
    <w:rsid w:val="00736235"/>
    <w:rsid w:val="00737E92"/>
    <w:rsid w:val="00737ECB"/>
    <w:rsid w:val="00743069"/>
    <w:rsid w:val="00743512"/>
    <w:rsid w:val="00744F6A"/>
    <w:rsid w:val="007454CC"/>
    <w:rsid w:val="00746BE1"/>
    <w:rsid w:val="00753AE2"/>
    <w:rsid w:val="007562A7"/>
    <w:rsid w:val="00757EA2"/>
    <w:rsid w:val="0076485D"/>
    <w:rsid w:val="00764D1B"/>
    <w:rsid w:val="00765129"/>
    <w:rsid w:val="0076676E"/>
    <w:rsid w:val="00770755"/>
    <w:rsid w:val="00773A3A"/>
    <w:rsid w:val="007746DA"/>
    <w:rsid w:val="0077475D"/>
    <w:rsid w:val="00776F1C"/>
    <w:rsid w:val="00781AD0"/>
    <w:rsid w:val="00781FC4"/>
    <w:rsid w:val="00782019"/>
    <w:rsid w:val="00782873"/>
    <w:rsid w:val="007830F2"/>
    <w:rsid w:val="00784391"/>
    <w:rsid w:val="0079153B"/>
    <w:rsid w:val="007930DA"/>
    <w:rsid w:val="0079522D"/>
    <w:rsid w:val="007957B7"/>
    <w:rsid w:val="007A02CE"/>
    <w:rsid w:val="007A04A2"/>
    <w:rsid w:val="007A0AE1"/>
    <w:rsid w:val="007A1CD3"/>
    <w:rsid w:val="007A5084"/>
    <w:rsid w:val="007B0B14"/>
    <w:rsid w:val="007B1410"/>
    <w:rsid w:val="007B1958"/>
    <w:rsid w:val="007B1A2A"/>
    <w:rsid w:val="007B1BBB"/>
    <w:rsid w:val="007B2798"/>
    <w:rsid w:val="007B3E7E"/>
    <w:rsid w:val="007B4B15"/>
    <w:rsid w:val="007B73F7"/>
    <w:rsid w:val="007B77CE"/>
    <w:rsid w:val="007C160E"/>
    <w:rsid w:val="007C6148"/>
    <w:rsid w:val="007C63EA"/>
    <w:rsid w:val="007C6637"/>
    <w:rsid w:val="007C6ED9"/>
    <w:rsid w:val="007C79C2"/>
    <w:rsid w:val="007D29DE"/>
    <w:rsid w:val="007D39C6"/>
    <w:rsid w:val="007D4AE3"/>
    <w:rsid w:val="007D59A8"/>
    <w:rsid w:val="007E0BE0"/>
    <w:rsid w:val="007E0DB9"/>
    <w:rsid w:val="007E5667"/>
    <w:rsid w:val="007E791A"/>
    <w:rsid w:val="007E7C21"/>
    <w:rsid w:val="007F006E"/>
    <w:rsid w:val="007F086D"/>
    <w:rsid w:val="007F1247"/>
    <w:rsid w:val="007F6982"/>
    <w:rsid w:val="00802B2A"/>
    <w:rsid w:val="00803510"/>
    <w:rsid w:val="0080451D"/>
    <w:rsid w:val="008051C7"/>
    <w:rsid w:val="008052DD"/>
    <w:rsid w:val="00807761"/>
    <w:rsid w:val="008101C8"/>
    <w:rsid w:val="00810F14"/>
    <w:rsid w:val="00812133"/>
    <w:rsid w:val="00812A53"/>
    <w:rsid w:val="0081327F"/>
    <w:rsid w:val="00813BC6"/>
    <w:rsid w:val="008154DA"/>
    <w:rsid w:val="00815826"/>
    <w:rsid w:val="0081624F"/>
    <w:rsid w:val="008163AB"/>
    <w:rsid w:val="00817A3E"/>
    <w:rsid w:val="00821481"/>
    <w:rsid w:val="0082503B"/>
    <w:rsid w:val="00825A59"/>
    <w:rsid w:val="008307BC"/>
    <w:rsid w:val="00830A12"/>
    <w:rsid w:val="008326B5"/>
    <w:rsid w:val="00832981"/>
    <w:rsid w:val="0083311D"/>
    <w:rsid w:val="00835503"/>
    <w:rsid w:val="00836CC6"/>
    <w:rsid w:val="008419C4"/>
    <w:rsid w:val="00845468"/>
    <w:rsid w:val="00845EC1"/>
    <w:rsid w:val="00852708"/>
    <w:rsid w:val="008553A8"/>
    <w:rsid w:val="00855407"/>
    <w:rsid w:val="00856003"/>
    <w:rsid w:val="00860423"/>
    <w:rsid w:val="00860C1C"/>
    <w:rsid w:val="00860C71"/>
    <w:rsid w:val="00861048"/>
    <w:rsid w:val="0086113C"/>
    <w:rsid w:val="008613B4"/>
    <w:rsid w:val="00861772"/>
    <w:rsid w:val="008703DB"/>
    <w:rsid w:val="00875686"/>
    <w:rsid w:val="00877359"/>
    <w:rsid w:val="008774BA"/>
    <w:rsid w:val="0088030A"/>
    <w:rsid w:val="0088376F"/>
    <w:rsid w:val="00884697"/>
    <w:rsid w:val="008850C1"/>
    <w:rsid w:val="00886014"/>
    <w:rsid w:val="00890A50"/>
    <w:rsid w:val="0089130E"/>
    <w:rsid w:val="00892F93"/>
    <w:rsid w:val="00893806"/>
    <w:rsid w:val="00894061"/>
    <w:rsid w:val="0089545B"/>
    <w:rsid w:val="0089615B"/>
    <w:rsid w:val="008966E8"/>
    <w:rsid w:val="00897557"/>
    <w:rsid w:val="008A0BAD"/>
    <w:rsid w:val="008A2014"/>
    <w:rsid w:val="008A3E12"/>
    <w:rsid w:val="008A47FC"/>
    <w:rsid w:val="008A670F"/>
    <w:rsid w:val="008B608E"/>
    <w:rsid w:val="008B6314"/>
    <w:rsid w:val="008B669C"/>
    <w:rsid w:val="008C0AA1"/>
    <w:rsid w:val="008C1C4D"/>
    <w:rsid w:val="008C2490"/>
    <w:rsid w:val="008C2D9F"/>
    <w:rsid w:val="008C35BF"/>
    <w:rsid w:val="008C399D"/>
    <w:rsid w:val="008C7645"/>
    <w:rsid w:val="008C7898"/>
    <w:rsid w:val="008C7B40"/>
    <w:rsid w:val="008C7E35"/>
    <w:rsid w:val="008C7FE6"/>
    <w:rsid w:val="008D1057"/>
    <w:rsid w:val="008D1BA9"/>
    <w:rsid w:val="008D2996"/>
    <w:rsid w:val="008D2E48"/>
    <w:rsid w:val="008D4199"/>
    <w:rsid w:val="008D5379"/>
    <w:rsid w:val="008D5659"/>
    <w:rsid w:val="008D5991"/>
    <w:rsid w:val="008D5F83"/>
    <w:rsid w:val="008D7778"/>
    <w:rsid w:val="008E033A"/>
    <w:rsid w:val="008E18AC"/>
    <w:rsid w:val="008E1C77"/>
    <w:rsid w:val="008E351D"/>
    <w:rsid w:val="008E3DD3"/>
    <w:rsid w:val="008E4734"/>
    <w:rsid w:val="008E578B"/>
    <w:rsid w:val="008E59F0"/>
    <w:rsid w:val="008E636A"/>
    <w:rsid w:val="008E7269"/>
    <w:rsid w:val="008E74F0"/>
    <w:rsid w:val="008F5AA8"/>
    <w:rsid w:val="00900543"/>
    <w:rsid w:val="00900810"/>
    <w:rsid w:val="00902D8F"/>
    <w:rsid w:val="00902E62"/>
    <w:rsid w:val="00903177"/>
    <w:rsid w:val="00903995"/>
    <w:rsid w:val="00905215"/>
    <w:rsid w:val="0090563E"/>
    <w:rsid w:val="009067D3"/>
    <w:rsid w:val="00911014"/>
    <w:rsid w:val="00911A10"/>
    <w:rsid w:val="00914E80"/>
    <w:rsid w:val="00917286"/>
    <w:rsid w:val="00920DC7"/>
    <w:rsid w:val="009236BD"/>
    <w:rsid w:val="00924C37"/>
    <w:rsid w:val="009275DF"/>
    <w:rsid w:val="009276BC"/>
    <w:rsid w:val="00932470"/>
    <w:rsid w:val="00932EB6"/>
    <w:rsid w:val="009357FC"/>
    <w:rsid w:val="00936693"/>
    <w:rsid w:val="0093789C"/>
    <w:rsid w:val="00942B92"/>
    <w:rsid w:val="0094735C"/>
    <w:rsid w:val="009615BC"/>
    <w:rsid w:val="009626B3"/>
    <w:rsid w:val="00965A9D"/>
    <w:rsid w:val="00966978"/>
    <w:rsid w:val="00970229"/>
    <w:rsid w:val="00970474"/>
    <w:rsid w:val="00971317"/>
    <w:rsid w:val="0097275E"/>
    <w:rsid w:val="00973B2F"/>
    <w:rsid w:val="00973C01"/>
    <w:rsid w:val="009748FC"/>
    <w:rsid w:val="00974B6A"/>
    <w:rsid w:val="00976A1E"/>
    <w:rsid w:val="00977D7C"/>
    <w:rsid w:val="0098009E"/>
    <w:rsid w:val="0098182A"/>
    <w:rsid w:val="00981D18"/>
    <w:rsid w:val="009821E9"/>
    <w:rsid w:val="00982B4E"/>
    <w:rsid w:val="0098369F"/>
    <w:rsid w:val="00984019"/>
    <w:rsid w:val="00984026"/>
    <w:rsid w:val="00984A69"/>
    <w:rsid w:val="00984C1F"/>
    <w:rsid w:val="00985433"/>
    <w:rsid w:val="00985954"/>
    <w:rsid w:val="00986764"/>
    <w:rsid w:val="0098743A"/>
    <w:rsid w:val="009901C7"/>
    <w:rsid w:val="00990F1F"/>
    <w:rsid w:val="00992383"/>
    <w:rsid w:val="00996B7B"/>
    <w:rsid w:val="00997C81"/>
    <w:rsid w:val="009A02E4"/>
    <w:rsid w:val="009A09A2"/>
    <w:rsid w:val="009A187F"/>
    <w:rsid w:val="009A1A96"/>
    <w:rsid w:val="009A1F9F"/>
    <w:rsid w:val="009A2599"/>
    <w:rsid w:val="009A362A"/>
    <w:rsid w:val="009A54D5"/>
    <w:rsid w:val="009A55B1"/>
    <w:rsid w:val="009A634D"/>
    <w:rsid w:val="009A7B34"/>
    <w:rsid w:val="009B5F8E"/>
    <w:rsid w:val="009B6333"/>
    <w:rsid w:val="009B7113"/>
    <w:rsid w:val="009C02B4"/>
    <w:rsid w:val="009C0C33"/>
    <w:rsid w:val="009C0CF0"/>
    <w:rsid w:val="009C2B57"/>
    <w:rsid w:val="009C2B62"/>
    <w:rsid w:val="009C6E0E"/>
    <w:rsid w:val="009C77EE"/>
    <w:rsid w:val="009D0B1F"/>
    <w:rsid w:val="009D0E7C"/>
    <w:rsid w:val="009D1794"/>
    <w:rsid w:val="009D1B0A"/>
    <w:rsid w:val="009D4986"/>
    <w:rsid w:val="009D56FD"/>
    <w:rsid w:val="009D66A5"/>
    <w:rsid w:val="009D6CEF"/>
    <w:rsid w:val="009D7937"/>
    <w:rsid w:val="009E132E"/>
    <w:rsid w:val="009E385A"/>
    <w:rsid w:val="009E5039"/>
    <w:rsid w:val="009E59C0"/>
    <w:rsid w:val="009E670F"/>
    <w:rsid w:val="009E688B"/>
    <w:rsid w:val="009E7504"/>
    <w:rsid w:val="009F000C"/>
    <w:rsid w:val="009F2F69"/>
    <w:rsid w:val="009F31FB"/>
    <w:rsid w:val="009F3368"/>
    <w:rsid w:val="009F35DB"/>
    <w:rsid w:val="009F4202"/>
    <w:rsid w:val="009F4AF1"/>
    <w:rsid w:val="009F74AA"/>
    <w:rsid w:val="00A0136E"/>
    <w:rsid w:val="00A025A5"/>
    <w:rsid w:val="00A04F13"/>
    <w:rsid w:val="00A05E79"/>
    <w:rsid w:val="00A0671B"/>
    <w:rsid w:val="00A06D4B"/>
    <w:rsid w:val="00A07090"/>
    <w:rsid w:val="00A11415"/>
    <w:rsid w:val="00A11AFB"/>
    <w:rsid w:val="00A126E4"/>
    <w:rsid w:val="00A12B0A"/>
    <w:rsid w:val="00A16CA1"/>
    <w:rsid w:val="00A21DD2"/>
    <w:rsid w:val="00A22DA1"/>
    <w:rsid w:val="00A237D5"/>
    <w:rsid w:val="00A23CEB"/>
    <w:rsid w:val="00A26070"/>
    <w:rsid w:val="00A26408"/>
    <w:rsid w:val="00A2725A"/>
    <w:rsid w:val="00A27CFE"/>
    <w:rsid w:val="00A30D4E"/>
    <w:rsid w:val="00A3112F"/>
    <w:rsid w:val="00A321E9"/>
    <w:rsid w:val="00A332AD"/>
    <w:rsid w:val="00A3447A"/>
    <w:rsid w:val="00A40D1E"/>
    <w:rsid w:val="00A426B5"/>
    <w:rsid w:val="00A43505"/>
    <w:rsid w:val="00A44600"/>
    <w:rsid w:val="00A452BE"/>
    <w:rsid w:val="00A47A5B"/>
    <w:rsid w:val="00A57242"/>
    <w:rsid w:val="00A57B7C"/>
    <w:rsid w:val="00A62E92"/>
    <w:rsid w:val="00A63AF6"/>
    <w:rsid w:val="00A64D36"/>
    <w:rsid w:val="00A70DCD"/>
    <w:rsid w:val="00A7147D"/>
    <w:rsid w:val="00A72C0B"/>
    <w:rsid w:val="00A7310C"/>
    <w:rsid w:val="00A74291"/>
    <w:rsid w:val="00A74467"/>
    <w:rsid w:val="00A75067"/>
    <w:rsid w:val="00A75249"/>
    <w:rsid w:val="00A762D1"/>
    <w:rsid w:val="00A770AE"/>
    <w:rsid w:val="00A80D8E"/>
    <w:rsid w:val="00A83CF2"/>
    <w:rsid w:val="00A86FCF"/>
    <w:rsid w:val="00A90CAF"/>
    <w:rsid w:val="00A9347C"/>
    <w:rsid w:val="00A93AA9"/>
    <w:rsid w:val="00A978D3"/>
    <w:rsid w:val="00AA0F3D"/>
    <w:rsid w:val="00AA3975"/>
    <w:rsid w:val="00AA4212"/>
    <w:rsid w:val="00AA5791"/>
    <w:rsid w:val="00AA5EBC"/>
    <w:rsid w:val="00AA6DD7"/>
    <w:rsid w:val="00AB1337"/>
    <w:rsid w:val="00AB2015"/>
    <w:rsid w:val="00AB72D2"/>
    <w:rsid w:val="00AB7566"/>
    <w:rsid w:val="00AB78B5"/>
    <w:rsid w:val="00AC2F4B"/>
    <w:rsid w:val="00AC321F"/>
    <w:rsid w:val="00AC404C"/>
    <w:rsid w:val="00AC41B2"/>
    <w:rsid w:val="00AC59DB"/>
    <w:rsid w:val="00AC6F6F"/>
    <w:rsid w:val="00AD1BFB"/>
    <w:rsid w:val="00AD37BF"/>
    <w:rsid w:val="00AD41C9"/>
    <w:rsid w:val="00AD7C74"/>
    <w:rsid w:val="00AE12B5"/>
    <w:rsid w:val="00AF153D"/>
    <w:rsid w:val="00AF2741"/>
    <w:rsid w:val="00AF2817"/>
    <w:rsid w:val="00AF3F50"/>
    <w:rsid w:val="00AF72BF"/>
    <w:rsid w:val="00AF744E"/>
    <w:rsid w:val="00AF7F56"/>
    <w:rsid w:val="00B01B12"/>
    <w:rsid w:val="00B04A1D"/>
    <w:rsid w:val="00B04A7E"/>
    <w:rsid w:val="00B06D63"/>
    <w:rsid w:val="00B07C39"/>
    <w:rsid w:val="00B12B6B"/>
    <w:rsid w:val="00B135DE"/>
    <w:rsid w:val="00B135F0"/>
    <w:rsid w:val="00B139E3"/>
    <w:rsid w:val="00B13E5C"/>
    <w:rsid w:val="00B171C8"/>
    <w:rsid w:val="00B20519"/>
    <w:rsid w:val="00B205FD"/>
    <w:rsid w:val="00B21177"/>
    <w:rsid w:val="00B230C4"/>
    <w:rsid w:val="00B26F30"/>
    <w:rsid w:val="00B32ED1"/>
    <w:rsid w:val="00B35546"/>
    <w:rsid w:val="00B405F4"/>
    <w:rsid w:val="00B45155"/>
    <w:rsid w:val="00B46499"/>
    <w:rsid w:val="00B502D9"/>
    <w:rsid w:val="00B50334"/>
    <w:rsid w:val="00B515E0"/>
    <w:rsid w:val="00B5174D"/>
    <w:rsid w:val="00B53339"/>
    <w:rsid w:val="00B5479B"/>
    <w:rsid w:val="00B571C9"/>
    <w:rsid w:val="00B61FCA"/>
    <w:rsid w:val="00B63D54"/>
    <w:rsid w:val="00B654FA"/>
    <w:rsid w:val="00B67B3E"/>
    <w:rsid w:val="00B71A20"/>
    <w:rsid w:val="00B726CA"/>
    <w:rsid w:val="00B72A70"/>
    <w:rsid w:val="00B74A71"/>
    <w:rsid w:val="00B76553"/>
    <w:rsid w:val="00B81439"/>
    <w:rsid w:val="00B833AA"/>
    <w:rsid w:val="00B91F00"/>
    <w:rsid w:val="00B93154"/>
    <w:rsid w:val="00B937F9"/>
    <w:rsid w:val="00BA144D"/>
    <w:rsid w:val="00BA1C56"/>
    <w:rsid w:val="00BA249F"/>
    <w:rsid w:val="00BA5B3E"/>
    <w:rsid w:val="00BB0070"/>
    <w:rsid w:val="00BB0AE4"/>
    <w:rsid w:val="00BB3412"/>
    <w:rsid w:val="00BB4E99"/>
    <w:rsid w:val="00BB6FAC"/>
    <w:rsid w:val="00BC06EB"/>
    <w:rsid w:val="00BC14CC"/>
    <w:rsid w:val="00BC2A0C"/>
    <w:rsid w:val="00BC314E"/>
    <w:rsid w:val="00BC3407"/>
    <w:rsid w:val="00BC4A41"/>
    <w:rsid w:val="00BC5562"/>
    <w:rsid w:val="00BC55C5"/>
    <w:rsid w:val="00BC5A0A"/>
    <w:rsid w:val="00BC7FD2"/>
    <w:rsid w:val="00BD0FEB"/>
    <w:rsid w:val="00BD250B"/>
    <w:rsid w:val="00BD313B"/>
    <w:rsid w:val="00BE007B"/>
    <w:rsid w:val="00BE00A0"/>
    <w:rsid w:val="00BE1A96"/>
    <w:rsid w:val="00BE681C"/>
    <w:rsid w:val="00BE7C79"/>
    <w:rsid w:val="00BF2E30"/>
    <w:rsid w:val="00BF308D"/>
    <w:rsid w:val="00BF3BA5"/>
    <w:rsid w:val="00BF5449"/>
    <w:rsid w:val="00BF5561"/>
    <w:rsid w:val="00BF6E53"/>
    <w:rsid w:val="00C0083E"/>
    <w:rsid w:val="00C0193E"/>
    <w:rsid w:val="00C029C7"/>
    <w:rsid w:val="00C02CEB"/>
    <w:rsid w:val="00C034EA"/>
    <w:rsid w:val="00C03C56"/>
    <w:rsid w:val="00C06D79"/>
    <w:rsid w:val="00C1097E"/>
    <w:rsid w:val="00C1299F"/>
    <w:rsid w:val="00C136E4"/>
    <w:rsid w:val="00C14058"/>
    <w:rsid w:val="00C140A0"/>
    <w:rsid w:val="00C1421B"/>
    <w:rsid w:val="00C143A1"/>
    <w:rsid w:val="00C15764"/>
    <w:rsid w:val="00C1590A"/>
    <w:rsid w:val="00C173E7"/>
    <w:rsid w:val="00C1751D"/>
    <w:rsid w:val="00C17F31"/>
    <w:rsid w:val="00C2083A"/>
    <w:rsid w:val="00C2147C"/>
    <w:rsid w:val="00C24604"/>
    <w:rsid w:val="00C24CD7"/>
    <w:rsid w:val="00C24D55"/>
    <w:rsid w:val="00C24DE0"/>
    <w:rsid w:val="00C25BE6"/>
    <w:rsid w:val="00C25E7D"/>
    <w:rsid w:val="00C26B42"/>
    <w:rsid w:val="00C26E7E"/>
    <w:rsid w:val="00C27EAD"/>
    <w:rsid w:val="00C31C3C"/>
    <w:rsid w:val="00C333AE"/>
    <w:rsid w:val="00C33600"/>
    <w:rsid w:val="00C34169"/>
    <w:rsid w:val="00C34716"/>
    <w:rsid w:val="00C36F65"/>
    <w:rsid w:val="00C37830"/>
    <w:rsid w:val="00C37BF4"/>
    <w:rsid w:val="00C37D80"/>
    <w:rsid w:val="00C40F5A"/>
    <w:rsid w:val="00C40FBA"/>
    <w:rsid w:val="00C41313"/>
    <w:rsid w:val="00C42B43"/>
    <w:rsid w:val="00C44034"/>
    <w:rsid w:val="00C4503B"/>
    <w:rsid w:val="00C50A95"/>
    <w:rsid w:val="00C5326C"/>
    <w:rsid w:val="00C535D1"/>
    <w:rsid w:val="00C54D5F"/>
    <w:rsid w:val="00C5614D"/>
    <w:rsid w:val="00C56DFC"/>
    <w:rsid w:val="00C60759"/>
    <w:rsid w:val="00C61EB9"/>
    <w:rsid w:val="00C62028"/>
    <w:rsid w:val="00C62C02"/>
    <w:rsid w:val="00C63193"/>
    <w:rsid w:val="00C67E48"/>
    <w:rsid w:val="00C70813"/>
    <w:rsid w:val="00C7091B"/>
    <w:rsid w:val="00C70A6E"/>
    <w:rsid w:val="00C713E5"/>
    <w:rsid w:val="00C7299D"/>
    <w:rsid w:val="00C748C7"/>
    <w:rsid w:val="00C756CA"/>
    <w:rsid w:val="00C7757D"/>
    <w:rsid w:val="00C808B9"/>
    <w:rsid w:val="00C823C5"/>
    <w:rsid w:val="00C8258A"/>
    <w:rsid w:val="00C82801"/>
    <w:rsid w:val="00C83395"/>
    <w:rsid w:val="00C84051"/>
    <w:rsid w:val="00C864DF"/>
    <w:rsid w:val="00C86AB8"/>
    <w:rsid w:val="00C86B5A"/>
    <w:rsid w:val="00C87883"/>
    <w:rsid w:val="00C9057C"/>
    <w:rsid w:val="00C912E4"/>
    <w:rsid w:val="00C9281B"/>
    <w:rsid w:val="00C928AD"/>
    <w:rsid w:val="00C929B9"/>
    <w:rsid w:val="00CA3BDF"/>
    <w:rsid w:val="00CA612C"/>
    <w:rsid w:val="00CA6BD1"/>
    <w:rsid w:val="00CB0F07"/>
    <w:rsid w:val="00CB1B17"/>
    <w:rsid w:val="00CB2FC0"/>
    <w:rsid w:val="00CB3ED9"/>
    <w:rsid w:val="00CB48C6"/>
    <w:rsid w:val="00CB4E4F"/>
    <w:rsid w:val="00CB5359"/>
    <w:rsid w:val="00CB5670"/>
    <w:rsid w:val="00CB65A3"/>
    <w:rsid w:val="00CB665F"/>
    <w:rsid w:val="00CB7129"/>
    <w:rsid w:val="00CB7319"/>
    <w:rsid w:val="00CC1ED8"/>
    <w:rsid w:val="00CC2DBF"/>
    <w:rsid w:val="00CC4B39"/>
    <w:rsid w:val="00CC5B18"/>
    <w:rsid w:val="00CC5FF5"/>
    <w:rsid w:val="00CC60EF"/>
    <w:rsid w:val="00CC679F"/>
    <w:rsid w:val="00CD045F"/>
    <w:rsid w:val="00CD21F4"/>
    <w:rsid w:val="00CD279F"/>
    <w:rsid w:val="00CD2837"/>
    <w:rsid w:val="00CD5F78"/>
    <w:rsid w:val="00CD654E"/>
    <w:rsid w:val="00CE1F98"/>
    <w:rsid w:val="00CE3979"/>
    <w:rsid w:val="00CE5ACE"/>
    <w:rsid w:val="00CE6DE0"/>
    <w:rsid w:val="00CE6F22"/>
    <w:rsid w:val="00CE7395"/>
    <w:rsid w:val="00CF1DB5"/>
    <w:rsid w:val="00CF2E14"/>
    <w:rsid w:val="00CF34F8"/>
    <w:rsid w:val="00CF3EC9"/>
    <w:rsid w:val="00CF4083"/>
    <w:rsid w:val="00CF4108"/>
    <w:rsid w:val="00CF44A1"/>
    <w:rsid w:val="00CF5AAC"/>
    <w:rsid w:val="00CF6037"/>
    <w:rsid w:val="00CF7402"/>
    <w:rsid w:val="00D00B9D"/>
    <w:rsid w:val="00D02287"/>
    <w:rsid w:val="00D02C2F"/>
    <w:rsid w:val="00D02C99"/>
    <w:rsid w:val="00D031F4"/>
    <w:rsid w:val="00D0617E"/>
    <w:rsid w:val="00D06A66"/>
    <w:rsid w:val="00D109AE"/>
    <w:rsid w:val="00D1231C"/>
    <w:rsid w:val="00D127BE"/>
    <w:rsid w:val="00D1362F"/>
    <w:rsid w:val="00D15D5E"/>
    <w:rsid w:val="00D15E15"/>
    <w:rsid w:val="00D212F2"/>
    <w:rsid w:val="00D24AA3"/>
    <w:rsid w:val="00D26989"/>
    <w:rsid w:val="00D30316"/>
    <w:rsid w:val="00D31498"/>
    <w:rsid w:val="00D342F7"/>
    <w:rsid w:val="00D36A2E"/>
    <w:rsid w:val="00D36ACF"/>
    <w:rsid w:val="00D3739E"/>
    <w:rsid w:val="00D40A51"/>
    <w:rsid w:val="00D41F5B"/>
    <w:rsid w:val="00D43527"/>
    <w:rsid w:val="00D43F9E"/>
    <w:rsid w:val="00D44D97"/>
    <w:rsid w:val="00D5068B"/>
    <w:rsid w:val="00D50E91"/>
    <w:rsid w:val="00D51F4C"/>
    <w:rsid w:val="00D5228E"/>
    <w:rsid w:val="00D54076"/>
    <w:rsid w:val="00D547AB"/>
    <w:rsid w:val="00D559F9"/>
    <w:rsid w:val="00D57BD5"/>
    <w:rsid w:val="00D60A8D"/>
    <w:rsid w:val="00D60CB4"/>
    <w:rsid w:val="00D6118F"/>
    <w:rsid w:val="00D6413E"/>
    <w:rsid w:val="00D6435D"/>
    <w:rsid w:val="00D65482"/>
    <w:rsid w:val="00D73F46"/>
    <w:rsid w:val="00D742F0"/>
    <w:rsid w:val="00D7791B"/>
    <w:rsid w:val="00D806F4"/>
    <w:rsid w:val="00D8103C"/>
    <w:rsid w:val="00D810F1"/>
    <w:rsid w:val="00D82FDD"/>
    <w:rsid w:val="00D83033"/>
    <w:rsid w:val="00D90280"/>
    <w:rsid w:val="00D90D8D"/>
    <w:rsid w:val="00D921CC"/>
    <w:rsid w:val="00D924E1"/>
    <w:rsid w:val="00D94128"/>
    <w:rsid w:val="00D9474E"/>
    <w:rsid w:val="00D9516B"/>
    <w:rsid w:val="00DA486B"/>
    <w:rsid w:val="00DA6347"/>
    <w:rsid w:val="00DB05FB"/>
    <w:rsid w:val="00DB1466"/>
    <w:rsid w:val="00DB2002"/>
    <w:rsid w:val="00DB3837"/>
    <w:rsid w:val="00DB4522"/>
    <w:rsid w:val="00DB6B7A"/>
    <w:rsid w:val="00DB72EB"/>
    <w:rsid w:val="00DB7EDC"/>
    <w:rsid w:val="00DC0A0C"/>
    <w:rsid w:val="00DC796E"/>
    <w:rsid w:val="00DD0CF0"/>
    <w:rsid w:val="00DD6A80"/>
    <w:rsid w:val="00DD6CCB"/>
    <w:rsid w:val="00DE36D3"/>
    <w:rsid w:val="00DE50F1"/>
    <w:rsid w:val="00DE5C1E"/>
    <w:rsid w:val="00DE6983"/>
    <w:rsid w:val="00DE75B8"/>
    <w:rsid w:val="00DE777D"/>
    <w:rsid w:val="00DF404A"/>
    <w:rsid w:val="00DF4964"/>
    <w:rsid w:val="00E00350"/>
    <w:rsid w:val="00E026C1"/>
    <w:rsid w:val="00E03726"/>
    <w:rsid w:val="00E04772"/>
    <w:rsid w:val="00E04C2A"/>
    <w:rsid w:val="00E07673"/>
    <w:rsid w:val="00E0794D"/>
    <w:rsid w:val="00E1160D"/>
    <w:rsid w:val="00E1342C"/>
    <w:rsid w:val="00E1356A"/>
    <w:rsid w:val="00E1367A"/>
    <w:rsid w:val="00E14BE8"/>
    <w:rsid w:val="00E15496"/>
    <w:rsid w:val="00E15C4D"/>
    <w:rsid w:val="00E160C4"/>
    <w:rsid w:val="00E16E69"/>
    <w:rsid w:val="00E17EAD"/>
    <w:rsid w:val="00E20471"/>
    <w:rsid w:val="00E20F9D"/>
    <w:rsid w:val="00E21CEB"/>
    <w:rsid w:val="00E22129"/>
    <w:rsid w:val="00E23841"/>
    <w:rsid w:val="00E2529F"/>
    <w:rsid w:val="00E261D6"/>
    <w:rsid w:val="00E273CB"/>
    <w:rsid w:val="00E30075"/>
    <w:rsid w:val="00E30633"/>
    <w:rsid w:val="00E3167E"/>
    <w:rsid w:val="00E3240D"/>
    <w:rsid w:val="00E325E0"/>
    <w:rsid w:val="00E32AB7"/>
    <w:rsid w:val="00E3389D"/>
    <w:rsid w:val="00E34B3C"/>
    <w:rsid w:val="00E426B3"/>
    <w:rsid w:val="00E42CAD"/>
    <w:rsid w:val="00E44E7F"/>
    <w:rsid w:val="00E504FA"/>
    <w:rsid w:val="00E517FE"/>
    <w:rsid w:val="00E532B6"/>
    <w:rsid w:val="00E54CDE"/>
    <w:rsid w:val="00E56341"/>
    <w:rsid w:val="00E56EBE"/>
    <w:rsid w:val="00E57540"/>
    <w:rsid w:val="00E57CA4"/>
    <w:rsid w:val="00E6150A"/>
    <w:rsid w:val="00E66323"/>
    <w:rsid w:val="00E67383"/>
    <w:rsid w:val="00E6769E"/>
    <w:rsid w:val="00E70906"/>
    <w:rsid w:val="00E77CD9"/>
    <w:rsid w:val="00E806F6"/>
    <w:rsid w:val="00E84463"/>
    <w:rsid w:val="00E84E62"/>
    <w:rsid w:val="00E8563E"/>
    <w:rsid w:val="00E8580E"/>
    <w:rsid w:val="00E86206"/>
    <w:rsid w:val="00E86712"/>
    <w:rsid w:val="00E86860"/>
    <w:rsid w:val="00E87488"/>
    <w:rsid w:val="00E9133D"/>
    <w:rsid w:val="00E9603E"/>
    <w:rsid w:val="00E9631F"/>
    <w:rsid w:val="00E9737F"/>
    <w:rsid w:val="00E97CC2"/>
    <w:rsid w:val="00EA2FF6"/>
    <w:rsid w:val="00EA549D"/>
    <w:rsid w:val="00EA708B"/>
    <w:rsid w:val="00EB0A02"/>
    <w:rsid w:val="00EB1E18"/>
    <w:rsid w:val="00EB2EF1"/>
    <w:rsid w:val="00EB2F64"/>
    <w:rsid w:val="00EB30E9"/>
    <w:rsid w:val="00EB3537"/>
    <w:rsid w:val="00EB3CDC"/>
    <w:rsid w:val="00EB7B2D"/>
    <w:rsid w:val="00EC0356"/>
    <w:rsid w:val="00EC0C2E"/>
    <w:rsid w:val="00EC4265"/>
    <w:rsid w:val="00EC4F6F"/>
    <w:rsid w:val="00EC585C"/>
    <w:rsid w:val="00EC62D2"/>
    <w:rsid w:val="00EC73B7"/>
    <w:rsid w:val="00ED142F"/>
    <w:rsid w:val="00ED5512"/>
    <w:rsid w:val="00ED5AD9"/>
    <w:rsid w:val="00ED678F"/>
    <w:rsid w:val="00ED6BCD"/>
    <w:rsid w:val="00ED70BF"/>
    <w:rsid w:val="00ED75A4"/>
    <w:rsid w:val="00ED7BAD"/>
    <w:rsid w:val="00EE078C"/>
    <w:rsid w:val="00EE0D6C"/>
    <w:rsid w:val="00EE3494"/>
    <w:rsid w:val="00EE3F73"/>
    <w:rsid w:val="00EF2567"/>
    <w:rsid w:val="00EF29F4"/>
    <w:rsid w:val="00EF3E9E"/>
    <w:rsid w:val="00EF709C"/>
    <w:rsid w:val="00F00E43"/>
    <w:rsid w:val="00F02C82"/>
    <w:rsid w:val="00F02D71"/>
    <w:rsid w:val="00F03A0E"/>
    <w:rsid w:val="00F0681D"/>
    <w:rsid w:val="00F074C5"/>
    <w:rsid w:val="00F100B0"/>
    <w:rsid w:val="00F11670"/>
    <w:rsid w:val="00F12E02"/>
    <w:rsid w:val="00F130FD"/>
    <w:rsid w:val="00F141B9"/>
    <w:rsid w:val="00F15FFF"/>
    <w:rsid w:val="00F17A61"/>
    <w:rsid w:val="00F25373"/>
    <w:rsid w:val="00F27355"/>
    <w:rsid w:val="00F3201E"/>
    <w:rsid w:val="00F33949"/>
    <w:rsid w:val="00F36FBD"/>
    <w:rsid w:val="00F37752"/>
    <w:rsid w:val="00F40078"/>
    <w:rsid w:val="00F42BA8"/>
    <w:rsid w:val="00F42C95"/>
    <w:rsid w:val="00F43012"/>
    <w:rsid w:val="00F43C7A"/>
    <w:rsid w:val="00F43FDC"/>
    <w:rsid w:val="00F46B2E"/>
    <w:rsid w:val="00F47E05"/>
    <w:rsid w:val="00F51989"/>
    <w:rsid w:val="00F5278E"/>
    <w:rsid w:val="00F53AE1"/>
    <w:rsid w:val="00F53D05"/>
    <w:rsid w:val="00F55484"/>
    <w:rsid w:val="00F561E0"/>
    <w:rsid w:val="00F60AF6"/>
    <w:rsid w:val="00F634FC"/>
    <w:rsid w:val="00F63717"/>
    <w:rsid w:val="00F654FE"/>
    <w:rsid w:val="00F674A1"/>
    <w:rsid w:val="00F67612"/>
    <w:rsid w:val="00F703A1"/>
    <w:rsid w:val="00F721CC"/>
    <w:rsid w:val="00F74648"/>
    <w:rsid w:val="00F755C9"/>
    <w:rsid w:val="00F75624"/>
    <w:rsid w:val="00F77893"/>
    <w:rsid w:val="00F80052"/>
    <w:rsid w:val="00F81083"/>
    <w:rsid w:val="00F8157A"/>
    <w:rsid w:val="00F8206F"/>
    <w:rsid w:val="00F838B6"/>
    <w:rsid w:val="00F839B5"/>
    <w:rsid w:val="00F90BA1"/>
    <w:rsid w:val="00F914FB"/>
    <w:rsid w:val="00F93359"/>
    <w:rsid w:val="00F9338C"/>
    <w:rsid w:val="00F93615"/>
    <w:rsid w:val="00F94035"/>
    <w:rsid w:val="00F9509E"/>
    <w:rsid w:val="00FA128D"/>
    <w:rsid w:val="00FA2175"/>
    <w:rsid w:val="00FA3B9B"/>
    <w:rsid w:val="00FA49E8"/>
    <w:rsid w:val="00FA65EE"/>
    <w:rsid w:val="00FA736A"/>
    <w:rsid w:val="00FA77A8"/>
    <w:rsid w:val="00FB06E7"/>
    <w:rsid w:val="00FB073F"/>
    <w:rsid w:val="00FB0E2A"/>
    <w:rsid w:val="00FB1A5F"/>
    <w:rsid w:val="00FB40B0"/>
    <w:rsid w:val="00FB56CD"/>
    <w:rsid w:val="00FB64F3"/>
    <w:rsid w:val="00FB75A1"/>
    <w:rsid w:val="00FC15E9"/>
    <w:rsid w:val="00FC601F"/>
    <w:rsid w:val="00FC6DFA"/>
    <w:rsid w:val="00FC7E31"/>
    <w:rsid w:val="00FD0B1A"/>
    <w:rsid w:val="00FD0B31"/>
    <w:rsid w:val="00FD2549"/>
    <w:rsid w:val="00FD3360"/>
    <w:rsid w:val="00FD4185"/>
    <w:rsid w:val="00FD491A"/>
    <w:rsid w:val="00FE31A6"/>
    <w:rsid w:val="00FE3693"/>
    <w:rsid w:val="00FE4DEB"/>
    <w:rsid w:val="00FE61D0"/>
    <w:rsid w:val="00FF274F"/>
    <w:rsid w:val="00FF337C"/>
    <w:rsid w:val="00FF56B5"/>
    <w:rsid w:val="00FF598F"/>
    <w:rsid w:val="00FF5BF5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25702"/>
  <w15:docId w15:val="{00124A6D-47EF-43E1-8D3D-AEE7A41E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66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4iawc">
    <w:name w:val="q4iawc"/>
    <w:basedOn w:val="Standardnpsmoodstavce"/>
    <w:rsid w:val="00890A50"/>
  </w:style>
  <w:style w:type="paragraph" w:styleId="Odstavecseseznamem">
    <w:name w:val="List Paragraph"/>
    <w:basedOn w:val="Normln"/>
    <w:uiPriority w:val="34"/>
    <w:qFormat/>
    <w:rsid w:val="00F561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3E1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3E1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E1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A0D4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48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1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2F1"/>
  </w:style>
  <w:style w:type="paragraph" w:styleId="Zpat">
    <w:name w:val="footer"/>
    <w:basedOn w:val="Normln"/>
    <w:link w:val="Zpat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2F1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30F2"/>
    <w:rPr>
      <w:color w:val="605E5C"/>
      <w:shd w:val="clear" w:color="auto" w:fill="E1DFDD"/>
    </w:rPr>
  </w:style>
  <w:style w:type="paragraph" w:customStyle="1" w:styleId="Default">
    <w:name w:val="Default"/>
    <w:rsid w:val="00897557"/>
    <w:pPr>
      <w:autoSpaceDE w:val="0"/>
      <w:autoSpaceDN w:val="0"/>
      <w:adjustRightInd w:val="0"/>
      <w:spacing w:after="0" w:line="240" w:lineRule="auto"/>
    </w:pPr>
    <w:rPr>
      <w:rFonts w:ascii="Martel" w:hAnsi="Martel" w:cs="Marte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E7219"/>
    <w:pPr>
      <w:spacing w:line="141" w:lineRule="atLeast"/>
    </w:pPr>
    <w:rPr>
      <w:rFonts w:ascii="Open Sans" w:hAnsi="Open Sans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F63717"/>
    <w:pPr>
      <w:spacing w:line="141" w:lineRule="atLeast"/>
    </w:pPr>
    <w:rPr>
      <w:rFonts w:ascii="Open Sans" w:hAnsi="Open Sans" w:cs="Times New Roman"/>
      <w:color w:val="auto"/>
    </w:rPr>
  </w:style>
  <w:style w:type="character" w:customStyle="1" w:styleId="Nadpis1Char">
    <w:name w:val="Nadpis 1 Char"/>
    <w:basedOn w:val="Standardnpsmoodstavce"/>
    <w:link w:val="Nadpis1"/>
    <w:uiPriority w:val="9"/>
    <w:rsid w:val="00666C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a2">
    <w:name w:val="Pa2"/>
    <w:basedOn w:val="Default"/>
    <w:next w:val="Default"/>
    <w:uiPriority w:val="99"/>
    <w:rsid w:val="00ED6BCD"/>
    <w:pPr>
      <w:spacing w:line="440" w:lineRule="atLeast"/>
    </w:pPr>
    <w:rPr>
      <w:rFonts w:ascii="ITC Franklin Gothic Std Med" w:hAnsi="ITC Franklin Gothic Std Med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ED6BCD"/>
    <w:pPr>
      <w:spacing w:line="140" w:lineRule="atLeast"/>
    </w:pPr>
    <w:rPr>
      <w:rFonts w:ascii="ITC Franklin Gothic Std Book" w:hAnsi="ITC Franklin Gothic Std Book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50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53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8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4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38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4318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Jaroslav, Mgr.</dc:creator>
  <cp:keywords/>
  <dc:description/>
  <cp:lastModifiedBy>Duda Jaroslav, Mgr.</cp:lastModifiedBy>
  <cp:revision>3</cp:revision>
  <dcterms:created xsi:type="dcterms:W3CDTF">2023-03-15T18:45:00Z</dcterms:created>
  <dcterms:modified xsi:type="dcterms:W3CDTF">2023-03-15T18:49:00Z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f8b908688c2a7c77905944f65eaa046c551ba90de912777fa4938d252c0e1e6e</vt:lpwstr>
  </property>
</Properties>
</file>