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63FC" w:rsidRDefault="0059786F" w:rsidP="00C071AF">
      <w:pPr>
        <w:pStyle w:val="Default"/>
      </w:pPr>
      <w:r>
        <w:t xml:space="preserve">                                             </w:t>
      </w:r>
    </w:p>
    <w:p w:rsidR="00033807" w:rsidRDefault="004463FC" w:rsidP="00C071AF">
      <w:pPr>
        <w:pStyle w:val="Default"/>
      </w:pPr>
      <w:r>
        <w:t xml:space="preserve">                                         </w:t>
      </w:r>
      <w:r w:rsidR="0059786F">
        <w:t xml:space="preserve">     </w:t>
      </w:r>
      <w:r w:rsidR="009C56BF">
        <w:t xml:space="preserve">      </w:t>
      </w:r>
      <w:r w:rsidR="0059786F">
        <w:t xml:space="preserve"> </w:t>
      </w:r>
      <w:r w:rsidR="00C071AF">
        <w:t>Analýza nákladové efektivity pro léčivý přípravek</w:t>
      </w:r>
    </w:p>
    <w:p w:rsidR="00033807" w:rsidRDefault="009C56BF">
      <w:pPr>
        <w:spacing w:after="0"/>
        <w:rPr>
          <w:sz w:val="10"/>
          <w:szCs w:val="10"/>
        </w:rPr>
      </w:pPr>
      <w:r>
        <w:rPr>
          <w:sz w:val="10"/>
          <w:szCs w:val="10"/>
        </w:rPr>
        <w:t xml:space="preserve"> </w:t>
      </w:r>
    </w:p>
    <w:p w:rsidR="00033807" w:rsidRDefault="00033807">
      <w:pPr>
        <w:spacing w:after="0"/>
        <w:rPr>
          <w:sz w:val="10"/>
          <w:szCs w:val="10"/>
        </w:rPr>
      </w:pPr>
    </w:p>
    <w:p w:rsidR="004463FC" w:rsidRDefault="004463FC">
      <w:pPr>
        <w:spacing w:after="0"/>
        <w:rPr>
          <w:sz w:val="10"/>
          <w:szCs w:val="10"/>
        </w:rPr>
      </w:pPr>
    </w:p>
    <w:p w:rsidR="00033807" w:rsidRDefault="00C071AF">
      <w:pPr>
        <w:spacing w:after="0"/>
        <w:jc w:val="center"/>
        <w:rPr>
          <w:b/>
          <w:sz w:val="48"/>
          <w:szCs w:val="48"/>
        </w:rPr>
      </w:pPr>
      <w:r>
        <w:rPr>
          <w:b/>
          <w:sz w:val="48"/>
          <w:szCs w:val="48"/>
        </w:rPr>
        <w:t>KINPEYGO</w:t>
      </w:r>
    </w:p>
    <w:p w:rsidR="00033807" w:rsidRDefault="00C071AF">
      <w:pPr>
        <w:spacing w:after="0"/>
        <w:jc w:val="center"/>
        <w:rPr>
          <w:rFonts w:cstheme="minorHAnsi"/>
          <w:sz w:val="27"/>
          <w:szCs w:val="27"/>
        </w:rPr>
      </w:pPr>
      <w:r>
        <w:rPr>
          <w:b/>
          <w:sz w:val="27"/>
          <w:szCs w:val="27"/>
        </w:rPr>
        <w:t xml:space="preserve">k léčbě dospělých s primární imunoglobulin A nefropatií (IgAN) s exkrecí proteinu ≥ 1,0 g/den (nebo poměrem proteinu a kreatininu v moči ≥ 0,8 g/g) </w:t>
      </w:r>
      <w:r>
        <w:rPr>
          <w:rFonts w:cstheme="minorHAnsi"/>
          <w:b/>
          <w:sz w:val="27"/>
          <w:szCs w:val="27"/>
        </w:rPr>
        <w:t>- CAVE! viz níže důležitou pozn. 6!</w:t>
      </w:r>
    </w:p>
    <w:p w:rsidR="009C56BF" w:rsidRDefault="009C56BF">
      <w:pPr>
        <w:spacing w:after="0"/>
        <w:jc w:val="both"/>
        <w:rPr>
          <w:rFonts w:cstheme="minorHAnsi"/>
          <w:b/>
          <w:u w:val="single"/>
        </w:rPr>
      </w:pPr>
    </w:p>
    <w:p w:rsidR="00033807" w:rsidRDefault="00C071AF">
      <w:pPr>
        <w:spacing w:after="0"/>
        <w:jc w:val="both"/>
        <w:rPr>
          <w:rFonts w:cstheme="minorHAnsi"/>
          <w:b/>
        </w:rPr>
      </w:pPr>
      <w:r>
        <w:rPr>
          <w:rFonts w:cstheme="minorHAnsi"/>
          <w:b/>
          <w:u w:val="single"/>
        </w:rPr>
        <w:t>Celý název přípravku</w:t>
      </w:r>
      <w:r>
        <w:rPr>
          <w:rFonts w:cstheme="minorHAnsi"/>
        </w:rPr>
        <w:t>: KINPEYGO 4mg cps dur mrl 120, léková forma: tvrdé tobolky s řízeným uvolňováním (formulace přípravku Kinpeygo je navržena tak, aby se budesonid dostal topicky do ilea – viz podrobněji níže pozn. 13)</w:t>
      </w:r>
    </w:p>
    <w:p w:rsidR="00033807" w:rsidRDefault="00033807">
      <w:pPr>
        <w:spacing w:after="0"/>
        <w:jc w:val="both"/>
        <w:rPr>
          <w:rFonts w:cstheme="minorHAnsi"/>
          <w:sz w:val="16"/>
          <w:szCs w:val="16"/>
        </w:rPr>
      </w:pPr>
    </w:p>
    <w:p w:rsidR="00033807" w:rsidRDefault="00C071AF">
      <w:pPr>
        <w:pStyle w:val="Normlnweb"/>
        <w:spacing w:beforeAutospacing="0" w:after="0" w:afterAutospacing="0"/>
        <w:jc w:val="both"/>
        <w:rPr>
          <w:rFonts w:asciiTheme="minorHAnsi" w:hAnsiTheme="minorHAnsi" w:cstheme="minorHAnsi"/>
          <w:sz w:val="22"/>
          <w:szCs w:val="22"/>
        </w:rPr>
      </w:pPr>
      <w:r>
        <w:rPr>
          <w:rFonts w:asciiTheme="minorHAnsi" w:hAnsiTheme="minorHAnsi" w:cstheme="minorHAnsi"/>
          <w:b/>
          <w:sz w:val="22"/>
          <w:szCs w:val="22"/>
          <w:u w:val="single"/>
        </w:rPr>
        <w:t>Účinná látka</w:t>
      </w:r>
      <w:r>
        <w:rPr>
          <w:rFonts w:asciiTheme="minorHAnsi" w:hAnsiTheme="minorHAnsi" w:cstheme="minorHAnsi"/>
          <w:b/>
          <w:sz w:val="22"/>
          <w:szCs w:val="22"/>
          <w:u w:val="single"/>
          <w:vertAlign w:val="superscript"/>
        </w:rPr>
        <w:t>2</w:t>
      </w:r>
      <w:r>
        <w:rPr>
          <w:rFonts w:asciiTheme="minorHAnsi" w:hAnsiTheme="minorHAnsi" w:cstheme="minorHAnsi"/>
          <w:b/>
          <w:sz w:val="22"/>
          <w:szCs w:val="22"/>
          <w:u w:val="single"/>
        </w:rPr>
        <w:t>:</w:t>
      </w:r>
      <w:r>
        <w:rPr>
          <w:rFonts w:asciiTheme="minorHAnsi" w:hAnsiTheme="minorHAnsi" w:cstheme="minorHAnsi"/>
          <w:sz w:val="22"/>
          <w:szCs w:val="22"/>
        </w:rPr>
        <w:t xml:space="preserve">  </w:t>
      </w:r>
    </w:p>
    <w:p w:rsidR="00033807" w:rsidRPr="009C56BF" w:rsidRDefault="00C071AF">
      <w:pPr>
        <w:spacing w:after="0"/>
        <w:jc w:val="both"/>
        <w:rPr>
          <w:rFonts w:cstheme="minorHAnsi"/>
          <w:b/>
          <w:sz w:val="21"/>
          <w:szCs w:val="21"/>
        </w:rPr>
      </w:pPr>
      <w:r w:rsidRPr="009C56BF">
        <w:rPr>
          <w:rFonts w:eastAsia="TimesNewRomanPSMT" w:cs="TimesNewRomanPSMT"/>
          <w:sz w:val="21"/>
          <w:szCs w:val="21"/>
        </w:rPr>
        <w:t>Přípravek</w:t>
      </w:r>
      <w:r w:rsidRPr="009C56BF">
        <w:rPr>
          <w:rFonts w:eastAsia="TimesNewRomanPSMT" w:cs="TimesNewRomanPSMT"/>
          <w:b/>
          <w:sz w:val="21"/>
          <w:szCs w:val="21"/>
        </w:rPr>
        <w:t xml:space="preserve"> obsahuje budesonid (což </w:t>
      </w:r>
      <w:r w:rsidRPr="009C56BF">
        <w:rPr>
          <w:b/>
          <w:sz w:val="21"/>
          <w:szCs w:val="21"/>
        </w:rPr>
        <w:t xml:space="preserve">je syntetický glukokortikoid 2. </w:t>
      </w:r>
      <w:proofErr w:type="gramStart"/>
      <w:r w:rsidRPr="009C56BF">
        <w:rPr>
          <w:b/>
          <w:sz w:val="21"/>
          <w:szCs w:val="21"/>
        </w:rPr>
        <w:t>generace</w:t>
      </w:r>
      <w:r w:rsidRPr="009C56BF">
        <w:rPr>
          <w:rFonts w:eastAsia="TimesNewRomanPSMT" w:cs="TimesNewRomanPSMT"/>
          <w:b/>
          <w:sz w:val="21"/>
          <w:szCs w:val="21"/>
        </w:rPr>
        <w:t xml:space="preserve"> - viz</w:t>
      </w:r>
      <w:proofErr w:type="gramEnd"/>
      <w:r w:rsidRPr="009C56BF">
        <w:rPr>
          <w:rFonts w:eastAsia="TimesNewRomanPSMT" w:cs="TimesNewRomanPSMT"/>
          <w:b/>
          <w:sz w:val="21"/>
          <w:szCs w:val="21"/>
        </w:rPr>
        <w:t xml:space="preserve"> níže pozn. 26)</w:t>
      </w:r>
      <w:r w:rsidRPr="009C56BF">
        <w:rPr>
          <w:rFonts w:cstheme="minorHAnsi"/>
          <w:sz w:val="21"/>
          <w:szCs w:val="21"/>
        </w:rPr>
        <w:t>.</w:t>
      </w:r>
      <w:r w:rsidRPr="009C56BF">
        <w:rPr>
          <w:rFonts w:cstheme="minorHAnsi"/>
          <w:b/>
          <w:sz w:val="21"/>
          <w:szCs w:val="21"/>
        </w:rPr>
        <w:t xml:space="preserve"> LP KINPEYGO jsou perorální tvrdé tobolky s řízeným uvolňováním obsahující budesonid, které kombinují opožděný rozpad tobolky s prodlouženým uvolňováním léčivé látky budesonidu v ileu (viz podrobněji níže pozn. 13), místní farmakologický účinek se předpokládá cílením uvolňování budesonidu do ilea (viz Přílohu č. 1), kde se hustě vyskytují Peyerovy plaky (viz níže pozn. 18)</w:t>
      </w:r>
      <w:r w:rsidRPr="009C56BF">
        <w:rPr>
          <w:rFonts w:cstheme="minorHAnsi"/>
          <w:sz w:val="21"/>
          <w:szCs w:val="21"/>
        </w:rPr>
        <w:t>.</w:t>
      </w:r>
    </w:p>
    <w:p w:rsidR="00033807" w:rsidRDefault="00033807">
      <w:pPr>
        <w:spacing w:after="0" w:line="240" w:lineRule="auto"/>
        <w:jc w:val="both"/>
        <w:rPr>
          <w:rFonts w:cstheme="minorHAnsi"/>
        </w:rPr>
      </w:pPr>
    </w:p>
    <w:p w:rsidR="00033807" w:rsidRDefault="00C071AF">
      <w:pPr>
        <w:spacing w:after="0"/>
        <w:jc w:val="both"/>
        <w:rPr>
          <w:rFonts w:cstheme="minorHAnsi"/>
          <w:sz w:val="24"/>
        </w:rPr>
      </w:pPr>
      <w:r>
        <w:rPr>
          <w:rFonts w:cstheme="minorHAnsi"/>
          <w:b/>
          <w:u w:val="single"/>
        </w:rPr>
        <w:t>Držitel registrace</w:t>
      </w:r>
      <w:r>
        <w:rPr>
          <w:rFonts w:cstheme="minorHAnsi"/>
          <w:b/>
          <w:u w:val="single"/>
          <w:vertAlign w:val="superscript"/>
        </w:rPr>
        <w:t>2</w:t>
      </w:r>
      <w:r>
        <w:rPr>
          <w:rFonts w:cstheme="minorHAnsi"/>
          <w:b/>
        </w:rPr>
        <w:t>:</w:t>
      </w:r>
      <w:r>
        <w:rPr>
          <w:rFonts w:cstheme="minorHAnsi"/>
        </w:rPr>
        <w:t xml:space="preserve"> STADA </w:t>
      </w:r>
      <w:r>
        <w:rPr>
          <w:rFonts w:cstheme="minorHAnsi"/>
          <w:sz w:val="18"/>
          <w:szCs w:val="18"/>
        </w:rPr>
        <w:t>(v USA byl Nefecon (viz níže pozn. 13) komercializován výhradně společností Calliditas a j</w:t>
      </w:r>
      <w:r>
        <w:rPr>
          <w:sz w:val="18"/>
          <w:szCs w:val="18"/>
        </w:rPr>
        <w:t>e zde prodáván pod názvem TARPEYO</w:t>
      </w:r>
      <w:r>
        <w:rPr>
          <w:rFonts w:cstheme="minorHAnsi"/>
          <w:sz w:val="18"/>
          <w:szCs w:val="18"/>
        </w:rPr>
        <w:t>; v Evropě bylo uzavřeno obchodní partnerství mezi Calliditas a STADA Arzneimittel AG a LP má název KINPEYGO</w:t>
      </w:r>
      <w:r>
        <w:rPr>
          <w:rFonts w:cstheme="minorHAnsi"/>
          <w:sz w:val="18"/>
          <w:szCs w:val="18"/>
          <w:vertAlign w:val="superscript"/>
        </w:rPr>
        <w:t>25</w:t>
      </w:r>
      <w:r>
        <w:rPr>
          <w:rFonts w:cstheme="minorHAnsi"/>
          <w:sz w:val="18"/>
          <w:szCs w:val="18"/>
        </w:rPr>
        <w:t>)</w:t>
      </w:r>
    </w:p>
    <w:p w:rsidR="009C56BF" w:rsidRDefault="009C56BF">
      <w:pPr>
        <w:spacing w:after="0"/>
        <w:jc w:val="both"/>
        <w:rPr>
          <w:rFonts w:cstheme="minorHAnsi"/>
        </w:rPr>
      </w:pPr>
    </w:p>
    <w:p w:rsidR="00033807" w:rsidRDefault="00C071AF">
      <w:pPr>
        <w:spacing w:after="0"/>
        <w:jc w:val="both"/>
        <w:rPr>
          <w:rFonts w:cstheme="minorHAnsi"/>
          <w:b/>
          <w:u w:val="single"/>
        </w:rPr>
      </w:pPr>
      <w:r>
        <w:rPr>
          <w:rFonts w:cstheme="minorHAnsi"/>
          <w:b/>
          <w:u w:val="single"/>
        </w:rPr>
        <w:t xml:space="preserve">Indikace </w:t>
      </w:r>
      <w:r>
        <w:rPr>
          <w:rFonts w:cstheme="minorHAnsi"/>
          <w:b/>
          <w:color w:val="FF0000"/>
          <w:u w:val="single"/>
        </w:rPr>
        <w:t>(platná od 30. 7. 2024 - CAVE! viz níže pozn. 6!)</w:t>
      </w:r>
      <w:r>
        <w:rPr>
          <w:rFonts w:cstheme="minorHAnsi"/>
          <w:b/>
          <w:u w:val="single"/>
        </w:rPr>
        <w:t xml:space="preserve"> dle SPC</w:t>
      </w:r>
      <w:r>
        <w:rPr>
          <w:rFonts w:cstheme="minorHAnsi"/>
          <w:b/>
          <w:u w:val="single"/>
          <w:vertAlign w:val="superscript"/>
        </w:rPr>
        <w:t>1</w:t>
      </w:r>
      <w:r>
        <w:rPr>
          <w:rFonts w:cstheme="minorHAnsi"/>
          <w:b/>
          <w:u w:val="single"/>
        </w:rPr>
        <w:t>:</w:t>
      </w:r>
    </w:p>
    <w:p w:rsidR="00033807" w:rsidRDefault="00C071AF">
      <w:pPr>
        <w:spacing w:after="0"/>
        <w:jc w:val="both"/>
        <w:rPr>
          <w:rFonts w:cstheme="minorHAnsi"/>
        </w:rPr>
      </w:pPr>
      <w:r>
        <w:rPr>
          <w:rFonts w:cstheme="minorHAnsi"/>
        </w:rPr>
        <w:t>„</w:t>
      </w:r>
      <w:r>
        <w:rPr>
          <w:i/>
        </w:rPr>
        <w:t>k léčbě dospělých s primární imunoglobulin A nefropatií (IgAN</w:t>
      </w:r>
      <w:r>
        <w:t xml:space="preserve"> </w:t>
      </w:r>
      <w:r>
        <w:rPr>
          <w:rFonts w:cstheme="minorHAnsi"/>
          <w:i/>
        </w:rPr>
        <w:t xml:space="preserve">- </w:t>
      </w:r>
      <w:r>
        <w:rPr>
          <w:rFonts w:cstheme="minorHAnsi"/>
        </w:rPr>
        <w:t>pozn. autora této FE analýzy: viz podrobněji níže také pozn. 24</w:t>
      </w:r>
      <w:r>
        <w:t xml:space="preserve">) </w:t>
      </w:r>
      <w:r>
        <w:rPr>
          <w:i/>
        </w:rPr>
        <w:t xml:space="preserve">s exkrecí proteinu ≥ 1,0 g/den (nebo poměrem proteinu a kreatininu v moči ≥ 0,8 g/g - </w:t>
      </w:r>
      <w:r>
        <w:rPr>
          <w:rFonts w:cstheme="minorHAnsi"/>
        </w:rPr>
        <w:t>pozn. autora této FE analýzy: viz podrobněji níže pozn. 9, 10 a 54</w:t>
      </w:r>
      <w:r>
        <w:t>)“.</w:t>
      </w:r>
      <w:r>
        <w:rPr>
          <w:rFonts w:cstheme="minorHAnsi"/>
        </w:rPr>
        <w:t xml:space="preserve"> </w:t>
      </w:r>
    </w:p>
    <w:p w:rsidR="009C56BF" w:rsidRDefault="009C56BF">
      <w:pPr>
        <w:spacing w:after="0" w:line="240" w:lineRule="auto"/>
        <w:jc w:val="both"/>
        <w:rPr>
          <w:rFonts w:cstheme="minorHAnsi"/>
          <w:sz w:val="20"/>
          <w:szCs w:val="20"/>
        </w:rPr>
      </w:pPr>
    </w:p>
    <w:p w:rsidR="00033807" w:rsidRDefault="00C071AF">
      <w:pPr>
        <w:spacing w:after="0"/>
        <w:jc w:val="both"/>
        <w:rPr>
          <w:rFonts w:cstheme="minorHAnsi"/>
        </w:rPr>
      </w:pPr>
      <w:r>
        <w:rPr>
          <w:rFonts w:cstheme="minorHAnsi"/>
          <w:b/>
          <w:u w:val="single"/>
        </w:rPr>
        <w:t>Stav LP v ČR</w:t>
      </w:r>
      <w:r>
        <w:rPr>
          <w:rFonts w:cstheme="minorHAnsi"/>
          <w:b/>
          <w:u w:val="single"/>
          <w:vertAlign w:val="superscript"/>
        </w:rPr>
        <w:t xml:space="preserve"> </w:t>
      </w:r>
      <w:r>
        <w:rPr>
          <w:rFonts w:cstheme="minorHAnsi"/>
          <w:b/>
          <w:u w:val="single"/>
        </w:rPr>
        <w:t>k datu 1</w:t>
      </w:r>
      <w:r w:rsidR="00787517">
        <w:rPr>
          <w:rFonts w:cstheme="minorHAnsi"/>
          <w:b/>
          <w:u w:val="single"/>
        </w:rPr>
        <w:t>6</w:t>
      </w:r>
      <w:r>
        <w:rPr>
          <w:rFonts w:cstheme="minorHAnsi"/>
          <w:b/>
          <w:u w:val="single"/>
        </w:rPr>
        <w:t>. 8. 2024</w:t>
      </w:r>
      <w:r>
        <w:rPr>
          <w:rFonts w:cstheme="minorHAnsi"/>
          <w:b/>
        </w:rPr>
        <w:t>:</w:t>
      </w:r>
      <w:r>
        <w:rPr>
          <w:rFonts w:cstheme="minorHAnsi"/>
        </w:rPr>
        <w:t xml:space="preserve">  </w:t>
      </w:r>
    </w:p>
    <w:p w:rsidR="00033807" w:rsidRPr="009C56BF" w:rsidRDefault="00C071AF">
      <w:pPr>
        <w:spacing w:after="0"/>
        <w:jc w:val="both"/>
        <w:rPr>
          <w:rFonts w:cstheme="minorHAnsi"/>
          <w:sz w:val="21"/>
          <w:szCs w:val="21"/>
        </w:rPr>
      </w:pPr>
      <w:r w:rsidRPr="009C56BF">
        <w:rPr>
          <w:rFonts w:cstheme="minorHAnsi"/>
          <w:b/>
          <w:sz w:val="21"/>
          <w:szCs w:val="21"/>
        </w:rPr>
        <w:t>LP KINPEYGO byl registrován</w:t>
      </w:r>
      <w:r w:rsidRPr="009C56BF">
        <w:rPr>
          <w:rFonts w:cstheme="minorHAnsi"/>
          <w:b/>
          <w:sz w:val="21"/>
          <w:szCs w:val="21"/>
          <w:vertAlign w:val="superscript"/>
        </w:rPr>
        <w:t xml:space="preserve">1 </w:t>
      </w:r>
      <w:r w:rsidRPr="009C56BF">
        <w:rPr>
          <w:rFonts w:cstheme="minorHAnsi"/>
          <w:sz w:val="21"/>
          <w:szCs w:val="21"/>
        </w:rPr>
        <w:t xml:space="preserve">(centralizovaným postupem EMA pro EU) </w:t>
      </w:r>
      <w:r w:rsidRPr="009C56BF">
        <w:rPr>
          <w:rFonts w:cstheme="minorHAnsi"/>
          <w:b/>
          <w:sz w:val="21"/>
          <w:szCs w:val="21"/>
        </w:rPr>
        <w:t>dne 15. 7. 2022</w:t>
      </w:r>
      <w:r w:rsidRPr="009C56BF">
        <w:rPr>
          <w:rFonts w:cstheme="minorHAnsi"/>
          <w:sz w:val="21"/>
          <w:szCs w:val="21"/>
        </w:rPr>
        <w:t xml:space="preserve"> jako lék pro vzácná onemocnění (tzv. „orphan“ – viz níže podrobněji pozn. 11) a získal původně podmíněnou registraci, </w:t>
      </w:r>
      <w:r w:rsidRPr="009C56BF">
        <w:rPr>
          <w:b/>
          <w:sz w:val="21"/>
          <w:szCs w:val="21"/>
          <w:u w:val="single"/>
        </w:rPr>
        <w:t xml:space="preserve">od 30. 7. 2024 má ale LP již standardní (řádnou, resp. trvalou) registraci, v </w:t>
      </w:r>
      <w:proofErr w:type="gramStart"/>
      <w:r w:rsidRPr="009C56BF">
        <w:rPr>
          <w:b/>
          <w:sz w:val="21"/>
          <w:szCs w:val="21"/>
          <w:u w:val="single"/>
        </w:rPr>
        <w:t>rámci</w:t>
      </w:r>
      <w:proofErr w:type="gramEnd"/>
      <w:r w:rsidRPr="009C56BF">
        <w:rPr>
          <w:b/>
          <w:sz w:val="21"/>
          <w:szCs w:val="21"/>
          <w:u w:val="single"/>
        </w:rPr>
        <w:t xml:space="preserve"> které došlo i k rozšíření terapeutické indikace přípravku </w:t>
      </w:r>
      <w:r w:rsidRPr="009C56BF">
        <w:rPr>
          <w:b/>
          <w:sz w:val="21"/>
          <w:szCs w:val="21"/>
        </w:rPr>
        <w:t>KINPEYGO</w:t>
      </w:r>
      <w:r w:rsidRPr="009C56BF">
        <w:rPr>
          <w:rFonts w:cstheme="minorHAnsi"/>
          <w:sz w:val="21"/>
          <w:szCs w:val="21"/>
        </w:rPr>
        <w:t xml:space="preserve"> - </w:t>
      </w:r>
      <w:r w:rsidRPr="009C56BF">
        <w:rPr>
          <w:rFonts w:cstheme="minorHAnsi"/>
          <w:b/>
          <w:sz w:val="21"/>
          <w:szCs w:val="21"/>
        </w:rPr>
        <w:t xml:space="preserve">CAVE! viz podrobněji níže pozn. 6!  LP KINPEYGO je tzv. „hybridní lék“, </w:t>
      </w:r>
      <w:r w:rsidRPr="009C56BF">
        <w:rPr>
          <w:rFonts w:cstheme="minorHAnsi"/>
          <w:sz w:val="21"/>
          <w:szCs w:val="21"/>
        </w:rPr>
        <w:t xml:space="preserve">tj. podobá se „referenčnímu léčivému přípravku“ obsahujícímu stejnou účinnou látku (tj. budesonid), ale používá se na jiné onemocnění a podává se jiným </w:t>
      </w:r>
      <w:proofErr w:type="gramStart"/>
      <w:r w:rsidRPr="009C56BF">
        <w:rPr>
          <w:rFonts w:cstheme="minorHAnsi"/>
          <w:sz w:val="21"/>
          <w:szCs w:val="21"/>
        </w:rPr>
        <w:t>způsobem</w:t>
      </w:r>
      <w:r w:rsidRPr="009C56BF">
        <w:rPr>
          <w:rFonts w:cstheme="minorHAnsi"/>
          <w:sz w:val="21"/>
          <w:szCs w:val="21"/>
          <w:vertAlign w:val="superscript"/>
        </w:rPr>
        <w:t>1</w:t>
      </w:r>
      <w:r w:rsidRPr="009C56BF">
        <w:rPr>
          <w:rFonts w:cstheme="minorHAnsi"/>
          <w:sz w:val="21"/>
          <w:szCs w:val="21"/>
        </w:rPr>
        <w:t xml:space="preserve"> - </w:t>
      </w:r>
      <w:r w:rsidRPr="009C56BF">
        <w:rPr>
          <w:rFonts w:cstheme="minorHAnsi"/>
          <w:b/>
          <w:sz w:val="21"/>
          <w:szCs w:val="21"/>
        </w:rPr>
        <w:t>viz</w:t>
      </w:r>
      <w:proofErr w:type="gramEnd"/>
      <w:r w:rsidRPr="009C56BF">
        <w:rPr>
          <w:rFonts w:cstheme="minorHAnsi"/>
          <w:b/>
          <w:sz w:val="21"/>
          <w:szCs w:val="21"/>
        </w:rPr>
        <w:t xml:space="preserve"> podrobněji Přílohu č. 1</w:t>
      </w:r>
      <w:r w:rsidRPr="009C56BF">
        <w:rPr>
          <w:rFonts w:cstheme="minorHAnsi"/>
          <w:sz w:val="21"/>
          <w:szCs w:val="21"/>
        </w:rPr>
        <w:t>. Referenčním lékem pro LP Kinpeygo je Entocort</w:t>
      </w:r>
      <w:r w:rsidRPr="009C56BF">
        <w:rPr>
          <w:rFonts w:cstheme="minorHAnsi"/>
          <w:sz w:val="21"/>
          <w:szCs w:val="21"/>
          <w:vertAlign w:val="superscript"/>
        </w:rPr>
        <w:t>1</w:t>
      </w:r>
      <w:r w:rsidRPr="009C56BF">
        <w:rPr>
          <w:rFonts w:cstheme="minorHAnsi"/>
          <w:sz w:val="21"/>
          <w:szCs w:val="21"/>
        </w:rPr>
        <w:t>.</w:t>
      </w:r>
    </w:p>
    <w:p w:rsidR="0062340D" w:rsidRPr="009C56BF" w:rsidRDefault="00BA33D6" w:rsidP="0062340D">
      <w:pPr>
        <w:spacing w:after="0"/>
        <w:jc w:val="both"/>
        <w:rPr>
          <w:rFonts w:cstheme="minorHAnsi"/>
          <w:sz w:val="21"/>
          <w:szCs w:val="21"/>
        </w:rPr>
      </w:pPr>
      <w:r w:rsidRPr="009C56BF">
        <w:rPr>
          <w:rFonts w:cstheme="minorHAnsi"/>
          <w:b/>
          <w:sz w:val="21"/>
          <w:szCs w:val="21"/>
          <w:highlight w:val="cyan"/>
          <w:u w:val="single"/>
        </w:rPr>
        <w:t>K datu 16. 8. 2024 nemá LP KINPEYGO úhradu ze zdravotního pojištění</w:t>
      </w:r>
      <w:r w:rsidRPr="009C56BF">
        <w:rPr>
          <w:rFonts w:cstheme="minorHAnsi"/>
          <w:sz w:val="21"/>
          <w:szCs w:val="21"/>
        </w:rPr>
        <w:t xml:space="preserve">. </w:t>
      </w:r>
      <w:r w:rsidRPr="009C56BF">
        <w:rPr>
          <w:rFonts w:cstheme="minorHAnsi"/>
          <w:sz w:val="21"/>
          <w:szCs w:val="21"/>
          <w:u w:val="single"/>
        </w:rPr>
        <w:t>Dne 28. 7. 2023 bylo SUKLem zahájeno správní řízení o stanovení maximální ceny a výše a podmínek úhrady léčivého přípravku KINPEYGO určeného k léčbě vzácných onemocnění (dále jen „LPVO“)</w:t>
      </w:r>
      <w:r w:rsidRPr="009C56BF">
        <w:rPr>
          <w:rFonts w:cstheme="minorHAnsi"/>
          <w:sz w:val="21"/>
          <w:szCs w:val="21"/>
        </w:rPr>
        <w:t xml:space="preserve"> pod sp. zn. SUKLS181711/2023</w:t>
      </w:r>
      <w:r w:rsidRPr="009C56BF">
        <w:rPr>
          <w:rFonts w:cstheme="minorHAnsi"/>
          <w:sz w:val="21"/>
          <w:szCs w:val="21"/>
          <w:vertAlign w:val="superscript"/>
        </w:rPr>
        <w:t>5</w:t>
      </w:r>
      <w:r w:rsidRPr="009C56BF">
        <w:rPr>
          <w:rFonts w:cstheme="minorHAnsi"/>
          <w:sz w:val="21"/>
          <w:szCs w:val="21"/>
        </w:rPr>
        <w:t>. Dne 15. 3. 2024 obdržel SUKL podání účastníka VZP, který potvrdil, že se žadatelem uzavřel smluvní ujednání snižující náklady na léčbu LP KINPEYGO.</w:t>
      </w:r>
      <w:r w:rsidR="00360472" w:rsidRPr="009C56BF">
        <w:rPr>
          <w:rFonts w:cstheme="minorHAnsi"/>
          <w:sz w:val="21"/>
          <w:szCs w:val="21"/>
        </w:rPr>
        <w:t xml:space="preserve"> Dne 9. 4. 2024 SUKL předal Ministerstvu zdravotnictví ČR</w:t>
      </w:r>
      <w:r w:rsidR="0049211F" w:rsidRPr="009C56BF">
        <w:rPr>
          <w:rFonts w:cstheme="minorHAnsi"/>
          <w:sz w:val="21"/>
          <w:szCs w:val="21"/>
        </w:rPr>
        <w:t xml:space="preserve"> (dále jen „MZ“)</w:t>
      </w:r>
      <w:r w:rsidR="00360472" w:rsidRPr="009C56BF">
        <w:rPr>
          <w:rFonts w:cstheme="minorHAnsi"/>
          <w:sz w:val="21"/>
          <w:szCs w:val="21"/>
        </w:rPr>
        <w:t xml:space="preserve"> upravenou hodnotící zprávu</w:t>
      </w:r>
      <w:r w:rsidR="00360472" w:rsidRPr="009C56BF">
        <w:rPr>
          <w:rFonts w:cstheme="minorHAnsi"/>
          <w:sz w:val="21"/>
          <w:szCs w:val="21"/>
          <w:vertAlign w:val="superscript"/>
        </w:rPr>
        <w:t>28</w:t>
      </w:r>
      <w:r w:rsidR="00360472" w:rsidRPr="009C56BF">
        <w:rPr>
          <w:rFonts w:cstheme="minorHAnsi"/>
          <w:sz w:val="21"/>
          <w:szCs w:val="21"/>
        </w:rPr>
        <w:t xml:space="preserve"> a další podklady k vydání závazného stanoviska postupem dle ustanovení § 39da odst. 5 zákona o veřejném zdravotním pojištění (nutné u LPVO!).</w:t>
      </w:r>
      <w:r w:rsidR="0049211F" w:rsidRPr="009C56BF">
        <w:rPr>
          <w:rFonts w:cstheme="minorHAnsi"/>
          <w:sz w:val="21"/>
          <w:szCs w:val="21"/>
        </w:rPr>
        <w:t xml:space="preserve"> Dne 20. 6. 2024 vydalo MZ závazné stanovisko</w:t>
      </w:r>
      <w:r w:rsidR="0049211F" w:rsidRPr="009C56BF">
        <w:rPr>
          <w:rFonts w:cstheme="minorHAnsi"/>
          <w:sz w:val="21"/>
          <w:szCs w:val="21"/>
          <w:vertAlign w:val="superscript"/>
        </w:rPr>
        <w:t>138</w:t>
      </w:r>
      <w:r w:rsidR="0049211F" w:rsidRPr="009C56BF">
        <w:rPr>
          <w:rFonts w:cstheme="minorHAnsi"/>
          <w:sz w:val="21"/>
          <w:szCs w:val="21"/>
        </w:rPr>
        <w:t>, kterým vyslovilo nesouhlas se stanovením úhrady předmětnému léčivému přípravku z prostředků zdravotního pojištění.</w:t>
      </w:r>
      <w:r w:rsidR="00F06816" w:rsidRPr="009C56BF">
        <w:rPr>
          <w:rFonts w:cstheme="minorHAnsi"/>
          <w:sz w:val="21"/>
          <w:szCs w:val="21"/>
        </w:rPr>
        <w:t xml:space="preserve"> Dne 10. 7. 2024 obdržel SUKL podání účastníka STADA, který uvádí, že nesouhlasí se závazným stanoviskem a považuje jej za nezákonné. Žadatel namítá, že odchýlení se od závěru poradního orgánu je možné pouze v případě neakceptovatelného dopadu do rozpočtu. Neakceptovatelný dopad do rozpočtu přitom nebyl v závazném stanovisku tvrzen ani prokázán. MZ v závazném stanovisku jako důvod odchýlení se od závěru poradního orgánu uvádí několik (dle názoru žadatele nesprávných a nezákonných) argumentů. Ani jeden z nich se však netýká neakceptovatelnosti dopadu do rozpočtu. </w:t>
      </w:r>
      <w:r w:rsidR="00F06816" w:rsidRPr="009C56BF">
        <w:rPr>
          <w:rFonts w:cstheme="minorHAnsi"/>
          <w:sz w:val="21"/>
          <w:szCs w:val="21"/>
          <w:highlight w:val="cyan"/>
          <w:u w:val="single"/>
        </w:rPr>
        <w:t xml:space="preserve">Dne 17. 7. 2024 </w:t>
      </w:r>
      <w:r w:rsidR="00315590" w:rsidRPr="009C56BF">
        <w:rPr>
          <w:rFonts w:cstheme="minorHAnsi"/>
          <w:sz w:val="21"/>
          <w:szCs w:val="21"/>
          <w:highlight w:val="cyan"/>
          <w:u w:val="single"/>
        </w:rPr>
        <w:t>SUKL</w:t>
      </w:r>
      <w:r w:rsidR="00F06816" w:rsidRPr="009C56BF">
        <w:rPr>
          <w:rFonts w:cstheme="minorHAnsi"/>
          <w:sz w:val="21"/>
          <w:szCs w:val="21"/>
          <w:highlight w:val="cyan"/>
          <w:u w:val="single"/>
        </w:rPr>
        <w:t xml:space="preserve"> obdržel podání žadatele</w:t>
      </w:r>
      <w:r w:rsidR="00315590" w:rsidRPr="009C56BF">
        <w:rPr>
          <w:rFonts w:cstheme="minorHAnsi"/>
          <w:sz w:val="21"/>
          <w:szCs w:val="21"/>
          <w:highlight w:val="cyan"/>
          <w:u w:val="single"/>
        </w:rPr>
        <w:t xml:space="preserve"> (tj. STADA)</w:t>
      </w:r>
      <w:r w:rsidR="00F06816" w:rsidRPr="009C56BF">
        <w:rPr>
          <w:rFonts w:cstheme="minorHAnsi"/>
          <w:sz w:val="21"/>
          <w:szCs w:val="21"/>
          <w:highlight w:val="cyan"/>
          <w:u w:val="single"/>
        </w:rPr>
        <w:t xml:space="preserve"> obsahující podnět na přezkum</w:t>
      </w:r>
      <w:r w:rsidR="00105521" w:rsidRPr="009C56BF">
        <w:rPr>
          <w:rFonts w:cstheme="minorHAnsi"/>
          <w:sz w:val="21"/>
          <w:szCs w:val="21"/>
          <w:highlight w:val="cyan"/>
          <w:u w:val="single"/>
          <w:vertAlign w:val="superscript"/>
        </w:rPr>
        <w:t>139</w:t>
      </w:r>
      <w:r w:rsidR="00F06816" w:rsidRPr="009C56BF">
        <w:rPr>
          <w:rFonts w:cstheme="minorHAnsi"/>
          <w:sz w:val="21"/>
          <w:szCs w:val="21"/>
          <w:highlight w:val="cyan"/>
          <w:u w:val="single"/>
        </w:rPr>
        <w:t xml:space="preserve"> závazného stanoviska MZ</w:t>
      </w:r>
      <w:r w:rsidR="00105521" w:rsidRPr="009C56BF">
        <w:rPr>
          <w:rFonts w:cstheme="minorHAnsi"/>
          <w:sz w:val="21"/>
          <w:szCs w:val="21"/>
          <w:highlight w:val="cyan"/>
          <w:u w:val="single"/>
        </w:rPr>
        <w:t xml:space="preserve"> (</w:t>
      </w:r>
      <w:r w:rsidR="009E2C9D" w:rsidRPr="009C56BF">
        <w:rPr>
          <w:rFonts w:cstheme="minorHAnsi"/>
          <w:sz w:val="21"/>
          <w:szCs w:val="21"/>
          <w:highlight w:val="cyan"/>
          <w:u w:val="single"/>
        </w:rPr>
        <w:t>v něm žadatel žádá o nápravu uvedených vad závazného stanoviska a vydání souhlasného stanoviska podle § 39da odst. 6 písm. a) dle závěrů Upravené hodnotící zprávy SUKLu, v případě, že nebudou vytýkané vady závazného stanoviska napraveny prostřednictvím přezkumného řízení, STADA uvádí, že řízení by muselo skončit negativním rozhodnutím SUKLu, proti kterému by se musel žadatel odvolat a pokusit se docílit nápravy vadného postupu a stanovení úhrady touto cestou - v obou případech (tj. odvolání i podání nové žádosti) dojde, dle STADy, ke zpoždění přístupu pacientů k léčbě o několik, resp. 6 (viz § 39da odst. 9) a více měsíců)</w:t>
      </w:r>
      <w:r w:rsidR="00105521" w:rsidRPr="009C56BF">
        <w:rPr>
          <w:rFonts w:cstheme="minorHAnsi"/>
          <w:sz w:val="21"/>
          <w:szCs w:val="21"/>
          <w:highlight w:val="cyan"/>
          <w:u w:val="single"/>
        </w:rPr>
        <w:t xml:space="preserve"> - </w:t>
      </w:r>
      <w:r w:rsidR="00315590" w:rsidRPr="009C56BF">
        <w:rPr>
          <w:rFonts w:cstheme="minorHAnsi"/>
          <w:sz w:val="21"/>
          <w:szCs w:val="21"/>
          <w:highlight w:val="cyan"/>
          <w:u w:val="single"/>
        </w:rPr>
        <w:t>p</w:t>
      </w:r>
      <w:r w:rsidR="00F06816" w:rsidRPr="009C56BF">
        <w:rPr>
          <w:rFonts w:cstheme="minorHAnsi"/>
          <w:sz w:val="21"/>
          <w:szCs w:val="21"/>
          <w:highlight w:val="cyan"/>
          <w:u w:val="single"/>
        </w:rPr>
        <w:t>odnět byl adresován rovněž MZ</w:t>
      </w:r>
      <w:r w:rsidR="00F06816" w:rsidRPr="009C56BF">
        <w:rPr>
          <w:rFonts w:cstheme="minorHAnsi"/>
          <w:sz w:val="21"/>
          <w:szCs w:val="21"/>
          <w:highlight w:val="cyan"/>
        </w:rPr>
        <w:t>.</w:t>
      </w:r>
      <w:r w:rsidR="00F06816" w:rsidRPr="009C56BF">
        <w:rPr>
          <w:rFonts w:cstheme="minorHAnsi"/>
          <w:sz w:val="21"/>
          <w:szCs w:val="21"/>
        </w:rPr>
        <w:t xml:space="preserve"> Dne 25. 7. 2024 obdržel </w:t>
      </w:r>
      <w:r w:rsidR="00315590" w:rsidRPr="009C56BF">
        <w:rPr>
          <w:rFonts w:cstheme="minorHAnsi"/>
          <w:sz w:val="21"/>
          <w:szCs w:val="21"/>
        </w:rPr>
        <w:t>SUKL</w:t>
      </w:r>
      <w:r w:rsidR="00F06816" w:rsidRPr="009C56BF">
        <w:rPr>
          <w:rFonts w:cstheme="minorHAnsi"/>
          <w:sz w:val="21"/>
          <w:szCs w:val="21"/>
        </w:rPr>
        <w:t xml:space="preserve"> podání účastníka STADA, který žádá o vydání meritorního rozhodnu</w:t>
      </w:r>
      <w:r w:rsidR="00315590" w:rsidRPr="009C56BF">
        <w:rPr>
          <w:rFonts w:cstheme="minorHAnsi"/>
          <w:sz w:val="21"/>
          <w:szCs w:val="21"/>
        </w:rPr>
        <w:t xml:space="preserve">tí v předmětném správním řízení – </w:t>
      </w:r>
      <w:r w:rsidR="00315590" w:rsidRPr="009C56BF">
        <w:rPr>
          <w:rFonts w:cstheme="minorHAnsi"/>
          <w:b/>
          <w:sz w:val="21"/>
          <w:szCs w:val="21"/>
        </w:rPr>
        <w:t xml:space="preserve">dne 8. 8. 2024 bylo tedy vydáno </w:t>
      </w:r>
      <w:r w:rsidR="00315590" w:rsidRPr="009C56BF">
        <w:rPr>
          <w:b/>
          <w:color w:val="000000"/>
          <w:sz w:val="21"/>
          <w:szCs w:val="21"/>
        </w:rPr>
        <w:t>Rozhodnutí SUKLu o nepřiznání úhrady LP KINPEYGO ze zdravotního pojištění</w:t>
      </w:r>
      <w:r w:rsidR="00315590" w:rsidRPr="009C56BF">
        <w:rPr>
          <w:color w:val="000000"/>
          <w:sz w:val="21"/>
          <w:szCs w:val="21"/>
          <w:vertAlign w:val="superscript"/>
        </w:rPr>
        <w:t>137</w:t>
      </w:r>
      <w:r w:rsidR="00315590" w:rsidRPr="009C56BF">
        <w:rPr>
          <w:color w:val="000000"/>
          <w:sz w:val="21"/>
          <w:szCs w:val="21"/>
        </w:rPr>
        <w:t>.</w:t>
      </w:r>
      <w:r w:rsidR="0062340D" w:rsidRPr="009C56BF">
        <w:rPr>
          <w:color w:val="000000"/>
          <w:sz w:val="21"/>
          <w:szCs w:val="21"/>
        </w:rPr>
        <w:t xml:space="preserve"> </w:t>
      </w:r>
      <w:r w:rsidR="0062340D" w:rsidRPr="009C56BF">
        <w:rPr>
          <w:b/>
          <w:sz w:val="21"/>
          <w:szCs w:val="21"/>
          <w:highlight w:val="cyan"/>
          <w:u w:val="single"/>
        </w:rPr>
        <w:t>Tzn. aktuálně by byla u LP požadována mimořádná úhrada ze zdravotního pojištění dle ustanovení § 16 zákona č. 48/1997 Sb. o veřejném zdravotním pojištění</w:t>
      </w:r>
      <w:r w:rsidR="0062340D" w:rsidRPr="009C56BF">
        <w:rPr>
          <w:b/>
          <w:sz w:val="21"/>
          <w:szCs w:val="21"/>
          <w:highlight w:val="cyan"/>
        </w:rPr>
        <w:t>.</w:t>
      </w:r>
      <w:r w:rsidR="00466C1A" w:rsidRPr="009C56BF">
        <w:rPr>
          <w:b/>
          <w:sz w:val="21"/>
          <w:szCs w:val="21"/>
          <w:highlight w:val="cyan"/>
        </w:rPr>
        <w:t xml:space="preserve"> Lze také velmi pravděpodobně očekávat (i k vzhledem k nově </w:t>
      </w:r>
      <w:r w:rsidR="00466C1A" w:rsidRPr="009C56BF">
        <w:rPr>
          <w:b/>
          <w:sz w:val="21"/>
          <w:szCs w:val="21"/>
          <w:highlight w:val="cyan"/>
        </w:rPr>
        <w:lastRenderedPageBreak/>
        <w:t>schváleným indikačním podmínkám platným od 30. 7. 2024 – viz výše odstavec „</w:t>
      </w:r>
      <w:r w:rsidR="00466C1A" w:rsidRPr="009C56BF">
        <w:rPr>
          <w:b/>
          <w:i/>
          <w:sz w:val="21"/>
          <w:szCs w:val="21"/>
          <w:highlight w:val="cyan"/>
        </w:rPr>
        <w:t>Indikace dle SPC</w:t>
      </w:r>
      <w:r w:rsidR="00466C1A" w:rsidRPr="009C56BF">
        <w:rPr>
          <w:b/>
          <w:sz w:val="21"/>
          <w:szCs w:val="21"/>
          <w:highlight w:val="cyan"/>
        </w:rPr>
        <w:t>“), že STADA podá novou žádost o úhradě s rozšířeným spektrem pacientů v podmínkách úhrady!</w:t>
      </w:r>
    </w:p>
    <w:p w:rsidR="00033807" w:rsidRPr="009C56BF" w:rsidRDefault="0062340D">
      <w:pPr>
        <w:spacing w:after="0"/>
        <w:jc w:val="both"/>
        <w:rPr>
          <w:rFonts w:cstheme="minorHAnsi"/>
          <w:sz w:val="21"/>
          <w:szCs w:val="21"/>
        </w:rPr>
      </w:pPr>
      <w:r w:rsidRPr="009C56BF">
        <w:rPr>
          <w:rFonts w:cstheme="minorHAnsi"/>
          <w:sz w:val="21"/>
          <w:szCs w:val="21"/>
          <w:u w:val="single"/>
        </w:rPr>
        <w:t>Jen pro informaci. SUKL v upravené hodnotící zprávě ze dne 9. 4. 2024</w:t>
      </w:r>
      <w:r w:rsidRPr="009C56BF">
        <w:rPr>
          <w:rFonts w:cstheme="minorHAnsi"/>
          <w:sz w:val="21"/>
          <w:szCs w:val="21"/>
          <w:u w:val="single"/>
          <w:vertAlign w:val="superscript"/>
        </w:rPr>
        <w:t>28</w:t>
      </w:r>
      <w:r w:rsidRPr="009C56BF">
        <w:rPr>
          <w:rFonts w:cstheme="minorHAnsi"/>
          <w:sz w:val="21"/>
          <w:szCs w:val="21"/>
          <w:u w:val="single"/>
        </w:rPr>
        <w:t xml:space="preserve"> navrhoval následující podmínky úhrady</w:t>
      </w:r>
      <w:r w:rsidR="006B35C2" w:rsidRPr="009C56BF">
        <w:rPr>
          <w:rFonts w:cstheme="minorHAnsi"/>
          <w:sz w:val="21"/>
          <w:szCs w:val="21"/>
        </w:rPr>
        <w:t xml:space="preserve"> (</w:t>
      </w:r>
      <w:r w:rsidR="006B35C2" w:rsidRPr="009C56BF">
        <w:rPr>
          <w:rFonts w:cstheme="minorHAnsi"/>
          <w:b/>
          <w:sz w:val="21"/>
          <w:szCs w:val="21"/>
        </w:rPr>
        <w:t>CAVE! k tomu viz aktuálně již odlišné indikační podmínky uvedené výše v odstavci „</w:t>
      </w:r>
      <w:r w:rsidR="006B35C2" w:rsidRPr="009C56BF">
        <w:rPr>
          <w:rFonts w:cstheme="minorHAnsi"/>
          <w:b/>
          <w:i/>
          <w:sz w:val="21"/>
          <w:szCs w:val="21"/>
        </w:rPr>
        <w:t>Indikace dle SPC</w:t>
      </w:r>
      <w:r w:rsidR="006B35C2" w:rsidRPr="009C56BF">
        <w:rPr>
          <w:rFonts w:cstheme="minorHAnsi"/>
          <w:b/>
          <w:sz w:val="21"/>
          <w:szCs w:val="21"/>
        </w:rPr>
        <w:t>“!</w:t>
      </w:r>
      <w:r w:rsidR="006B35C2" w:rsidRPr="009C56BF">
        <w:rPr>
          <w:rFonts w:cstheme="minorHAnsi"/>
          <w:sz w:val="21"/>
          <w:szCs w:val="21"/>
        </w:rPr>
        <w:t>)</w:t>
      </w:r>
      <w:r w:rsidRPr="009C56BF">
        <w:rPr>
          <w:rFonts w:cstheme="minorHAnsi"/>
          <w:sz w:val="21"/>
          <w:szCs w:val="21"/>
        </w:rPr>
        <w:t>: „</w:t>
      </w:r>
      <w:r w:rsidRPr="009C56BF">
        <w:rPr>
          <w:rFonts w:cstheme="minorHAnsi"/>
          <w:i/>
          <w:sz w:val="21"/>
          <w:szCs w:val="21"/>
        </w:rPr>
        <w:t>S, P: Budesonid s řízeným uvolňováním je hrazen v léčbě dospělých pacientů s biopticky potvrzenou primární IgA (imunoglobulin A) nefropatií s rizikem rychlé progrese onemocnění, s poměrem proteinu a kreatininu v moči (UPCR) ≥ 169,5 mg/mmol (tj. 1,5 g/g) a s poměrem odhadované glomerulární filtrace (eGFR) v rozmezí 0,58-1,50 ml/s/1,73 m</w:t>
      </w:r>
      <w:r w:rsidRPr="009C56BF">
        <w:rPr>
          <w:rFonts w:cstheme="minorHAnsi"/>
          <w:i/>
          <w:sz w:val="21"/>
          <w:szCs w:val="21"/>
          <w:vertAlign w:val="superscript"/>
        </w:rPr>
        <w:t>2</w:t>
      </w:r>
      <w:r w:rsidRPr="009C56BF">
        <w:rPr>
          <w:rFonts w:cstheme="minorHAnsi"/>
          <w:i/>
          <w:sz w:val="21"/>
          <w:szCs w:val="21"/>
        </w:rPr>
        <w:t xml:space="preserve"> (tj. 35-90 ml/min/1,73m</w:t>
      </w:r>
      <w:r w:rsidRPr="009C56BF">
        <w:rPr>
          <w:rFonts w:cstheme="minorHAnsi"/>
          <w:i/>
          <w:sz w:val="21"/>
          <w:szCs w:val="21"/>
          <w:vertAlign w:val="superscript"/>
        </w:rPr>
        <w:t>2</w:t>
      </w:r>
      <w:r w:rsidRPr="009C56BF">
        <w:rPr>
          <w:rFonts w:cstheme="minorHAnsi"/>
          <w:i/>
          <w:sz w:val="21"/>
          <w:szCs w:val="21"/>
        </w:rPr>
        <w:t>), navzdory optimalizované podpůrné léčbě sestávající mj. ze stabilních maximálně tolerovaných nebo maximálně povolených dávek inhibitoru angiotenzin-konvertujícího enzymu (ACEi) a/nebo blokátoru receptoru typu 1 pro angiotenzin II (ARB). Léčba je hrazena maximálně po dobu 10 měsíců od jejího zahájení. Opakování léčebného cyklu není hrazeno z prostředků veřejného zdravotního pojištění</w:t>
      </w:r>
      <w:r w:rsidRPr="009C56BF">
        <w:rPr>
          <w:rFonts w:cstheme="minorHAnsi"/>
          <w:sz w:val="21"/>
          <w:szCs w:val="21"/>
        </w:rPr>
        <w:t>.“ - v</w:t>
      </w:r>
      <w:r w:rsidR="00C071AF" w:rsidRPr="009C56BF">
        <w:rPr>
          <w:sz w:val="21"/>
          <w:szCs w:val="21"/>
        </w:rPr>
        <w:t>zhledem k absenci dat o účinnosti LP KINPEYGO při opakování léčebných cyklů (opakovaná léčba LP KINPEYGO je sledována v probíhající studii NefIgArd-OLE, data z této studie zatím nejsou dostupná - dle žadatele by tato studie měla být ukončena k 30. 6. 2024) SUKL také oproti návrhu žadatele indikační omezení upravil tak, že opakovaná léčba LP KINPEYGO nebude z prostředků veřejného zdravotního pojištění hrazena</w:t>
      </w:r>
      <w:r w:rsidR="00C071AF" w:rsidRPr="009C56BF">
        <w:rPr>
          <w:sz w:val="21"/>
          <w:szCs w:val="21"/>
          <w:vertAlign w:val="superscript"/>
        </w:rPr>
        <w:t>28</w:t>
      </w:r>
      <w:r w:rsidR="00C071AF" w:rsidRPr="009C56BF">
        <w:rPr>
          <w:sz w:val="21"/>
          <w:szCs w:val="21"/>
        </w:rPr>
        <w:t>.</w:t>
      </w:r>
      <w:r w:rsidR="0049211F" w:rsidRPr="009C56BF">
        <w:rPr>
          <w:sz w:val="21"/>
          <w:szCs w:val="21"/>
        </w:rPr>
        <w:t xml:space="preserve"> </w:t>
      </w:r>
    </w:p>
    <w:p w:rsidR="00033807" w:rsidRPr="009C56BF" w:rsidRDefault="00B20268">
      <w:pPr>
        <w:spacing w:after="0"/>
        <w:jc w:val="both"/>
        <w:rPr>
          <w:rFonts w:cstheme="minorHAnsi"/>
          <w:sz w:val="21"/>
          <w:szCs w:val="21"/>
        </w:rPr>
      </w:pPr>
      <w:r w:rsidRPr="009C56BF">
        <w:rPr>
          <w:rFonts w:cstheme="minorHAnsi"/>
          <w:sz w:val="21"/>
          <w:szCs w:val="21"/>
          <w:u w:val="single"/>
        </w:rPr>
        <w:t>Anglická NICE LP KINPEYGO (od 20. 12. 2023) doporučuje</w:t>
      </w:r>
      <w:r w:rsidRPr="009C56BF">
        <w:rPr>
          <w:rFonts w:cstheme="minorHAnsi"/>
          <w:sz w:val="21"/>
          <w:szCs w:val="21"/>
          <w:u w:val="single"/>
          <w:vertAlign w:val="superscript"/>
        </w:rPr>
        <w:t>140</w:t>
      </w:r>
      <w:r w:rsidRPr="009C56BF">
        <w:rPr>
          <w:rFonts w:cstheme="minorHAnsi"/>
          <w:sz w:val="21"/>
          <w:szCs w:val="21"/>
          <w:u w:val="single"/>
        </w:rPr>
        <w:t xml:space="preserve"> jako možnost léčby primární nefropatie imunoglobulinu A (IgAN),</w:t>
      </w:r>
      <w:r w:rsidRPr="009C56BF">
        <w:rPr>
          <w:rFonts w:cstheme="minorHAnsi"/>
          <w:sz w:val="21"/>
          <w:szCs w:val="21"/>
        </w:rPr>
        <w:t xml:space="preserve"> pokud existuje riziko rychlé progrese onemocnění u dospělých s poměrem proteinu ke kreatininu v moči 1,5 g/g nebo více, a doporučuje se pouze, pokud: (1) jde o doplněk k optimalizované standardní péči zahrnující nejvyšší tolerovanou povolenou dávku inhibitorů angiotenzin-konvertujícího enzymu (ACE) nebo blokátorů angiotenzin-receptorů (ARB), pokud nejsou kontraindikovány, (2) společnost jej poskytuje podle obchodního ujednání</w:t>
      </w:r>
      <w:r w:rsidRPr="009C56BF">
        <w:rPr>
          <w:rFonts w:cstheme="minorHAnsi"/>
          <w:sz w:val="21"/>
          <w:szCs w:val="21"/>
          <w:vertAlign w:val="superscript"/>
        </w:rPr>
        <w:t>140</w:t>
      </w:r>
      <w:r w:rsidRPr="009C56BF">
        <w:rPr>
          <w:rFonts w:cstheme="minorHAnsi"/>
          <w:sz w:val="21"/>
          <w:szCs w:val="21"/>
        </w:rPr>
        <w:t>.</w:t>
      </w:r>
      <w:r w:rsidR="008F2EEB" w:rsidRPr="009C56BF">
        <w:rPr>
          <w:rFonts w:cstheme="minorHAnsi"/>
          <w:sz w:val="21"/>
          <w:szCs w:val="21"/>
        </w:rPr>
        <w:t xml:space="preserve"> K</w:t>
      </w:r>
      <w:r w:rsidR="008F2EEB" w:rsidRPr="009C56BF">
        <w:rPr>
          <w:sz w:val="21"/>
          <w:szCs w:val="21"/>
        </w:rPr>
        <w:t>anadská CADTh</w:t>
      </w:r>
      <w:r w:rsidR="008F2EEB" w:rsidRPr="009C56BF">
        <w:rPr>
          <w:sz w:val="21"/>
          <w:szCs w:val="21"/>
          <w:vertAlign w:val="superscript"/>
        </w:rPr>
        <w:t xml:space="preserve">141 </w:t>
      </w:r>
      <w:r w:rsidR="008F2EEB" w:rsidRPr="009C56BF">
        <w:rPr>
          <w:sz w:val="21"/>
          <w:szCs w:val="21"/>
        </w:rPr>
        <w:t>u LP KINPEYGO k datu 17. 8. 2024 ani nezahájila hodnocení.</w:t>
      </w:r>
    </w:p>
    <w:p w:rsidR="00033807" w:rsidRDefault="00033807">
      <w:pPr>
        <w:spacing w:after="0"/>
        <w:jc w:val="both"/>
        <w:rPr>
          <w:rFonts w:cstheme="minorHAnsi"/>
          <w:b/>
          <w:sz w:val="4"/>
          <w:szCs w:val="4"/>
        </w:rPr>
      </w:pPr>
    </w:p>
    <w:p w:rsidR="00033807" w:rsidRDefault="00033807">
      <w:pPr>
        <w:spacing w:after="0"/>
        <w:jc w:val="both"/>
        <w:rPr>
          <w:rFonts w:cstheme="minorHAnsi"/>
          <w:b/>
          <w:u w:val="single"/>
        </w:rPr>
      </w:pPr>
    </w:p>
    <w:p w:rsidR="00033807" w:rsidRDefault="00C071AF">
      <w:pPr>
        <w:spacing w:after="0"/>
        <w:jc w:val="both"/>
        <w:rPr>
          <w:rFonts w:cstheme="minorHAnsi"/>
          <w:b/>
          <w:u w:val="single"/>
        </w:rPr>
      </w:pPr>
      <w:r>
        <w:rPr>
          <w:rFonts w:cstheme="minorHAnsi"/>
          <w:b/>
          <w:u w:val="single"/>
        </w:rPr>
        <w:t>Postavení léčiva v klinické praxi a relevantní komparátory:</w:t>
      </w:r>
    </w:p>
    <w:p w:rsidR="00033807" w:rsidRPr="009C56BF" w:rsidRDefault="00C071AF">
      <w:pPr>
        <w:spacing w:after="0"/>
        <w:jc w:val="both"/>
        <w:rPr>
          <w:sz w:val="21"/>
          <w:szCs w:val="21"/>
          <w:highlight w:val="cyan"/>
        </w:rPr>
      </w:pPr>
      <w:r w:rsidRPr="009C56BF">
        <w:rPr>
          <w:sz w:val="21"/>
          <w:szCs w:val="21"/>
          <w:u w:val="single"/>
        </w:rPr>
        <w:t>Složitá a mnohostranná patofyziologie onemocnění IgAN naznačuje, že pouhé zacílení léčby na jeden faktor nebude dostatečné – naopak je nutný komplexní přístup, který pokrývá různé patofyziologické komponenty onemocnění IgAN – viz Přílohu č. 19</w:t>
      </w:r>
      <w:r w:rsidRPr="009C56BF">
        <w:rPr>
          <w:sz w:val="21"/>
          <w:szCs w:val="21"/>
        </w:rPr>
        <w:t>.</w:t>
      </w:r>
      <w:r w:rsidRPr="009C56BF">
        <w:rPr>
          <w:sz w:val="21"/>
          <w:szCs w:val="21"/>
          <w:vertAlign w:val="superscript"/>
        </w:rPr>
        <w:t>104</w:t>
      </w:r>
    </w:p>
    <w:p w:rsidR="00033807" w:rsidRPr="009C56BF" w:rsidRDefault="00C071AF">
      <w:pPr>
        <w:spacing w:after="0"/>
        <w:jc w:val="both"/>
        <w:rPr>
          <w:b/>
          <w:sz w:val="21"/>
          <w:szCs w:val="21"/>
          <w:u w:val="single"/>
        </w:rPr>
      </w:pPr>
      <w:r w:rsidRPr="009C56BF">
        <w:rPr>
          <w:b/>
          <w:sz w:val="21"/>
          <w:szCs w:val="21"/>
          <w:highlight w:val="cyan"/>
        </w:rPr>
        <w:t>Před léčbou</w:t>
      </w:r>
      <w:r w:rsidRPr="009C56BF">
        <w:rPr>
          <w:b/>
          <w:sz w:val="21"/>
          <w:szCs w:val="21"/>
        </w:rPr>
        <w:t xml:space="preserve"> by všichni pacienti s IgAN měli podstoupit individuální posouzení rizika progrese onemocnění, které lze odhadnout pomocí nástroje </w:t>
      </w:r>
      <w:r w:rsidRPr="009C56BF">
        <w:rPr>
          <w:b/>
          <w:sz w:val="21"/>
          <w:szCs w:val="21"/>
          <w:highlight w:val="cyan"/>
        </w:rPr>
        <w:t>International IgA Nephropathy Prediction Tool (tzv. „IIgAN-PT“ - viz dále níže pozn. 54 a také doporučení KDIGO 2021 v Příloze č. 13)</w:t>
      </w:r>
      <w:r w:rsidRPr="009C56BF">
        <w:rPr>
          <w:b/>
          <w:sz w:val="21"/>
          <w:szCs w:val="21"/>
        </w:rPr>
        <w:t xml:space="preserve"> </w:t>
      </w:r>
      <w:r w:rsidRPr="009C56BF">
        <w:rPr>
          <w:sz w:val="21"/>
          <w:szCs w:val="21"/>
        </w:rPr>
        <w:t xml:space="preserve">- u dospělých tento nástroj pro predikci rizika vypočítává pětileté riziko 50% poklesu eGFR nebo progrese do konečného stadia onemocnění ledvin (tj. „ESRD“ – viz podrobněji níže pozn. 87), a to na základě následujících snadno dostupných klinických a histologických proměnných </w:t>
      </w:r>
      <w:r w:rsidRPr="009C56BF">
        <w:rPr>
          <w:b/>
          <w:sz w:val="21"/>
          <w:szCs w:val="21"/>
        </w:rPr>
        <w:t>v době biopsie ledviny</w:t>
      </w:r>
      <w:r w:rsidRPr="009C56BF">
        <w:rPr>
          <w:sz w:val="21"/>
          <w:szCs w:val="21"/>
        </w:rPr>
        <w:t>: ● odhadovaná glomerulární filtrace ledvin, ● krevní tlak (viz níže pozn. 84), ● proteinurie (viz níže pozn. 83), ● věk pacienta, ● rasa/etnický původ (tj. běloch, Japonec, Číňan nebo jiný), ● předchozí použití inhibitoru angiotenzin konvertujícího enzymu (dále jen „ACEi“) nebo blokátoru angiotenzinového receptoru (dále jen „ARB“), ● Oxfordská klasifikace histologického skóre IgAN MEST (viz níže pozn. 53), ● použití imunosupresivní léčby při biopsii nebo před ní</w:t>
      </w:r>
      <w:r w:rsidRPr="009C56BF">
        <w:rPr>
          <w:sz w:val="21"/>
          <w:szCs w:val="21"/>
          <w:vertAlign w:val="superscript"/>
        </w:rPr>
        <w:t>82</w:t>
      </w:r>
      <w:r w:rsidRPr="009C56BF">
        <w:rPr>
          <w:sz w:val="21"/>
          <w:szCs w:val="21"/>
        </w:rPr>
        <w:t xml:space="preserve">. </w:t>
      </w:r>
      <w:r w:rsidRPr="009C56BF">
        <w:rPr>
          <w:b/>
          <w:sz w:val="21"/>
          <w:szCs w:val="21"/>
        </w:rPr>
        <w:t>Nástroj IIgAN-PT byl aktualizován, aby bylo možné provést podobné hodnocení rizika jeden nebo dva roky po biopsii ledviny</w:t>
      </w:r>
      <w:r w:rsidRPr="009C56BF">
        <w:rPr>
          <w:b/>
          <w:sz w:val="21"/>
          <w:szCs w:val="21"/>
          <w:vertAlign w:val="superscript"/>
        </w:rPr>
        <w:t>82</w:t>
      </w:r>
      <w:r w:rsidRPr="009C56BF">
        <w:rPr>
          <w:b/>
          <w:sz w:val="21"/>
          <w:szCs w:val="21"/>
        </w:rPr>
        <w:t xml:space="preserve"> (viz dále níže pozn. 54). </w:t>
      </w:r>
      <w:r w:rsidRPr="009C56BF">
        <w:rPr>
          <w:sz w:val="21"/>
          <w:szCs w:val="21"/>
          <w:highlight w:val="cyan"/>
        </w:rPr>
        <w:t>Neexistuje jednotný konsenzus pro prahovou hodnotu pětiletého rizika, při jejímž překročení je jednotlivý pacient považován za pacienta s vysokým rizikem progrese</w:t>
      </w:r>
      <w:r w:rsidRPr="009C56BF">
        <w:rPr>
          <w:sz w:val="21"/>
          <w:szCs w:val="21"/>
          <w:highlight w:val="cyan"/>
          <w:vertAlign w:val="superscript"/>
        </w:rPr>
        <w:t>82</w:t>
      </w:r>
      <w:r w:rsidRPr="009C56BF">
        <w:rPr>
          <w:sz w:val="21"/>
          <w:szCs w:val="21"/>
          <w:highlight w:val="cyan"/>
        </w:rPr>
        <w:t>. Odhad rizika odvozený z IIgAN-PT lze použít při diskusích s pacienty o prognóze onemocnění - při volbě léčby je třeba vzít v úvahu i další faktory, včetně potenciální toxicity léčby a charakteristik pacienta, které mohou zvyšovat riziko toxicity související s léčbou</w:t>
      </w:r>
      <w:r w:rsidRPr="009C56BF">
        <w:rPr>
          <w:sz w:val="21"/>
          <w:szCs w:val="21"/>
          <w:highlight w:val="cyan"/>
          <w:vertAlign w:val="superscript"/>
        </w:rPr>
        <w:t>82</w:t>
      </w:r>
      <w:r w:rsidRPr="009C56BF">
        <w:rPr>
          <w:sz w:val="21"/>
          <w:szCs w:val="21"/>
          <w:highlight w:val="cyan"/>
        </w:rPr>
        <w:t xml:space="preserve">. </w:t>
      </w:r>
      <w:r w:rsidRPr="009C56BF">
        <w:rPr>
          <w:b/>
          <w:sz w:val="21"/>
          <w:szCs w:val="21"/>
          <w:highlight w:val="cyan"/>
        </w:rPr>
        <w:t>IIgAN-PT také nelze použít ke stanovení pravděpodobného léčebného dopadu žádného konkrétního léčebného režimu</w:t>
      </w:r>
      <w:r w:rsidRPr="009C56BF">
        <w:rPr>
          <w:sz w:val="21"/>
          <w:szCs w:val="21"/>
          <w:highlight w:val="cyan"/>
          <w:vertAlign w:val="superscript"/>
        </w:rPr>
        <w:t>82</w:t>
      </w:r>
      <w:r w:rsidRPr="009C56BF">
        <w:rPr>
          <w:sz w:val="21"/>
          <w:szCs w:val="21"/>
          <w:highlight w:val="cyan"/>
        </w:rPr>
        <w:t>.</w:t>
      </w:r>
      <w:r w:rsidRPr="009C56BF">
        <w:rPr>
          <w:sz w:val="21"/>
          <w:szCs w:val="21"/>
        </w:rPr>
        <w:t xml:space="preserve"> </w:t>
      </w:r>
      <w:r w:rsidRPr="009C56BF">
        <w:rPr>
          <w:b/>
          <w:sz w:val="21"/>
          <w:szCs w:val="21"/>
          <w:u w:val="single"/>
        </w:rPr>
        <w:t>CAVE! viz také níže pozn. 9!</w:t>
      </w:r>
    </w:p>
    <w:p w:rsidR="00033807" w:rsidRDefault="00C071AF">
      <w:pPr>
        <w:spacing w:after="0"/>
        <w:jc w:val="both"/>
      </w:pPr>
      <w:r>
        <w:rPr>
          <w:noProof/>
          <w:lang w:eastAsia="cs-CZ"/>
        </w:rPr>
        <mc:AlternateContent>
          <mc:Choice Requires="wps">
            <w:drawing>
              <wp:anchor distT="3810" distB="2540" distL="3175" distR="3175" simplePos="0" relativeHeight="386" behindDoc="0" locked="0" layoutInCell="0" allowOverlap="1">
                <wp:simplePos x="0" y="0"/>
                <wp:positionH relativeFrom="margin">
                  <wp:posOffset>-23615</wp:posOffset>
                </wp:positionH>
                <wp:positionV relativeFrom="paragraph">
                  <wp:posOffset>57282</wp:posOffset>
                </wp:positionV>
                <wp:extent cx="6858000" cy="2924355"/>
                <wp:effectExtent l="0" t="0" r="0" b="9525"/>
                <wp:wrapNone/>
                <wp:docPr id="7" name="Rámec4"/>
                <wp:cNvGraphicFramePr/>
                <a:graphic xmlns:a="http://schemas.openxmlformats.org/drawingml/2006/main">
                  <a:graphicData uri="http://schemas.microsoft.com/office/word/2010/wordprocessingShape">
                    <wps:wsp>
                      <wps:cNvSpPr txBox="1"/>
                      <wps:spPr>
                        <a:xfrm>
                          <a:off x="0" y="0"/>
                          <a:ext cx="6858000" cy="2924355"/>
                        </a:xfrm>
                        <a:prstGeom prst="rect">
                          <a:avLst/>
                        </a:prstGeom>
                        <a:solidFill>
                          <a:srgbClr val="D9E2F3"/>
                        </a:solidFill>
                        <a:ln w="6350">
                          <a:solidFill>
                            <a:srgbClr val="000000"/>
                          </a:solidFill>
                        </a:ln>
                      </wps:spPr>
                      <wps:txbx>
                        <w:txbxContent>
                          <w:p w:rsidR="009C56BF" w:rsidRDefault="009C56BF">
                            <w:pPr>
                              <w:pStyle w:val="Obsahrmce"/>
                              <w:spacing w:after="0" w:line="240" w:lineRule="auto"/>
                              <w:jc w:val="both"/>
                              <w:rPr>
                                <w:b/>
                                <w:color w:val="000000"/>
                                <w:sz w:val="21"/>
                                <w:szCs w:val="21"/>
                              </w:rPr>
                            </w:pPr>
                            <w:r>
                              <w:rPr>
                                <w:b/>
                                <w:color w:val="000000"/>
                                <w:sz w:val="21"/>
                                <w:szCs w:val="21"/>
                                <w:u w:val="single"/>
                              </w:rPr>
                              <w:t xml:space="preserve">U pacientů s IgAN je primárním cílem terapie zabránit progresi onemocnění do </w:t>
                            </w:r>
                            <w:r>
                              <w:rPr>
                                <w:b/>
                                <w:sz w:val="21"/>
                                <w:szCs w:val="21"/>
                                <w:u w:val="single"/>
                              </w:rPr>
                              <w:t>konečného stadia onemocnění ledvin</w:t>
                            </w:r>
                            <w:r>
                              <w:rPr>
                                <w:b/>
                                <w:sz w:val="21"/>
                                <w:szCs w:val="21"/>
                              </w:rPr>
                              <w:t xml:space="preserve"> </w:t>
                            </w:r>
                            <w:r>
                              <w:rPr>
                                <w:sz w:val="21"/>
                                <w:szCs w:val="21"/>
                              </w:rPr>
                              <w:t>(dále jen „</w:t>
                            </w:r>
                            <w:r>
                              <w:rPr>
                                <w:rFonts w:cstheme="minorHAnsi"/>
                                <w:sz w:val="21"/>
                                <w:szCs w:val="21"/>
                              </w:rPr>
                              <w:t>ESRD“</w:t>
                            </w:r>
                            <w:r>
                              <w:rPr>
                                <w:sz w:val="21"/>
                                <w:szCs w:val="21"/>
                              </w:rPr>
                              <w:t xml:space="preserve"> – viz podrobněji níže pozn. 87</w:t>
                            </w:r>
                            <w:r>
                              <w:rPr>
                                <w:rFonts w:cstheme="minorHAnsi"/>
                                <w:sz w:val="21"/>
                                <w:szCs w:val="21"/>
                              </w:rPr>
                              <w:t>)</w:t>
                            </w:r>
                            <w:r>
                              <w:rPr>
                                <w:b/>
                                <w:color w:val="000000"/>
                                <w:sz w:val="21"/>
                                <w:szCs w:val="21"/>
                              </w:rPr>
                              <w:t xml:space="preserve"> - na rozdíl od mnoha jiných forem glomerulárních onemocnění (viz níže pozn. 58) je dosažení tohoto cíle možné primárně prostřednictvím non-imunosupresivních strategií (tzv. </w:t>
                            </w:r>
                            <w:r>
                              <w:rPr>
                                <w:b/>
                                <w:color w:val="000000"/>
                                <w:sz w:val="21"/>
                                <w:szCs w:val="21"/>
                                <w:u w:val="single"/>
                              </w:rPr>
                              <w:t>podpůrná péče</w:t>
                            </w:r>
                            <w:r>
                              <w:rPr>
                                <w:b/>
                                <w:color w:val="000000"/>
                                <w:sz w:val="21"/>
                                <w:szCs w:val="21"/>
                              </w:rPr>
                              <w:t xml:space="preserve"> </w:t>
                            </w:r>
                            <w:r>
                              <w:rPr>
                                <w:color w:val="000000"/>
                                <w:sz w:val="21"/>
                                <w:szCs w:val="21"/>
                              </w:rPr>
                              <w:t>– viz další informace níže v tomto odstavci)</w:t>
                            </w:r>
                            <w:r>
                              <w:rPr>
                                <w:b/>
                                <w:color w:val="000000"/>
                                <w:sz w:val="21"/>
                                <w:szCs w:val="21"/>
                              </w:rPr>
                              <w:t xml:space="preserve"> spíše než použitím imunosupresivních strategií</w:t>
                            </w:r>
                            <w:r>
                              <w:rPr>
                                <w:b/>
                                <w:color w:val="000000"/>
                                <w:sz w:val="21"/>
                                <w:szCs w:val="21"/>
                                <w:vertAlign w:val="superscript"/>
                              </w:rPr>
                              <w:t>82</w:t>
                            </w:r>
                            <w:r>
                              <w:rPr>
                                <w:b/>
                                <w:color w:val="000000"/>
                                <w:sz w:val="21"/>
                                <w:szCs w:val="21"/>
                              </w:rPr>
                              <w:t xml:space="preserve">. </w:t>
                            </w:r>
                          </w:p>
                          <w:p w:rsidR="009C56BF" w:rsidRDefault="009C56BF">
                            <w:pPr>
                              <w:pStyle w:val="Obsahrmce"/>
                              <w:spacing w:after="0" w:line="240" w:lineRule="auto"/>
                              <w:jc w:val="both"/>
                              <w:rPr>
                                <w:color w:val="000000"/>
                                <w:sz w:val="21"/>
                                <w:szCs w:val="21"/>
                              </w:rPr>
                            </w:pPr>
                            <w:r>
                              <w:rPr>
                                <w:b/>
                                <w:color w:val="000000"/>
                                <w:sz w:val="21"/>
                                <w:szCs w:val="21"/>
                              </w:rPr>
                              <w:t xml:space="preserve">Někteří pacienti (1) s vysokým rizikem progrese onemocnění </w:t>
                            </w:r>
                            <w:r>
                              <w:rPr>
                                <w:color w:val="000000"/>
                                <w:sz w:val="21"/>
                                <w:szCs w:val="21"/>
                              </w:rPr>
                              <w:t>(dle KDIGO 2021</w:t>
                            </w:r>
                            <w:r>
                              <w:rPr>
                                <w:color w:val="000000"/>
                                <w:sz w:val="21"/>
                                <w:szCs w:val="21"/>
                                <w:vertAlign w:val="superscript"/>
                              </w:rPr>
                              <w:t>76</w:t>
                            </w:r>
                            <w:r>
                              <w:rPr>
                                <w:color w:val="000000"/>
                                <w:sz w:val="21"/>
                                <w:szCs w:val="21"/>
                              </w:rPr>
                              <w:t xml:space="preserve"> je definováno jako proteinurie &gt;0,75–1 g/den navzdory ≥ 90 dnům optimalizované podpůrné péče - viz bod 2.3.1 v Příloze č. 13)</w:t>
                            </w:r>
                            <w:r>
                              <w:rPr>
                                <w:b/>
                                <w:color w:val="000000"/>
                                <w:sz w:val="21"/>
                                <w:szCs w:val="21"/>
                              </w:rPr>
                              <w:t xml:space="preserve"> a (2) také pacienti s tzv. variantními formami IgAN</w:t>
                            </w:r>
                            <w:r>
                              <w:rPr>
                                <w:color w:val="000000"/>
                                <w:sz w:val="21"/>
                                <w:szCs w:val="21"/>
                              </w:rPr>
                              <w:t xml:space="preserve"> (tj. depozice IgA s tzv. onemocněním s minimální změnou („MCD“ – viz níže pozn. 55), IgAN s akutním poškozením ledvin („AKI“ – viz níže pozn. 70) a IgAN s rychle progredující glomerulonefritidou („RPGN“ </w:t>
                            </w:r>
                            <w:r>
                              <w:rPr>
                                <w:rFonts w:cstheme="minorHAnsi"/>
                                <w:sz w:val="21"/>
                                <w:szCs w:val="21"/>
                              </w:rPr>
                              <w:t>- je definována jako 50 % pokles eGFR během 3 měsíců</w:t>
                            </w:r>
                            <w:r>
                              <w:rPr>
                                <w:rFonts w:cstheme="minorHAnsi"/>
                                <w:sz w:val="21"/>
                                <w:szCs w:val="21"/>
                                <w:vertAlign w:val="superscript"/>
                              </w:rPr>
                              <w:t>27</w:t>
                            </w:r>
                            <w:r>
                              <w:rPr>
                                <w:color w:val="000000"/>
                                <w:sz w:val="21"/>
                                <w:szCs w:val="21"/>
                              </w:rPr>
                              <w:t xml:space="preserve">) – viz bod 2.4 v Příloze č. 13) </w:t>
                            </w:r>
                            <w:r>
                              <w:rPr>
                                <w:b/>
                                <w:color w:val="000000"/>
                                <w:sz w:val="21"/>
                                <w:szCs w:val="21"/>
                              </w:rPr>
                              <w:t xml:space="preserve">však mohou vyžadovat </w:t>
                            </w:r>
                            <w:r>
                              <w:rPr>
                                <w:b/>
                                <w:color w:val="000000"/>
                                <w:sz w:val="21"/>
                                <w:szCs w:val="21"/>
                                <w:u w:val="single"/>
                              </w:rPr>
                              <w:t>imunosupresivní léčbu</w:t>
                            </w:r>
                            <w:r>
                              <w:rPr>
                                <w:color w:val="000000"/>
                                <w:sz w:val="21"/>
                                <w:szCs w:val="21"/>
                                <w:u w:val="single"/>
                                <w:vertAlign w:val="superscript"/>
                              </w:rPr>
                              <w:t>8</w:t>
                            </w:r>
                            <w:r>
                              <w:rPr>
                                <w:color w:val="000000"/>
                                <w:sz w:val="21"/>
                                <w:szCs w:val="21"/>
                                <w:vertAlign w:val="superscript"/>
                              </w:rPr>
                              <w:t>2</w:t>
                            </w:r>
                            <w:r>
                              <w:rPr>
                                <w:b/>
                                <w:color w:val="000000"/>
                                <w:sz w:val="21"/>
                                <w:szCs w:val="21"/>
                              </w:rPr>
                              <w:t xml:space="preserve"> </w:t>
                            </w:r>
                            <w:r>
                              <w:rPr>
                                <w:color w:val="000000"/>
                                <w:sz w:val="21"/>
                                <w:szCs w:val="21"/>
                              </w:rPr>
                              <w:t>– viz další informace níže v tomto odstavci.</w:t>
                            </w:r>
                          </w:p>
                          <w:p w:rsidR="009C56BF" w:rsidRDefault="009C56BF">
                            <w:pPr>
                              <w:pStyle w:val="Obsahrmce"/>
                              <w:spacing w:after="0" w:line="240" w:lineRule="auto"/>
                              <w:jc w:val="both"/>
                              <w:rPr>
                                <w:color w:val="000000"/>
                                <w:sz w:val="4"/>
                                <w:szCs w:val="4"/>
                              </w:rPr>
                            </w:pPr>
                          </w:p>
                          <w:p w:rsidR="009C56BF" w:rsidRDefault="009C56BF">
                            <w:pPr>
                              <w:pStyle w:val="Obsahrmce"/>
                              <w:spacing w:after="0" w:line="240" w:lineRule="auto"/>
                              <w:jc w:val="both"/>
                              <w:rPr>
                                <w:color w:val="000000"/>
                                <w:sz w:val="21"/>
                                <w:szCs w:val="21"/>
                              </w:rPr>
                            </w:pPr>
                            <w:r>
                              <w:rPr>
                                <w:b/>
                                <w:color w:val="000000"/>
                                <w:sz w:val="21"/>
                                <w:szCs w:val="21"/>
                              </w:rPr>
                              <w:t>Dle KDIGO 2021</w:t>
                            </w:r>
                            <w:r>
                              <w:rPr>
                                <w:color w:val="000000"/>
                                <w:sz w:val="21"/>
                                <w:szCs w:val="21"/>
                              </w:rPr>
                              <w:t xml:space="preserve"> (viz Přílohu č. 13) </w:t>
                            </w:r>
                            <w:r>
                              <w:rPr>
                                <w:b/>
                                <w:color w:val="000000"/>
                                <w:sz w:val="21"/>
                                <w:szCs w:val="21"/>
                              </w:rPr>
                              <w:t xml:space="preserve">je </w:t>
                            </w:r>
                            <w:r>
                              <w:rPr>
                                <w:b/>
                                <w:color w:val="000000"/>
                                <w:sz w:val="21"/>
                                <w:szCs w:val="21"/>
                                <w:u w:val="single"/>
                              </w:rPr>
                              <w:t>snížení proteinurie</w:t>
                            </w:r>
                            <w:r>
                              <w:rPr>
                                <w:color w:val="000000"/>
                                <w:sz w:val="21"/>
                                <w:szCs w:val="21"/>
                              </w:rPr>
                              <w:t xml:space="preserve"> (viz níže pozn. 10 a 83) </w:t>
                            </w:r>
                            <w:r>
                              <w:rPr>
                                <w:b/>
                                <w:color w:val="000000"/>
                                <w:sz w:val="21"/>
                                <w:szCs w:val="21"/>
                                <w:u w:val="single"/>
                              </w:rPr>
                              <w:t>pod 1 g/den tzv. zástupným („surrogate“) ukazatelem zlepšení renálních funkcí u IgAN</w:t>
                            </w:r>
                            <w:r>
                              <w:rPr>
                                <w:b/>
                                <w:color w:val="000000"/>
                                <w:sz w:val="21"/>
                                <w:szCs w:val="21"/>
                              </w:rPr>
                              <w:t xml:space="preserve"> a snížení pod 1 g/den je tedy rozumným léčebným cílem</w:t>
                            </w:r>
                            <w:r>
                              <w:rPr>
                                <w:b/>
                                <w:color w:val="000000"/>
                                <w:sz w:val="21"/>
                                <w:szCs w:val="21"/>
                                <w:vertAlign w:val="superscript"/>
                              </w:rPr>
                              <w:t>76</w:t>
                            </w:r>
                            <w:r>
                              <w:rPr>
                                <w:b/>
                                <w:color w:val="000000"/>
                                <w:sz w:val="21"/>
                                <w:szCs w:val="21"/>
                              </w:rPr>
                              <w:t>, dle UpToDate</w:t>
                            </w:r>
                            <w:r>
                              <w:rPr>
                                <w:b/>
                                <w:color w:val="000000"/>
                                <w:sz w:val="21"/>
                                <w:szCs w:val="21"/>
                                <w:vertAlign w:val="superscript"/>
                              </w:rPr>
                              <w:t xml:space="preserve">82 </w:t>
                            </w:r>
                            <w:r>
                              <w:rPr>
                                <w:b/>
                                <w:color w:val="000000"/>
                                <w:sz w:val="21"/>
                                <w:szCs w:val="21"/>
                              </w:rPr>
                              <w:t>bychom u všech dospělých pacientů s IgAN měli usilovat o snížení proteinurie na méně než 1 g/den a pokud možno až na méně než 0,5 g/den</w:t>
                            </w:r>
                            <w:r>
                              <w:rPr>
                                <w:color w:val="000000"/>
                                <w:sz w:val="21"/>
                                <w:szCs w:val="21"/>
                              </w:rPr>
                              <w:t xml:space="preserve"> (viz podrobněji níže pozn. 89). </w:t>
                            </w:r>
                            <w:r>
                              <w:rPr>
                                <w:b/>
                                <w:color w:val="000000"/>
                                <w:sz w:val="21"/>
                                <w:szCs w:val="21"/>
                              </w:rPr>
                              <w:t>UpToDate</w:t>
                            </w:r>
                            <w:r>
                              <w:rPr>
                                <w:b/>
                                <w:color w:val="000000"/>
                                <w:sz w:val="21"/>
                                <w:szCs w:val="21"/>
                                <w:vertAlign w:val="superscript"/>
                              </w:rPr>
                              <w:t xml:space="preserve">82 </w:t>
                            </w:r>
                            <w:r>
                              <w:rPr>
                                <w:b/>
                                <w:color w:val="000000"/>
                                <w:sz w:val="21"/>
                                <w:szCs w:val="21"/>
                              </w:rPr>
                              <w:t xml:space="preserve">uvádí také další léčebný cíl, a to vymizení mikroskopické hematurie </w:t>
                            </w:r>
                            <w:r>
                              <w:rPr>
                                <w:color w:val="000000"/>
                                <w:sz w:val="21"/>
                                <w:szCs w:val="21"/>
                              </w:rPr>
                              <w:t xml:space="preserve">(viz níže pozn. 62) </w:t>
                            </w:r>
                            <w:r>
                              <w:rPr>
                                <w:b/>
                                <w:color w:val="000000"/>
                                <w:sz w:val="21"/>
                                <w:szCs w:val="21"/>
                              </w:rPr>
                              <w:t>u všech pacientů s IgAN</w:t>
                            </w:r>
                            <w:r>
                              <w:rPr>
                                <w:color w:val="000000"/>
                                <w:sz w:val="21"/>
                                <w:szCs w:val="21"/>
                              </w:rPr>
                              <w:t>, protože perzistující hematurie byla spojena s progresivním onemocněním a její eliminace byla spojena se zlepšenými výsledky funkce ledvin (CAVE! užitečnost izolované hematurie jako náhradního markeru pro účinnost léčby nezávislou na proteinurii nebo eGFR však nebyla prokázána!)</w:t>
                            </w:r>
                            <w:r>
                              <w:rPr>
                                <w:color w:val="000000"/>
                                <w:sz w:val="21"/>
                                <w:szCs w:val="21"/>
                                <w:vertAlign w:val="superscript"/>
                              </w:rPr>
                              <w:t>82</w:t>
                            </w:r>
                            <w:r>
                              <w:rPr>
                                <w:color w:val="000000"/>
                                <w:sz w:val="21"/>
                                <w:szCs w:val="21"/>
                              </w:rPr>
                              <w:t>.</w:t>
                            </w:r>
                          </w:p>
                        </w:txbxContent>
                      </wps:txbx>
                      <wps:bodyPr lIns="91440" tIns="45720" rIns="91440" bIns="45720"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ámec4" o:spid="_x0000_s1026" type="#_x0000_t202" style="position:absolute;left:0;text-align:left;margin-left:-1.85pt;margin-top:4.5pt;width:540pt;height:230.25pt;z-index:386;visibility:visible;mso-wrap-style:square;mso-height-percent:0;mso-wrap-distance-left:.25pt;mso-wrap-distance-top:.3pt;mso-wrap-distance-right:.25pt;mso-wrap-distance-bottom:.2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" o:allowincell="f" fillcolor="#d9e2f3" strokeweight=".5pt">
                <v:textbox>
                  <w:txbxContent>
                    <w:p w:rsidR="009C56BF" w:rsidRDefault="009C56BF">
                      <w:pPr>
                        <w:pStyle w:val="Obsahrmce"/>
                        <w:spacing w:after="0" w:line="240" w:lineRule="auto"/>
                        <w:jc w:val="both"/>
                        <w:rPr>
                          <w:b/>
                          <w:color w:val="000000"/>
                          <w:sz w:val="21"/>
                          <w:szCs w:val="21"/>
                        </w:rPr>
                      </w:pPr>
                      <w:r>
                        <w:rPr>
                          <w:b/>
                          <w:color w:val="000000"/>
                          <w:sz w:val="21"/>
                          <w:szCs w:val="21"/>
                          <w:u w:val="single"/>
                        </w:rPr>
                        <w:t xml:space="preserve">U pacientů s IgAN je primárním cílem terapie zabránit progresi onemocnění do </w:t>
                      </w:r>
                      <w:r>
                        <w:rPr>
                          <w:b/>
                          <w:sz w:val="21"/>
                          <w:szCs w:val="21"/>
                          <w:u w:val="single"/>
                        </w:rPr>
                        <w:t>konečného stadia onemocnění ledvin</w:t>
                      </w:r>
                      <w:r>
                        <w:rPr>
                          <w:b/>
                          <w:sz w:val="21"/>
                          <w:szCs w:val="21"/>
                        </w:rPr>
                        <w:t xml:space="preserve"> </w:t>
                      </w:r>
                      <w:r>
                        <w:rPr>
                          <w:sz w:val="21"/>
                          <w:szCs w:val="21"/>
                        </w:rPr>
                        <w:t>(dále jen „</w:t>
                      </w:r>
                      <w:r>
                        <w:rPr>
                          <w:rFonts w:cstheme="minorHAnsi"/>
                          <w:sz w:val="21"/>
                          <w:szCs w:val="21"/>
                        </w:rPr>
                        <w:t>ESRD“</w:t>
                      </w:r>
                      <w:r>
                        <w:rPr>
                          <w:sz w:val="21"/>
                          <w:szCs w:val="21"/>
                        </w:rPr>
                        <w:t xml:space="preserve"> – viz podrobněji níže pozn. 87</w:t>
                      </w:r>
                      <w:r>
                        <w:rPr>
                          <w:rFonts w:cstheme="minorHAnsi"/>
                          <w:sz w:val="21"/>
                          <w:szCs w:val="21"/>
                        </w:rPr>
                        <w:t>)</w:t>
                      </w:r>
                      <w:r>
                        <w:rPr>
                          <w:b/>
                          <w:color w:val="000000"/>
                          <w:sz w:val="21"/>
                          <w:szCs w:val="21"/>
                        </w:rPr>
                        <w:t xml:space="preserve"> - na rozdíl od mnoha jiných forem glomerulárních onemocnění (viz níže pozn. 58) je dosažení tohoto cíle možné primárně prostřednictvím non-imunosupresivních strategií (tzv. </w:t>
                      </w:r>
                      <w:r>
                        <w:rPr>
                          <w:b/>
                          <w:color w:val="000000"/>
                          <w:sz w:val="21"/>
                          <w:szCs w:val="21"/>
                          <w:u w:val="single"/>
                        </w:rPr>
                        <w:t>podpůrná péče</w:t>
                      </w:r>
                      <w:r>
                        <w:rPr>
                          <w:b/>
                          <w:color w:val="000000"/>
                          <w:sz w:val="21"/>
                          <w:szCs w:val="21"/>
                        </w:rPr>
                        <w:t xml:space="preserve"> </w:t>
                      </w:r>
                      <w:r>
                        <w:rPr>
                          <w:color w:val="000000"/>
                          <w:sz w:val="21"/>
                          <w:szCs w:val="21"/>
                        </w:rPr>
                        <w:t>– viz další informace níže v tomto odstavci)</w:t>
                      </w:r>
                      <w:r>
                        <w:rPr>
                          <w:b/>
                          <w:color w:val="000000"/>
                          <w:sz w:val="21"/>
                          <w:szCs w:val="21"/>
                        </w:rPr>
                        <w:t xml:space="preserve"> spíše než použitím imunosupresivních strategií</w:t>
                      </w:r>
                      <w:r>
                        <w:rPr>
                          <w:b/>
                          <w:color w:val="000000"/>
                          <w:sz w:val="21"/>
                          <w:szCs w:val="21"/>
                          <w:vertAlign w:val="superscript"/>
                        </w:rPr>
                        <w:t>82</w:t>
                      </w:r>
                      <w:r>
                        <w:rPr>
                          <w:b/>
                          <w:color w:val="000000"/>
                          <w:sz w:val="21"/>
                          <w:szCs w:val="21"/>
                        </w:rPr>
                        <w:t xml:space="preserve">. </w:t>
                      </w:r>
                    </w:p>
                    <w:p w:rsidR="009C56BF" w:rsidRDefault="009C56BF">
                      <w:pPr>
                        <w:pStyle w:val="Obsahrmce"/>
                        <w:spacing w:after="0" w:line="240" w:lineRule="auto"/>
                        <w:jc w:val="both"/>
                        <w:rPr>
                          <w:color w:val="000000"/>
                          <w:sz w:val="21"/>
                          <w:szCs w:val="21"/>
                        </w:rPr>
                      </w:pPr>
                      <w:r>
                        <w:rPr>
                          <w:b/>
                          <w:color w:val="000000"/>
                          <w:sz w:val="21"/>
                          <w:szCs w:val="21"/>
                        </w:rPr>
                        <w:t xml:space="preserve">Někteří pacienti (1) s vysokým rizikem progrese onemocnění </w:t>
                      </w:r>
                      <w:r>
                        <w:rPr>
                          <w:color w:val="000000"/>
                          <w:sz w:val="21"/>
                          <w:szCs w:val="21"/>
                        </w:rPr>
                        <w:t>(dle KDIGO 2021</w:t>
                      </w:r>
                      <w:r>
                        <w:rPr>
                          <w:color w:val="000000"/>
                          <w:sz w:val="21"/>
                          <w:szCs w:val="21"/>
                          <w:vertAlign w:val="superscript"/>
                        </w:rPr>
                        <w:t>76</w:t>
                      </w:r>
                      <w:r>
                        <w:rPr>
                          <w:color w:val="000000"/>
                          <w:sz w:val="21"/>
                          <w:szCs w:val="21"/>
                        </w:rPr>
                        <w:t xml:space="preserve"> je definováno jako proteinurie &gt;0,75–1 g/den navzdory ≥ 90 dnům optimalizované podpůrné péče - viz bod 2.3.1 v Příloze č. 13)</w:t>
                      </w:r>
                      <w:r>
                        <w:rPr>
                          <w:b/>
                          <w:color w:val="000000"/>
                          <w:sz w:val="21"/>
                          <w:szCs w:val="21"/>
                        </w:rPr>
                        <w:t xml:space="preserve"> a (2) také pacienti s tzv. variantními formami IgAN</w:t>
                      </w:r>
                      <w:r>
                        <w:rPr>
                          <w:color w:val="000000"/>
                          <w:sz w:val="21"/>
                          <w:szCs w:val="21"/>
                        </w:rPr>
                        <w:t xml:space="preserve"> (tj. depozice IgA s tzv. onemocněním s minimální změnou („MCD“ – viz níže pozn. 55), IgAN s akutním poškozením ledvin („AKI“ – viz níže pozn. 70) a IgAN s rychle progredující glomerulonefritidou („RPGN“ </w:t>
                      </w:r>
                      <w:r>
                        <w:rPr>
                          <w:rFonts w:cstheme="minorHAnsi"/>
                          <w:sz w:val="21"/>
                          <w:szCs w:val="21"/>
                        </w:rPr>
                        <w:t>- je definována jako 50 % pokles eGFR během 3 měsíců</w:t>
                      </w:r>
                      <w:r>
                        <w:rPr>
                          <w:rFonts w:cstheme="minorHAnsi"/>
                          <w:sz w:val="21"/>
                          <w:szCs w:val="21"/>
                          <w:vertAlign w:val="superscript"/>
                        </w:rPr>
                        <w:t>27</w:t>
                      </w:r>
                      <w:r>
                        <w:rPr>
                          <w:color w:val="000000"/>
                          <w:sz w:val="21"/>
                          <w:szCs w:val="21"/>
                        </w:rPr>
                        <w:t xml:space="preserve">) – viz bod 2.4 v Příloze č. 13) </w:t>
                      </w:r>
                      <w:r>
                        <w:rPr>
                          <w:b/>
                          <w:color w:val="000000"/>
                          <w:sz w:val="21"/>
                          <w:szCs w:val="21"/>
                        </w:rPr>
                        <w:t xml:space="preserve">však mohou vyžadovat </w:t>
                      </w:r>
                      <w:r>
                        <w:rPr>
                          <w:b/>
                          <w:color w:val="000000"/>
                          <w:sz w:val="21"/>
                          <w:szCs w:val="21"/>
                          <w:u w:val="single"/>
                        </w:rPr>
                        <w:t>imunosupresivní léčbu</w:t>
                      </w:r>
                      <w:r>
                        <w:rPr>
                          <w:color w:val="000000"/>
                          <w:sz w:val="21"/>
                          <w:szCs w:val="21"/>
                          <w:u w:val="single"/>
                          <w:vertAlign w:val="superscript"/>
                        </w:rPr>
                        <w:t>8</w:t>
                      </w:r>
                      <w:r>
                        <w:rPr>
                          <w:color w:val="000000"/>
                          <w:sz w:val="21"/>
                          <w:szCs w:val="21"/>
                          <w:vertAlign w:val="superscript"/>
                        </w:rPr>
                        <w:t>2</w:t>
                      </w:r>
                      <w:r>
                        <w:rPr>
                          <w:b/>
                          <w:color w:val="000000"/>
                          <w:sz w:val="21"/>
                          <w:szCs w:val="21"/>
                        </w:rPr>
                        <w:t xml:space="preserve"> </w:t>
                      </w:r>
                      <w:r>
                        <w:rPr>
                          <w:color w:val="000000"/>
                          <w:sz w:val="21"/>
                          <w:szCs w:val="21"/>
                        </w:rPr>
                        <w:t>– viz další informace níže v tomto odstavci.</w:t>
                      </w:r>
                    </w:p>
                    <w:p w:rsidR="009C56BF" w:rsidRDefault="009C56BF">
                      <w:pPr>
                        <w:pStyle w:val="Obsahrmce"/>
                        <w:spacing w:after="0" w:line="240" w:lineRule="auto"/>
                        <w:jc w:val="both"/>
                        <w:rPr>
                          <w:color w:val="000000"/>
                          <w:sz w:val="4"/>
                          <w:szCs w:val="4"/>
                        </w:rPr>
                      </w:pPr>
                    </w:p>
                    <w:p w:rsidR="009C56BF" w:rsidRDefault="009C56BF">
                      <w:pPr>
                        <w:pStyle w:val="Obsahrmce"/>
                        <w:spacing w:after="0" w:line="240" w:lineRule="auto"/>
                        <w:jc w:val="both"/>
                        <w:rPr>
                          <w:color w:val="000000"/>
                          <w:sz w:val="21"/>
                          <w:szCs w:val="21"/>
                        </w:rPr>
                      </w:pPr>
                      <w:r>
                        <w:rPr>
                          <w:b/>
                          <w:color w:val="000000"/>
                          <w:sz w:val="21"/>
                          <w:szCs w:val="21"/>
                        </w:rPr>
                        <w:t>Dle KDIGO 2021</w:t>
                      </w:r>
                      <w:r>
                        <w:rPr>
                          <w:color w:val="000000"/>
                          <w:sz w:val="21"/>
                          <w:szCs w:val="21"/>
                        </w:rPr>
                        <w:t xml:space="preserve"> (viz Přílohu č. 13) </w:t>
                      </w:r>
                      <w:r>
                        <w:rPr>
                          <w:b/>
                          <w:color w:val="000000"/>
                          <w:sz w:val="21"/>
                          <w:szCs w:val="21"/>
                        </w:rPr>
                        <w:t xml:space="preserve">je </w:t>
                      </w:r>
                      <w:r>
                        <w:rPr>
                          <w:b/>
                          <w:color w:val="000000"/>
                          <w:sz w:val="21"/>
                          <w:szCs w:val="21"/>
                          <w:u w:val="single"/>
                        </w:rPr>
                        <w:t>snížení proteinurie</w:t>
                      </w:r>
                      <w:r>
                        <w:rPr>
                          <w:color w:val="000000"/>
                          <w:sz w:val="21"/>
                          <w:szCs w:val="21"/>
                        </w:rPr>
                        <w:t xml:space="preserve"> (viz níže pozn. 10 a 83) </w:t>
                      </w:r>
                      <w:r>
                        <w:rPr>
                          <w:b/>
                          <w:color w:val="000000"/>
                          <w:sz w:val="21"/>
                          <w:szCs w:val="21"/>
                          <w:u w:val="single"/>
                        </w:rPr>
                        <w:t>pod 1 g/den tzv. zástupným („surrogate“) ukazatelem zlepšení renálních funkcí u IgAN</w:t>
                      </w:r>
                      <w:r>
                        <w:rPr>
                          <w:b/>
                          <w:color w:val="000000"/>
                          <w:sz w:val="21"/>
                          <w:szCs w:val="21"/>
                        </w:rPr>
                        <w:t xml:space="preserve"> a snížení pod 1 g/den je tedy rozumným léčebným cílem</w:t>
                      </w:r>
                      <w:r>
                        <w:rPr>
                          <w:b/>
                          <w:color w:val="000000"/>
                          <w:sz w:val="21"/>
                          <w:szCs w:val="21"/>
                          <w:vertAlign w:val="superscript"/>
                        </w:rPr>
                        <w:t>76</w:t>
                      </w:r>
                      <w:r>
                        <w:rPr>
                          <w:b/>
                          <w:color w:val="000000"/>
                          <w:sz w:val="21"/>
                          <w:szCs w:val="21"/>
                        </w:rPr>
                        <w:t>, dle UpToDate</w:t>
                      </w:r>
                      <w:r>
                        <w:rPr>
                          <w:b/>
                          <w:color w:val="000000"/>
                          <w:sz w:val="21"/>
                          <w:szCs w:val="21"/>
                          <w:vertAlign w:val="superscript"/>
                        </w:rPr>
                        <w:t xml:space="preserve">82 </w:t>
                      </w:r>
                      <w:r>
                        <w:rPr>
                          <w:b/>
                          <w:color w:val="000000"/>
                          <w:sz w:val="21"/>
                          <w:szCs w:val="21"/>
                        </w:rPr>
                        <w:t>bychom u všech dospělých pacientů s IgAN měli usilovat o snížení proteinurie na méně než 1 g/den a pokud možno až na méně než 0,5 g/den</w:t>
                      </w:r>
                      <w:r>
                        <w:rPr>
                          <w:color w:val="000000"/>
                          <w:sz w:val="21"/>
                          <w:szCs w:val="21"/>
                        </w:rPr>
                        <w:t xml:space="preserve"> (viz podrobněji níže pozn. 89). </w:t>
                      </w:r>
                      <w:r>
                        <w:rPr>
                          <w:b/>
                          <w:color w:val="000000"/>
                          <w:sz w:val="21"/>
                          <w:szCs w:val="21"/>
                        </w:rPr>
                        <w:t>UpToDate</w:t>
                      </w:r>
                      <w:r>
                        <w:rPr>
                          <w:b/>
                          <w:color w:val="000000"/>
                          <w:sz w:val="21"/>
                          <w:szCs w:val="21"/>
                          <w:vertAlign w:val="superscript"/>
                        </w:rPr>
                        <w:t xml:space="preserve">82 </w:t>
                      </w:r>
                      <w:r>
                        <w:rPr>
                          <w:b/>
                          <w:color w:val="000000"/>
                          <w:sz w:val="21"/>
                          <w:szCs w:val="21"/>
                        </w:rPr>
                        <w:t xml:space="preserve">uvádí také další léčebný cíl, a to vymizení mikroskopické hematurie </w:t>
                      </w:r>
                      <w:r>
                        <w:rPr>
                          <w:color w:val="000000"/>
                          <w:sz w:val="21"/>
                          <w:szCs w:val="21"/>
                        </w:rPr>
                        <w:t xml:space="preserve">(viz níže pozn. 62) </w:t>
                      </w:r>
                      <w:r>
                        <w:rPr>
                          <w:b/>
                          <w:color w:val="000000"/>
                          <w:sz w:val="21"/>
                          <w:szCs w:val="21"/>
                        </w:rPr>
                        <w:t>u všech pacientů s IgAN</w:t>
                      </w:r>
                      <w:r>
                        <w:rPr>
                          <w:color w:val="000000"/>
                          <w:sz w:val="21"/>
                          <w:szCs w:val="21"/>
                        </w:rPr>
                        <w:t>, protože perzistující hematurie byla spojena s progresivním onemocněním a její eliminace byla spojena se zlepšenými výsledky funkce ledvin (CAVE! užitečnost izolované hematurie jako náhradního markeru pro účinnost léčby nezávislou na proteinurii nebo eGFR však nebyla prokázána!)</w:t>
                      </w:r>
                      <w:r>
                        <w:rPr>
                          <w:color w:val="000000"/>
                          <w:sz w:val="21"/>
                          <w:szCs w:val="21"/>
                          <w:vertAlign w:val="superscript"/>
                        </w:rPr>
                        <w:t>82</w:t>
                      </w:r>
                      <w:r>
                        <w:rPr>
                          <w:color w:val="000000"/>
                          <w:sz w:val="21"/>
                          <w:szCs w:val="21"/>
                        </w:rPr>
                        <w:t>.</w:t>
                      </w:r>
                    </w:p>
                  </w:txbxContent>
                </v:textbox>
                <w10:wrap anchorx="margin"/>
              </v:shape>
            </w:pict>
          </mc:Fallback>
        </mc:AlternateContent>
      </w:r>
    </w:p>
    <w:p w:rsidR="00033807" w:rsidRDefault="00033807">
      <w:pPr>
        <w:spacing w:after="0"/>
        <w:jc w:val="both"/>
        <w:rPr>
          <w:b/>
        </w:rPr>
      </w:pPr>
    </w:p>
    <w:p w:rsidR="00033807" w:rsidRDefault="00033807">
      <w:pPr>
        <w:spacing w:after="0"/>
        <w:jc w:val="both"/>
        <w:rPr>
          <w:b/>
        </w:rPr>
      </w:pPr>
    </w:p>
    <w:p w:rsidR="00033807" w:rsidRDefault="00033807">
      <w:pPr>
        <w:spacing w:after="0"/>
        <w:jc w:val="both"/>
        <w:rPr>
          <w:b/>
        </w:rPr>
      </w:pPr>
    </w:p>
    <w:p w:rsidR="00033807" w:rsidRDefault="00033807">
      <w:pPr>
        <w:spacing w:after="0"/>
        <w:jc w:val="both"/>
        <w:rPr>
          <w:b/>
        </w:rPr>
      </w:pPr>
    </w:p>
    <w:p w:rsidR="00033807" w:rsidRDefault="00033807">
      <w:pPr>
        <w:spacing w:after="0"/>
        <w:jc w:val="both"/>
        <w:rPr>
          <w:b/>
        </w:rPr>
      </w:pPr>
    </w:p>
    <w:p w:rsidR="00033807" w:rsidRDefault="00033807">
      <w:pPr>
        <w:spacing w:after="0"/>
        <w:jc w:val="both"/>
        <w:rPr>
          <w:b/>
        </w:rPr>
      </w:pPr>
    </w:p>
    <w:p w:rsidR="00033807" w:rsidRDefault="00033807">
      <w:pPr>
        <w:spacing w:after="0"/>
        <w:jc w:val="both"/>
        <w:rPr>
          <w:b/>
        </w:rPr>
      </w:pPr>
    </w:p>
    <w:p w:rsidR="00033807" w:rsidRDefault="00033807">
      <w:pPr>
        <w:spacing w:after="0"/>
        <w:jc w:val="both"/>
        <w:rPr>
          <w:b/>
        </w:rPr>
      </w:pPr>
    </w:p>
    <w:p w:rsidR="00033807" w:rsidRDefault="00033807">
      <w:pPr>
        <w:spacing w:after="0"/>
        <w:jc w:val="both"/>
        <w:rPr>
          <w:b/>
        </w:rPr>
      </w:pPr>
    </w:p>
    <w:p w:rsidR="00033807" w:rsidRDefault="00033807">
      <w:pPr>
        <w:spacing w:after="0"/>
        <w:jc w:val="both"/>
        <w:rPr>
          <w:b/>
        </w:rPr>
      </w:pPr>
    </w:p>
    <w:p w:rsidR="00033807" w:rsidRDefault="00033807">
      <w:pPr>
        <w:spacing w:after="0"/>
        <w:jc w:val="both"/>
        <w:rPr>
          <w:b/>
        </w:rPr>
      </w:pPr>
    </w:p>
    <w:p w:rsidR="00033807" w:rsidRDefault="00033807">
      <w:pPr>
        <w:spacing w:after="0"/>
        <w:jc w:val="both"/>
        <w:rPr>
          <w:b/>
        </w:rPr>
      </w:pPr>
    </w:p>
    <w:p w:rsidR="00033807" w:rsidRDefault="00033807">
      <w:pPr>
        <w:spacing w:after="0"/>
        <w:jc w:val="both"/>
        <w:rPr>
          <w:b/>
        </w:rPr>
      </w:pPr>
    </w:p>
    <w:p w:rsidR="00033807" w:rsidRDefault="00033807">
      <w:pPr>
        <w:spacing w:after="0"/>
        <w:jc w:val="both"/>
        <w:rPr>
          <w:b/>
        </w:rPr>
      </w:pPr>
    </w:p>
    <w:p w:rsidR="006B1549" w:rsidRPr="006B1549" w:rsidRDefault="006B1549">
      <w:pPr>
        <w:spacing w:after="0"/>
        <w:jc w:val="both"/>
        <w:rPr>
          <w:b/>
          <w:sz w:val="10"/>
          <w:szCs w:val="10"/>
          <w:highlight w:val="cyan"/>
        </w:rPr>
      </w:pPr>
    </w:p>
    <w:p w:rsidR="00033807" w:rsidRDefault="00C071AF">
      <w:pPr>
        <w:spacing w:after="0"/>
        <w:jc w:val="both"/>
        <w:rPr>
          <w:b/>
          <w:sz w:val="21"/>
          <w:szCs w:val="21"/>
        </w:rPr>
      </w:pPr>
      <w:r>
        <w:rPr>
          <w:b/>
          <w:sz w:val="21"/>
          <w:szCs w:val="21"/>
          <w:highlight w:val="cyan"/>
        </w:rPr>
        <w:t xml:space="preserve">Dle UpToDate může být u pacientů, kteří mají klinické rizikové faktory pro progresi onemocnění </w:t>
      </w:r>
      <w:r>
        <w:rPr>
          <w:sz w:val="21"/>
          <w:szCs w:val="21"/>
          <w:highlight w:val="cyan"/>
        </w:rPr>
        <w:t>(např. proteinurie ≥1 g/den – viz podrobněji výše uvedené rizikové faktory pro progresivní onemocnění ledvin u IgAN v odstavci „</w:t>
      </w:r>
      <w:r>
        <w:rPr>
          <w:i/>
          <w:sz w:val="21"/>
          <w:szCs w:val="21"/>
          <w:highlight w:val="cyan"/>
        </w:rPr>
        <w:t>Stručná charakteristika onemocnění</w:t>
      </w:r>
      <w:r>
        <w:rPr>
          <w:sz w:val="21"/>
          <w:szCs w:val="21"/>
          <w:highlight w:val="cyan"/>
        </w:rPr>
        <w:t>“ a níže v pozn. 86)</w:t>
      </w:r>
      <w:r>
        <w:rPr>
          <w:b/>
          <w:sz w:val="21"/>
          <w:szCs w:val="21"/>
          <w:highlight w:val="cyan"/>
        </w:rPr>
        <w:t xml:space="preserve">, může být přítomnost aktivních proliferativních lézí </w:t>
      </w:r>
      <w:r>
        <w:rPr>
          <w:sz w:val="21"/>
          <w:szCs w:val="21"/>
          <w:highlight w:val="cyan"/>
        </w:rPr>
        <w:t>(tj. vyšší skóre M a/nebo E – viz níže pozn. 53)</w:t>
      </w:r>
      <w:r>
        <w:rPr>
          <w:b/>
          <w:sz w:val="21"/>
          <w:szCs w:val="21"/>
          <w:highlight w:val="cyan"/>
        </w:rPr>
        <w:t xml:space="preserve"> nebo srpků </w:t>
      </w:r>
      <w:r>
        <w:rPr>
          <w:sz w:val="21"/>
          <w:szCs w:val="21"/>
          <w:highlight w:val="cyan"/>
        </w:rPr>
        <w:t>(tj. vyšší skóre C – viz níže pozn. 53 a 54)</w:t>
      </w:r>
      <w:r>
        <w:rPr>
          <w:b/>
          <w:sz w:val="21"/>
          <w:szCs w:val="21"/>
          <w:highlight w:val="cyan"/>
        </w:rPr>
        <w:t xml:space="preserve"> indikací k agresivnější léčbě (viz také níže pozn. 9),</w:t>
      </w:r>
      <w:r>
        <w:rPr>
          <w:b/>
          <w:sz w:val="21"/>
          <w:szCs w:val="21"/>
        </w:rPr>
        <w:t xml:space="preserve"> naproti tomu u pacientů s více chronickými lézemi </w:t>
      </w:r>
      <w:r>
        <w:rPr>
          <w:sz w:val="21"/>
          <w:szCs w:val="21"/>
        </w:rPr>
        <w:t xml:space="preserve">(tj. s vyšším T skóre – viz níže pozn. 53) </w:t>
      </w:r>
      <w:r>
        <w:rPr>
          <w:b/>
          <w:sz w:val="21"/>
          <w:szCs w:val="21"/>
        </w:rPr>
        <w:t>je méně pravděpodobné, že budou reagovat na imunosupresivní léčbu</w:t>
      </w:r>
      <w:r>
        <w:rPr>
          <w:sz w:val="21"/>
          <w:szCs w:val="21"/>
          <w:vertAlign w:val="superscript"/>
        </w:rPr>
        <w:t>82</w:t>
      </w:r>
      <w:r>
        <w:rPr>
          <w:b/>
          <w:sz w:val="21"/>
          <w:szCs w:val="21"/>
        </w:rPr>
        <w:t>.</w:t>
      </w:r>
    </w:p>
    <w:p w:rsidR="00033807" w:rsidRDefault="00C071AF">
      <w:pPr>
        <w:spacing w:after="0"/>
        <w:jc w:val="both"/>
        <w:rPr>
          <w:sz w:val="21"/>
          <w:szCs w:val="21"/>
          <w:vertAlign w:val="superscript"/>
        </w:rPr>
      </w:pPr>
      <w:r>
        <w:rPr>
          <w:sz w:val="21"/>
          <w:szCs w:val="21"/>
          <w:highlight w:val="cyan"/>
        </w:rPr>
        <w:t xml:space="preserve">IgAN je obvykle chronickým onemocněním ledvin („CKD“ – viz níže pozn. 87) s pomalým, ale vytrvalým poškozením nefronu v důsledku zánětu a fibrózy. </w:t>
      </w:r>
      <w:r>
        <w:rPr>
          <w:sz w:val="21"/>
          <w:szCs w:val="21"/>
          <w:highlight w:val="cyan"/>
          <w:u w:val="single"/>
        </w:rPr>
        <w:t>Jako u každého jiného CKD zůstává základním kamenem terapie podpůrná péče zaměřená na snížení kardiovaskulárního rizika, snížení glomerulárního tlaku a vyrovnání tubulárních následků proteinurie</w:t>
      </w:r>
      <w:r>
        <w:rPr>
          <w:sz w:val="21"/>
          <w:szCs w:val="21"/>
          <w:highlight w:val="cyan"/>
        </w:rPr>
        <w:t xml:space="preserve"> - optimální podpůrná péče spočívá v úpravě životního stylu s odvykáním kouření, dietním omezením sodíku a bílkovin, kontrolou hmotnosti a cvičením, statiny u pacientů s hypercholesterolemií, kontrolou krevního tlaku a snížení proteinurie </w:t>
      </w:r>
      <w:r>
        <w:rPr>
          <w:sz w:val="21"/>
          <w:szCs w:val="21"/>
          <w:highlight w:val="cyan"/>
          <w:u w:val="single"/>
        </w:rPr>
        <w:t>s maximálně tolerovanou dávkou blokátoru renin-angiotenzinového systému</w:t>
      </w:r>
      <w:r>
        <w:rPr>
          <w:sz w:val="21"/>
          <w:szCs w:val="21"/>
          <w:highlight w:val="cyan"/>
        </w:rPr>
        <w:t xml:space="preserve"> (tzv. RAASi – viz níže pozn. 92).</w:t>
      </w:r>
      <w:r>
        <w:rPr>
          <w:sz w:val="21"/>
          <w:szCs w:val="21"/>
          <w:highlight w:val="cyan"/>
          <w:vertAlign w:val="superscript"/>
        </w:rPr>
        <w:t>104</w:t>
      </w:r>
    </w:p>
    <w:p w:rsidR="00033807" w:rsidRDefault="00033807">
      <w:pPr>
        <w:spacing w:after="0"/>
        <w:jc w:val="both"/>
        <w:rPr>
          <w:sz w:val="4"/>
          <w:szCs w:val="4"/>
        </w:rPr>
      </w:pPr>
    </w:p>
    <w:p w:rsidR="00033807" w:rsidRDefault="00C071AF">
      <w:pPr>
        <w:spacing w:after="0"/>
        <w:jc w:val="both"/>
        <w:rPr>
          <w:sz w:val="21"/>
          <w:szCs w:val="21"/>
        </w:rPr>
      </w:pPr>
      <w:r>
        <w:rPr>
          <w:b/>
          <w:sz w:val="21"/>
          <w:szCs w:val="21"/>
          <w:u w:val="single"/>
        </w:rPr>
        <w:t>Dle doporučení KDIGO 2021</w:t>
      </w:r>
      <w:r>
        <w:rPr>
          <w:sz w:val="21"/>
          <w:szCs w:val="21"/>
          <w:u w:val="single"/>
          <w:vertAlign w:val="superscript"/>
        </w:rPr>
        <w:t>76</w:t>
      </w:r>
      <w:r>
        <w:rPr>
          <w:b/>
          <w:sz w:val="21"/>
          <w:szCs w:val="21"/>
          <w:u w:val="single"/>
        </w:rPr>
        <w:t xml:space="preserve"> optimalizovaná podpůrná péče u pacienta s IgAN zahrnuje (viz Příloha č. 13)</w:t>
      </w:r>
      <w:r>
        <w:rPr>
          <w:sz w:val="21"/>
          <w:szCs w:val="21"/>
        </w:rPr>
        <w:t>:</w:t>
      </w:r>
    </w:p>
    <w:p w:rsidR="00033807" w:rsidRDefault="00C071AF">
      <w:pPr>
        <w:spacing w:after="0"/>
        <w:jc w:val="both"/>
        <w:rPr>
          <w:sz w:val="21"/>
          <w:szCs w:val="21"/>
        </w:rPr>
      </w:pPr>
      <w:r>
        <w:rPr>
          <w:sz w:val="21"/>
          <w:szCs w:val="21"/>
        </w:rPr>
        <w:t>- blokátory renin-angiotenzinového systému („RAASi“, tj. ACEi nebo ARB) v maximální tolerované nebo povolené dávce (</w:t>
      </w:r>
      <w:r>
        <w:rPr>
          <w:b/>
          <w:sz w:val="21"/>
          <w:szCs w:val="21"/>
        </w:rPr>
        <w:t>u pacientů s proteinurií &gt;0,5 g/den by měly být použity bez ohledu na přítomnost hypertenze – CAVE! viz pozn. 92</w:t>
      </w:r>
      <w:r>
        <w:rPr>
          <w:sz w:val="21"/>
          <w:szCs w:val="21"/>
        </w:rPr>
        <w:t>!),</w:t>
      </w:r>
    </w:p>
    <w:p w:rsidR="00033807" w:rsidRDefault="00C071AF">
      <w:pPr>
        <w:spacing w:after="0"/>
        <w:jc w:val="both"/>
        <w:rPr>
          <w:sz w:val="21"/>
          <w:szCs w:val="21"/>
        </w:rPr>
      </w:pPr>
      <w:r>
        <w:rPr>
          <w:sz w:val="21"/>
          <w:szCs w:val="21"/>
        </w:rPr>
        <w:t>- kontrolu krevního tlaku,</w:t>
      </w:r>
    </w:p>
    <w:p w:rsidR="00033807" w:rsidRDefault="00C071AF">
      <w:pPr>
        <w:spacing w:after="0"/>
        <w:jc w:val="both"/>
        <w:rPr>
          <w:sz w:val="21"/>
          <w:szCs w:val="21"/>
        </w:rPr>
      </w:pPr>
      <w:r>
        <w:rPr>
          <w:sz w:val="21"/>
          <w:szCs w:val="21"/>
        </w:rPr>
        <w:t>- minimalizaci kardiovaskulárního rizika,</w:t>
      </w:r>
    </w:p>
    <w:p w:rsidR="00033807" w:rsidRDefault="00C071AF">
      <w:pPr>
        <w:spacing w:after="0"/>
        <w:jc w:val="both"/>
        <w:rPr>
          <w:sz w:val="21"/>
          <w:szCs w:val="21"/>
        </w:rPr>
      </w:pPr>
      <w:r>
        <w:rPr>
          <w:sz w:val="21"/>
          <w:szCs w:val="21"/>
        </w:rPr>
        <w:t>- úpravu životního stylu (dietní opatření-restrikce sodíku, ukončení kouření, kontrola tělesné hmotnosti, cvičení)</w:t>
      </w:r>
      <w:r>
        <w:rPr>
          <w:sz w:val="21"/>
          <w:szCs w:val="21"/>
          <w:vertAlign w:val="superscript"/>
        </w:rPr>
        <w:t>28</w:t>
      </w:r>
      <w:r>
        <w:rPr>
          <w:sz w:val="21"/>
          <w:szCs w:val="21"/>
        </w:rPr>
        <w:t>.</w:t>
      </w:r>
    </w:p>
    <w:p w:rsidR="00033807" w:rsidRDefault="00033807">
      <w:pPr>
        <w:spacing w:after="0"/>
        <w:jc w:val="both"/>
        <w:rPr>
          <w:sz w:val="4"/>
          <w:szCs w:val="4"/>
        </w:rPr>
      </w:pPr>
    </w:p>
    <w:p w:rsidR="00033807" w:rsidRDefault="00C071AF">
      <w:pPr>
        <w:spacing w:after="0"/>
        <w:jc w:val="both"/>
        <w:rPr>
          <w:rFonts w:cstheme="minorHAnsi"/>
          <w:b/>
          <w:color w:val="FF0000"/>
          <w:sz w:val="21"/>
          <w:szCs w:val="21"/>
          <w:u w:val="single"/>
        </w:rPr>
      </w:pPr>
      <w:r>
        <w:rPr>
          <w:rFonts w:cstheme="minorHAnsi"/>
          <w:b/>
          <w:color w:val="FF0000"/>
          <w:sz w:val="21"/>
          <w:szCs w:val="21"/>
          <w:u w:val="single"/>
        </w:rPr>
        <w:t xml:space="preserve">CAVE! důležitost optimální podpůrné léčby (včetně maximálně tolerovaných dávek RAASi) vyplývá např. na skutečnosti, že více než 1/3 pacientů, kteří podstoupili optimalizaci podpůrné péče a RAASi během “run-in“ fáze studie STOP-IgAN s kortikoidem </w:t>
      </w:r>
      <w:r>
        <w:rPr>
          <w:rFonts w:cstheme="minorHAnsi"/>
          <w:b/>
          <w:color w:val="FF0000"/>
          <w:sz w:val="21"/>
          <w:szCs w:val="21"/>
        </w:rPr>
        <w:t xml:space="preserve">(viz níže pozn. 29 a Přílohy č. 22 a </w:t>
      </w:r>
      <w:proofErr w:type="gramStart"/>
      <w:r>
        <w:rPr>
          <w:rFonts w:cstheme="minorHAnsi"/>
          <w:b/>
          <w:color w:val="FF0000"/>
          <w:sz w:val="21"/>
          <w:szCs w:val="21"/>
        </w:rPr>
        <w:t>23  )</w:t>
      </w:r>
      <w:proofErr w:type="gramEnd"/>
      <w:r>
        <w:rPr>
          <w:rFonts w:cstheme="minorHAnsi"/>
          <w:b/>
          <w:color w:val="FF0000"/>
          <w:sz w:val="21"/>
          <w:szCs w:val="21"/>
          <w:u w:val="single"/>
        </w:rPr>
        <w:t>, měla podstatné snížení hodnoty proteinurie, takže již nebyli způsobilí pro následnou randomizaci!</w:t>
      </w:r>
      <w:r>
        <w:rPr>
          <w:rFonts w:cstheme="minorHAnsi"/>
          <w:b/>
          <w:color w:val="FF0000"/>
          <w:sz w:val="21"/>
          <w:szCs w:val="21"/>
          <w:vertAlign w:val="superscript"/>
        </w:rPr>
        <w:t>104</w:t>
      </w:r>
    </w:p>
    <w:p w:rsidR="00033807" w:rsidRDefault="00033807">
      <w:pPr>
        <w:spacing w:after="0"/>
        <w:jc w:val="both"/>
        <w:rPr>
          <w:sz w:val="6"/>
          <w:szCs w:val="6"/>
          <w:u w:val="single"/>
        </w:rPr>
      </w:pPr>
    </w:p>
    <w:p w:rsidR="00033807" w:rsidRDefault="00C071AF">
      <w:pPr>
        <w:spacing w:after="0"/>
        <w:jc w:val="both"/>
        <w:rPr>
          <w:sz w:val="21"/>
          <w:szCs w:val="21"/>
        </w:rPr>
      </w:pPr>
      <w:r>
        <w:rPr>
          <w:sz w:val="21"/>
          <w:szCs w:val="21"/>
          <w:u w:val="single"/>
        </w:rPr>
        <w:t>V době publikování doporučení KDIGO v roce 2021 ještě nebyly jimi hodnoceny další skupiny léčiv (nyní už) použitelné také v rámci podpůrné péči, a to</w:t>
      </w:r>
      <w:r>
        <w:rPr>
          <w:sz w:val="21"/>
          <w:szCs w:val="21"/>
        </w:rPr>
        <w:t xml:space="preserve">: (1) inhibitory sodno-glukózového kotransportéru 2 (dále jen „SGLT2i“ – viz níže pozn. 93), (2) duální antagonista receptoru pro endotelin a angiotenzin (dále jen „ETAB/ARB“ – aktuálně sparsentan (viz níže pozn. 94)). </w:t>
      </w:r>
      <w:r>
        <w:rPr>
          <w:b/>
          <w:sz w:val="21"/>
          <w:szCs w:val="21"/>
        </w:rPr>
        <w:t>Např. UpToDate</w:t>
      </w:r>
      <w:r>
        <w:rPr>
          <w:b/>
          <w:sz w:val="21"/>
          <w:szCs w:val="21"/>
          <w:vertAlign w:val="superscript"/>
        </w:rPr>
        <w:t>82</w:t>
      </w:r>
      <w:r>
        <w:rPr>
          <w:b/>
          <w:sz w:val="21"/>
          <w:szCs w:val="21"/>
        </w:rPr>
        <w:t xml:space="preserve"> již doporučuje, že pacienti s perzistující proteinurií (viz níže pozn. 10) i přes léčbu ACEi či ARB mohou být také léčeni přidáním SGLT2i (zejména ty s eGFR ≥20 nebo ≥30 ml/min/1,</w:t>
      </w:r>
      <w:proofErr w:type="gramStart"/>
      <w:r>
        <w:rPr>
          <w:b/>
          <w:sz w:val="21"/>
          <w:szCs w:val="21"/>
        </w:rPr>
        <w:t>73m</w:t>
      </w:r>
      <w:r>
        <w:rPr>
          <w:b/>
          <w:sz w:val="21"/>
          <w:szCs w:val="21"/>
          <w:vertAlign w:val="superscript"/>
        </w:rPr>
        <w:t xml:space="preserve">2 </w:t>
      </w:r>
      <w:r>
        <w:rPr>
          <w:sz w:val="21"/>
          <w:szCs w:val="21"/>
        </w:rPr>
        <w:t>- viz</w:t>
      </w:r>
      <w:proofErr w:type="gramEnd"/>
      <w:r>
        <w:rPr>
          <w:sz w:val="21"/>
          <w:szCs w:val="21"/>
        </w:rPr>
        <w:t xml:space="preserve"> níže pozn. 93</w:t>
      </w:r>
      <w:r>
        <w:rPr>
          <w:b/>
          <w:sz w:val="21"/>
          <w:szCs w:val="21"/>
        </w:rPr>
        <w:t>) nebo alternativně převedením z ACEi nebo ARB na sparsentan</w:t>
      </w:r>
      <w:r>
        <w:rPr>
          <w:b/>
          <w:sz w:val="21"/>
          <w:szCs w:val="21"/>
          <w:vertAlign w:val="superscript"/>
        </w:rPr>
        <w:t>82</w:t>
      </w:r>
      <w:r>
        <w:rPr>
          <w:sz w:val="21"/>
          <w:szCs w:val="21"/>
        </w:rPr>
        <w:t>. Doporučení KDIGO z roku 2021</w:t>
      </w:r>
      <w:r>
        <w:rPr>
          <w:sz w:val="21"/>
          <w:szCs w:val="21"/>
          <w:vertAlign w:val="superscript"/>
        </w:rPr>
        <w:t>76</w:t>
      </w:r>
      <w:r>
        <w:rPr>
          <w:sz w:val="21"/>
          <w:szCs w:val="21"/>
        </w:rPr>
        <w:t xml:space="preserve"> uvádí LP FILSPARI (tj. sparsentan – viz níže pozn. 94) jen v rámci probíhajících klinických studií!</w:t>
      </w:r>
    </w:p>
    <w:p w:rsidR="00033807" w:rsidRPr="009C56BF" w:rsidRDefault="009C56BF">
      <w:pPr>
        <w:spacing w:after="0"/>
        <w:jc w:val="both"/>
        <w:rPr>
          <w:b/>
          <w:sz w:val="21"/>
          <w:szCs w:val="21"/>
        </w:rPr>
      </w:pPr>
      <w:r>
        <w:rPr>
          <w:b/>
          <w:sz w:val="21"/>
          <w:szCs w:val="21"/>
        </w:rPr>
        <w:t xml:space="preserve"> </w:t>
      </w:r>
      <w:r w:rsidR="00C071AF">
        <w:rPr>
          <w:rFonts w:cstheme="minorHAnsi"/>
          <w:u w:val="single"/>
        </w:rPr>
        <w:t>Níže je uveden seznam podpůrné péče u IgAN publikovaný v roce 2023 (dle zdroje uvedeného níže pod pozn. 45):</w:t>
      </w:r>
    </w:p>
    <w:p w:rsidR="00033807" w:rsidRDefault="00C071AF" w:rsidP="00D7147F">
      <w:pPr>
        <w:spacing w:after="0"/>
        <w:ind w:left="227"/>
        <w:jc w:val="both"/>
      </w:pPr>
      <w:r>
        <w:rPr>
          <w:noProof/>
          <w:lang w:eastAsia="cs-CZ"/>
        </w:rPr>
        <w:drawing>
          <wp:inline distT="0" distB="0" distL="0" distR="0">
            <wp:extent cx="6507678" cy="3728852"/>
            <wp:effectExtent l="0" t="0" r="0" b="0"/>
            <wp:docPr id="8"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135"/>
                    <pic:cNvPicPr>
                      <a:picLocks noChangeAspect="1" noChangeArrowheads="1"/>
                    </pic:cNvPicPr>
                  </pic:nvPicPr>
                  <pic:blipFill>
                    <a:blip r:embed="rId8"/>
                    <a:stretch>
                      <a:fillRect/>
                    </a:stretch>
                  </pic:blipFill>
                  <pic:spPr bwMode="auto">
                    <a:xfrm>
                      <a:off x="0" y="0"/>
                      <a:ext cx="6508154" cy="3729125"/>
                    </a:xfrm>
                    <a:prstGeom prst="rect">
                      <a:avLst/>
                    </a:prstGeom>
                  </pic:spPr>
                </pic:pic>
              </a:graphicData>
            </a:graphic>
          </wp:inline>
        </w:drawing>
      </w:r>
    </w:p>
    <w:p w:rsidR="00033807" w:rsidRDefault="00033807">
      <w:pPr>
        <w:spacing w:after="0"/>
        <w:jc w:val="both"/>
        <w:rPr>
          <w:sz w:val="6"/>
          <w:szCs w:val="6"/>
        </w:rPr>
      </w:pPr>
    </w:p>
    <w:p w:rsidR="00033807" w:rsidRDefault="00C071AF">
      <w:pPr>
        <w:spacing w:after="0"/>
        <w:jc w:val="both"/>
        <w:rPr>
          <w:sz w:val="21"/>
          <w:szCs w:val="21"/>
        </w:rPr>
      </w:pPr>
      <w:r>
        <w:rPr>
          <w:sz w:val="21"/>
          <w:szCs w:val="21"/>
        </w:rPr>
        <w:t>Pacienti s IgA nefropatií, kteří mají malou nebo žádnou proteinurii (tj. méně než 500 mg/den), mají nízké riziko progrese onemocnění – nicméně</w:t>
      </w:r>
      <w:r w:rsidR="006B1549">
        <w:rPr>
          <w:sz w:val="21"/>
          <w:szCs w:val="21"/>
        </w:rPr>
        <w:t xml:space="preserve"> </w:t>
      </w:r>
      <w:r>
        <w:rPr>
          <w:sz w:val="21"/>
          <w:szCs w:val="21"/>
        </w:rPr>
        <w:t>z dlouhodobého hledisky se progresivní proteinurie a zhoršení funkce ledvin u podstatné části pacientů rozvine. U pacientů, u kterých se rozvine zjevná proteinurie a/nebo zvýšená koncentrace sérového kreatininu, je progrese do ESRD (viz níže pozn. 87) přibližně 15 – 25 % po 10 letech a 20 - 30 % po 20 letech - rychlost progrese je typicky pomalá, rychlost glomerulární filtrace často klesá jen o 1 až 3 ml/min za rok, což je změna, která není spojena se zvýšením koncentrace sérového kreatininu v krátkodobém horizontu, stabilní a normální koncentrace kreatininu v séru tedy nemusí nutně znamenat stabilní onemocnění!</w:t>
      </w:r>
      <w:r>
        <w:rPr>
          <w:sz w:val="21"/>
          <w:szCs w:val="21"/>
          <w:vertAlign w:val="superscript"/>
        </w:rPr>
        <w:t>82</w:t>
      </w:r>
    </w:p>
    <w:p w:rsidR="00033807" w:rsidRDefault="00C071AF">
      <w:pPr>
        <w:spacing w:after="0"/>
        <w:jc w:val="both"/>
        <w:rPr>
          <w:b/>
          <w:sz w:val="21"/>
          <w:szCs w:val="21"/>
        </w:rPr>
      </w:pPr>
      <w:r>
        <w:rPr>
          <w:b/>
          <w:sz w:val="21"/>
          <w:szCs w:val="21"/>
        </w:rPr>
        <w:t xml:space="preserve">Podpůrná péče by měla pokračovat minimálně 3 měsíce a ideálně 6 měsíců (pokud pacient nemá známky rychlé progrese onemocnění!) </w:t>
      </w:r>
      <w:r>
        <w:rPr>
          <w:sz w:val="21"/>
          <w:szCs w:val="21"/>
        </w:rPr>
        <w:t>- během tohoto období se doporučuje monitorovat proteinurii, sérový kreatinin (s výpočtem eGFR) a analýzu moči (k posouzení hematurie) každý 1 - 3 měsíce v závislosti na klinické závažnosti při diagnóze onemocnění IgAN</w:t>
      </w:r>
      <w:r>
        <w:rPr>
          <w:sz w:val="21"/>
          <w:szCs w:val="21"/>
          <w:vertAlign w:val="superscript"/>
        </w:rPr>
        <w:t>82</w:t>
      </w:r>
      <w:r>
        <w:rPr>
          <w:b/>
          <w:sz w:val="21"/>
          <w:szCs w:val="21"/>
        </w:rPr>
        <w:t xml:space="preserve">. </w:t>
      </w:r>
      <w:r>
        <w:rPr>
          <w:b/>
          <w:sz w:val="21"/>
          <w:szCs w:val="21"/>
          <w:u w:val="single"/>
        </w:rPr>
        <w:t xml:space="preserve">Po </w:t>
      </w:r>
      <w:proofErr w:type="gramStart"/>
      <w:r>
        <w:rPr>
          <w:b/>
          <w:sz w:val="21"/>
          <w:szCs w:val="21"/>
          <w:u w:val="single"/>
        </w:rPr>
        <w:t>3 - 6</w:t>
      </w:r>
      <w:proofErr w:type="gramEnd"/>
      <w:r>
        <w:rPr>
          <w:b/>
          <w:sz w:val="21"/>
          <w:szCs w:val="21"/>
          <w:u w:val="single"/>
        </w:rPr>
        <w:t xml:space="preserve"> měsících optimalizované podpůrné péče (nebo dříve, pokud má pacient známky nebo příznaky rychlé progrese onemocnění), UpToDate doporučuje rozdělit pacienty do kategorií rizika na základě posouzení proteinurie (viz níže pozn. 10)</w:t>
      </w:r>
      <w:r>
        <w:rPr>
          <w:b/>
          <w:sz w:val="21"/>
          <w:szCs w:val="21"/>
        </w:rPr>
        <w:t xml:space="preserve">: (1) vysoké riziko progrese ztráty funkce ledvin </w:t>
      </w:r>
      <w:r>
        <w:rPr>
          <w:sz w:val="21"/>
          <w:szCs w:val="21"/>
        </w:rPr>
        <w:t xml:space="preserve">(proteinurie setrvává na hodnotě 1 g/den a více – CAVE! </w:t>
      </w:r>
      <w:r>
        <w:rPr>
          <w:color w:val="000000"/>
          <w:sz w:val="21"/>
          <w:szCs w:val="21"/>
        </w:rPr>
        <w:t>dle KDIGO 2021</w:t>
      </w:r>
      <w:r>
        <w:rPr>
          <w:color w:val="000000"/>
          <w:sz w:val="21"/>
          <w:szCs w:val="21"/>
          <w:vertAlign w:val="superscript"/>
        </w:rPr>
        <w:t>76</w:t>
      </w:r>
      <w:r>
        <w:rPr>
          <w:color w:val="000000"/>
          <w:sz w:val="21"/>
          <w:szCs w:val="21"/>
        </w:rPr>
        <w:t xml:space="preserve"> je definováno vysoké riziko při proteinurii &gt;0,75–1 g/den navzdory ≥ 90 dnům optimalizované podpůrné péče! (viz bod 2.3.1 v Příloze č. 13)</w:t>
      </w:r>
      <w:r>
        <w:rPr>
          <w:sz w:val="21"/>
          <w:szCs w:val="21"/>
        </w:rPr>
        <w:t>)</w:t>
      </w:r>
      <w:r>
        <w:rPr>
          <w:b/>
          <w:sz w:val="21"/>
          <w:szCs w:val="21"/>
        </w:rPr>
        <w:t xml:space="preserve">, (2) nízké riziko </w:t>
      </w:r>
      <w:r>
        <w:rPr>
          <w:sz w:val="21"/>
          <w:szCs w:val="21"/>
        </w:rPr>
        <w:t>(proteinurie klesne pod 1 g/den)</w:t>
      </w:r>
      <w:r>
        <w:rPr>
          <w:sz w:val="21"/>
          <w:szCs w:val="21"/>
          <w:vertAlign w:val="superscript"/>
        </w:rPr>
        <w:t>82</w:t>
      </w:r>
      <w:r>
        <w:rPr>
          <w:b/>
          <w:sz w:val="21"/>
          <w:szCs w:val="21"/>
        </w:rPr>
        <w:t>.</w:t>
      </w:r>
    </w:p>
    <w:p w:rsidR="00033807" w:rsidRDefault="00C071AF">
      <w:pPr>
        <w:spacing w:after="0"/>
        <w:jc w:val="both"/>
        <w:rPr>
          <w:b/>
          <w:sz w:val="21"/>
          <w:szCs w:val="21"/>
        </w:rPr>
      </w:pPr>
      <w:r>
        <w:rPr>
          <w:b/>
          <w:sz w:val="21"/>
          <w:szCs w:val="21"/>
          <w:highlight w:val="cyan"/>
          <w:u w:val="single"/>
        </w:rPr>
        <w:t>Dle UpToDate</w:t>
      </w:r>
      <w:r>
        <w:rPr>
          <w:sz w:val="21"/>
          <w:szCs w:val="21"/>
          <w:highlight w:val="cyan"/>
          <w:u w:val="single"/>
          <w:vertAlign w:val="superscript"/>
        </w:rPr>
        <w:t>82</w:t>
      </w:r>
      <w:r>
        <w:rPr>
          <w:b/>
          <w:sz w:val="21"/>
          <w:szCs w:val="21"/>
          <w:highlight w:val="cyan"/>
          <w:u w:val="single"/>
        </w:rPr>
        <w:t xml:space="preserve"> mají pacienti s vysokým rizikem dostat k podpůrné léčbě také imunosupresivní léčbu (detaily viz níže v tomto odstavci)</w:t>
      </w:r>
      <w:r>
        <w:rPr>
          <w:b/>
          <w:sz w:val="21"/>
          <w:szCs w:val="21"/>
          <w:highlight w:val="cyan"/>
        </w:rPr>
        <w:t>, dle KDIGO 2021</w:t>
      </w:r>
      <w:r>
        <w:rPr>
          <w:b/>
          <w:sz w:val="21"/>
          <w:szCs w:val="21"/>
          <w:highlight w:val="cyan"/>
          <w:vertAlign w:val="superscript"/>
        </w:rPr>
        <w:t>76</w:t>
      </w:r>
      <w:r>
        <w:rPr>
          <w:b/>
          <w:sz w:val="21"/>
          <w:szCs w:val="21"/>
          <w:highlight w:val="cyan"/>
        </w:rPr>
        <w:t xml:space="preserve"> může být u těchto pacientů (pokud je nelze zařadit do klinické studie) zvážena 6-měsíční léčba glukokortikoidy</w:t>
      </w:r>
      <w:r>
        <w:rPr>
          <w:b/>
          <w:sz w:val="21"/>
          <w:szCs w:val="21"/>
          <w:highlight w:val="cyan"/>
          <w:vertAlign w:val="superscript"/>
        </w:rPr>
        <w:t>28</w:t>
      </w:r>
      <w:r>
        <w:rPr>
          <w:sz w:val="21"/>
          <w:szCs w:val="21"/>
          <w:highlight w:val="cyan"/>
        </w:rPr>
        <w:t>. Přínosy a rizika, zejména závažné infekce, léčby glukokortikoidy by měly být s pacienty diskutovány, obzvláště v případě pacientů s eGFR &lt;50 ml/min/1,73 m2, u kterých je riziko nežádoucích účinků ještě vyšší (viz podrobněji níže pozn. 91).</w:t>
      </w:r>
      <w:r>
        <w:rPr>
          <w:sz w:val="21"/>
          <w:szCs w:val="21"/>
        </w:rPr>
        <w:t xml:space="preserve"> </w:t>
      </w:r>
      <w:r>
        <w:rPr>
          <w:b/>
          <w:sz w:val="21"/>
          <w:szCs w:val="21"/>
          <w:highlight w:val="cyan"/>
        </w:rPr>
        <w:t>Někteří přispěvatelé UpToDate</w:t>
      </w:r>
      <w:r>
        <w:rPr>
          <w:b/>
          <w:sz w:val="21"/>
          <w:szCs w:val="21"/>
          <w:highlight w:val="cyan"/>
          <w:vertAlign w:val="superscript"/>
        </w:rPr>
        <w:t>82</w:t>
      </w:r>
      <w:r>
        <w:rPr>
          <w:b/>
          <w:sz w:val="21"/>
          <w:szCs w:val="21"/>
          <w:highlight w:val="cyan"/>
        </w:rPr>
        <w:t xml:space="preserve"> považují přítomnost perzistující mikroskopické hematurie za další faktor podporující použití imunosupresivní terapie</w:t>
      </w:r>
      <w:r>
        <w:rPr>
          <w:b/>
          <w:sz w:val="21"/>
          <w:szCs w:val="21"/>
          <w:highlight w:val="cyan"/>
          <w:vertAlign w:val="superscript"/>
        </w:rPr>
        <w:t>82</w:t>
      </w:r>
      <w:r>
        <w:rPr>
          <w:b/>
          <w:sz w:val="21"/>
          <w:szCs w:val="21"/>
          <w:highlight w:val="cyan"/>
        </w:rPr>
        <w:t xml:space="preserve">. U některých pacientů s proteinurií &lt; 1 g/den a významnou mikroskopickou hematurií </w:t>
      </w:r>
      <w:r>
        <w:rPr>
          <w:sz w:val="21"/>
          <w:szCs w:val="21"/>
          <w:highlight w:val="cyan"/>
        </w:rPr>
        <w:t>(např. 2+ nebo vyšší na proužku moči – viz níže pozn. 62)</w:t>
      </w:r>
      <w:r>
        <w:rPr>
          <w:b/>
          <w:sz w:val="21"/>
          <w:szCs w:val="21"/>
          <w:highlight w:val="cyan"/>
        </w:rPr>
        <w:t xml:space="preserve"> se může stále vyvinout progresivní ztráta funkce ledvin, zvláště pokud biopsie ledvin prokáže aktivní zánět </w:t>
      </w:r>
      <w:r>
        <w:rPr>
          <w:sz w:val="21"/>
          <w:szCs w:val="21"/>
          <w:highlight w:val="cyan"/>
        </w:rPr>
        <w:t>(např. Oxford klasifikace M1, E1, S0, T0, C1 – viz níže pozn. 53)</w:t>
      </w:r>
      <w:r>
        <w:rPr>
          <w:b/>
          <w:sz w:val="21"/>
          <w:szCs w:val="21"/>
          <w:highlight w:val="cyan"/>
        </w:rPr>
        <w:t xml:space="preserve"> – dle UpToDate u takových pacientů může být také indikována imunosupresivní léčba</w:t>
      </w:r>
      <w:r>
        <w:rPr>
          <w:sz w:val="21"/>
          <w:szCs w:val="21"/>
          <w:highlight w:val="cyan"/>
          <w:vertAlign w:val="superscript"/>
        </w:rPr>
        <w:t>82</w:t>
      </w:r>
      <w:r>
        <w:rPr>
          <w:sz w:val="21"/>
          <w:szCs w:val="21"/>
          <w:highlight w:val="cyan"/>
        </w:rPr>
        <w:t xml:space="preserve">. </w:t>
      </w:r>
      <w:r>
        <w:rPr>
          <w:sz w:val="21"/>
          <w:szCs w:val="21"/>
          <w:highlight w:val="cyan"/>
          <w:u w:val="single"/>
        </w:rPr>
        <w:t>Autoři UpToDate</w:t>
      </w:r>
      <w:r>
        <w:rPr>
          <w:sz w:val="21"/>
          <w:szCs w:val="21"/>
          <w:highlight w:val="cyan"/>
          <w:u w:val="single"/>
          <w:vertAlign w:val="superscript"/>
        </w:rPr>
        <w:t>82</w:t>
      </w:r>
      <w:r>
        <w:rPr>
          <w:sz w:val="21"/>
          <w:szCs w:val="21"/>
          <w:highlight w:val="cyan"/>
          <w:u w:val="single"/>
        </w:rPr>
        <w:t xml:space="preserve"> ale nedoporučují imunosupresivní léčbu u pacientů ve vysokém riziku, pokud mají známky těžkého a nevratného poškození ledvin</w:t>
      </w:r>
      <w:r>
        <w:rPr>
          <w:sz w:val="21"/>
          <w:szCs w:val="21"/>
          <w:highlight w:val="cyan"/>
        </w:rPr>
        <w:t xml:space="preserve"> (tj. eGFR &lt;30 ml/min/1,73 m</w:t>
      </w:r>
      <w:r>
        <w:rPr>
          <w:sz w:val="21"/>
          <w:szCs w:val="21"/>
          <w:highlight w:val="cyan"/>
          <w:vertAlign w:val="superscript"/>
        </w:rPr>
        <w:t>2</w:t>
      </w:r>
      <w:r>
        <w:rPr>
          <w:sz w:val="21"/>
          <w:szCs w:val="21"/>
          <w:highlight w:val="cyan"/>
        </w:rPr>
        <w:t xml:space="preserve"> po dobu &gt;3 měsíců, „málo echogenní“ ledviny na ultrazvuku ledvin nebo známky těžké intersticiální fibrózy, tubulární atrofie nebo glomeruloskleróza při biopsii ledvin), protože imunosupresivní léčba u takových pacientů pravděpodobně nebude účinná - u takových pacientů UpToDate doporučuje pokračovat v podávání podpůrné péče a diskutovat s pacientem o budoucích možnostech náhrady ledvin</w:t>
      </w:r>
      <w:r>
        <w:rPr>
          <w:sz w:val="21"/>
          <w:szCs w:val="21"/>
          <w:highlight w:val="cyan"/>
          <w:vertAlign w:val="superscript"/>
        </w:rPr>
        <w:t>82</w:t>
      </w:r>
      <w:r>
        <w:rPr>
          <w:sz w:val="21"/>
          <w:szCs w:val="21"/>
          <w:highlight w:val="cyan"/>
        </w:rPr>
        <w:t xml:space="preserve">. </w:t>
      </w:r>
      <w:r>
        <w:rPr>
          <w:b/>
          <w:sz w:val="21"/>
          <w:szCs w:val="21"/>
          <w:highlight w:val="cyan"/>
          <w:u w:val="single"/>
        </w:rPr>
        <w:t>U pacientů s IgAN, kteří jsou považováni za vysoce rizikové k progresi onemocnění (viz informace uvedené výše v tomto odstavci) UpToDate</w:t>
      </w:r>
      <w:r>
        <w:rPr>
          <w:b/>
          <w:sz w:val="21"/>
          <w:szCs w:val="21"/>
          <w:highlight w:val="cyan"/>
          <w:u w:val="single"/>
          <w:vertAlign w:val="superscript"/>
        </w:rPr>
        <w:t>82</w:t>
      </w:r>
      <w:r>
        <w:rPr>
          <w:b/>
          <w:sz w:val="21"/>
          <w:szCs w:val="21"/>
          <w:highlight w:val="cyan"/>
          <w:u w:val="single"/>
        </w:rPr>
        <w:t xml:space="preserve"> navrhuje spíše léčbu perorálními systémovými glukokortikoidy (viz podrobněji níže pozn. 97) plus podpůrnou péči než samotnou podpůrnou péči (se stupněm doporučení 2B**)</w:t>
      </w:r>
      <w:r>
        <w:rPr>
          <w:b/>
          <w:sz w:val="21"/>
          <w:szCs w:val="21"/>
          <w:highlight w:val="cyan"/>
        </w:rPr>
        <w:t xml:space="preserve"> - někteří odborníci preferují režim se středními dávkami glukokortikoidů, zatímco jiní preferují režim s vyššími dávkami; kterýkoli z několika režimů (viz Přílohu č. 14) je ale (dle UpToDate</w:t>
      </w:r>
      <w:r>
        <w:rPr>
          <w:b/>
          <w:sz w:val="21"/>
          <w:szCs w:val="21"/>
          <w:highlight w:val="cyan"/>
          <w:vertAlign w:val="superscript"/>
        </w:rPr>
        <w:t>82</w:t>
      </w:r>
      <w:r>
        <w:rPr>
          <w:b/>
          <w:sz w:val="21"/>
          <w:szCs w:val="21"/>
          <w:highlight w:val="cyan"/>
        </w:rPr>
        <w:t>) přijatelný - celková délka léčby glukokortikoidy je v délce 6 měsíců</w:t>
      </w:r>
      <w:r>
        <w:rPr>
          <w:b/>
          <w:sz w:val="21"/>
          <w:szCs w:val="21"/>
          <w:highlight w:val="cyan"/>
          <w:vertAlign w:val="superscript"/>
        </w:rPr>
        <w:t>82</w:t>
      </w:r>
      <w:r>
        <w:rPr>
          <w:b/>
          <w:sz w:val="21"/>
          <w:szCs w:val="21"/>
          <w:highlight w:val="cyan"/>
        </w:rPr>
        <w:t>.</w:t>
      </w:r>
      <w:r>
        <w:rPr>
          <w:b/>
          <w:sz w:val="21"/>
          <w:szCs w:val="21"/>
        </w:rPr>
        <w:t xml:space="preserve"> </w:t>
      </w:r>
    </w:p>
    <w:p w:rsidR="00033807" w:rsidRDefault="00C071AF">
      <w:pPr>
        <w:spacing w:after="0"/>
        <w:ind w:left="624"/>
        <w:jc w:val="both"/>
        <w:rPr>
          <w:b/>
          <w:sz w:val="21"/>
          <w:szCs w:val="21"/>
        </w:rPr>
      </w:pPr>
      <w:r>
        <w:rPr>
          <w:noProof/>
          <w:lang w:eastAsia="cs-CZ"/>
        </w:rPr>
        <w:drawing>
          <wp:inline distT="0" distB="0" distL="0" distR="0">
            <wp:extent cx="5705856" cy="475488"/>
            <wp:effectExtent l="0" t="0" r="0" b="0"/>
            <wp:docPr id="9"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20"/>
                    <pic:cNvPicPr>
                      <a:picLocks noChangeAspect="1" noChangeArrowheads="1"/>
                    </pic:cNvPicPr>
                  </pic:nvPicPr>
                  <pic:blipFill>
                    <a:blip r:embed="rId9"/>
                    <a:stretch>
                      <a:fillRect/>
                    </a:stretch>
                  </pic:blipFill>
                  <pic:spPr bwMode="auto">
                    <a:xfrm>
                      <a:off x="0" y="0"/>
                      <a:ext cx="5706269" cy="475522"/>
                    </a:xfrm>
                    <a:prstGeom prst="rect">
                      <a:avLst/>
                    </a:prstGeom>
                  </pic:spPr>
                </pic:pic>
              </a:graphicData>
            </a:graphic>
          </wp:inline>
        </w:drawing>
      </w:r>
    </w:p>
    <w:p w:rsidR="00033807" w:rsidRDefault="00C071AF">
      <w:pPr>
        <w:spacing w:after="0"/>
        <w:ind w:left="624"/>
        <w:jc w:val="both"/>
        <w:rPr>
          <w:b/>
          <w:sz w:val="21"/>
          <w:szCs w:val="21"/>
        </w:rPr>
      </w:pPr>
      <w:r>
        <w:rPr>
          <w:noProof/>
          <w:lang w:eastAsia="cs-CZ"/>
        </w:rPr>
        <w:drawing>
          <wp:inline distT="0" distB="0" distL="0" distR="0">
            <wp:extent cx="5705856" cy="841248"/>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a:picLocks noChangeAspect="1" noChangeArrowheads="1"/>
                    </pic:cNvPicPr>
                  </pic:nvPicPr>
                  <pic:blipFill>
                    <a:blip r:embed="rId10"/>
                    <a:stretch>
                      <a:fillRect/>
                    </a:stretch>
                  </pic:blipFill>
                  <pic:spPr bwMode="auto">
                    <a:xfrm>
                      <a:off x="0" y="0"/>
                      <a:ext cx="5707483" cy="841488"/>
                    </a:xfrm>
                    <a:prstGeom prst="rect">
                      <a:avLst/>
                    </a:prstGeom>
                  </pic:spPr>
                </pic:pic>
              </a:graphicData>
            </a:graphic>
          </wp:inline>
        </w:drawing>
      </w:r>
    </w:p>
    <w:p w:rsidR="00033807" w:rsidRDefault="00033807">
      <w:pPr>
        <w:spacing w:after="0"/>
        <w:ind w:left="624"/>
        <w:jc w:val="both"/>
        <w:rPr>
          <w:b/>
          <w:sz w:val="6"/>
          <w:szCs w:val="6"/>
        </w:rPr>
      </w:pPr>
    </w:p>
    <w:p w:rsidR="00033807" w:rsidRDefault="00C071AF">
      <w:pPr>
        <w:spacing w:after="0"/>
        <w:jc w:val="both"/>
        <w:rPr>
          <w:sz w:val="21"/>
          <w:szCs w:val="21"/>
          <w:highlight w:val="cyan"/>
        </w:rPr>
      </w:pPr>
      <w:r>
        <w:rPr>
          <w:b/>
          <w:sz w:val="21"/>
          <w:szCs w:val="21"/>
          <w:highlight w:val="cyan"/>
          <w:u w:val="single"/>
        </w:rPr>
        <w:t xml:space="preserve">V české klinické praxi se ze systémových kortikosteroidů společně s podpůrnou léčbou používá jen prednison </w:t>
      </w:r>
      <w:r>
        <w:rPr>
          <w:sz w:val="21"/>
          <w:szCs w:val="21"/>
          <w:highlight w:val="cyan"/>
        </w:rPr>
        <w:t>(srovnej Přílohu č. 14!), který je v současné době nabízen pouze nově diagnostikovaným pacientům s progresivní IgAN - léčba systémovými kortikosteroidy se opakuje jen výjimečně, a to po předchozí biopsii, která ukazuje perzistující aktivitu onemocnění (viz níže pozn. 9), opakování léčby prednisonem může nastat po 2-3 letech a je spojeno se špatnou účinností a s vyšším výskytem nežádoucích účinků</w:t>
      </w:r>
      <w:r>
        <w:rPr>
          <w:sz w:val="21"/>
          <w:szCs w:val="21"/>
          <w:highlight w:val="cyan"/>
          <w:vertAlign w:val="superscript"/>
        </w:rPr>
        <w:t>28</w:t>
      </w:r>
      <w:r>
        <w:rPr>
          <w:sz w:val="21"/>
          <w:szCs w:val="21"/>
          <w:highlight w:val="cyan"/>
        </w:rPr>
        <w:t>. V praxi tak pacienti reálně podstupují pouze jeden cyklus léčby prednisonem</w:t>
      </w:r>
      <w:r>
        <w:rPr>
          <w:sz w:val="21"/>
          <w:szCs w:val="21"/>
          <w:highlight w:val="cyan"/>
          <w:vertAlign w:val="superscript"/>
        </w:rPr>
        <w:t>28</w:t>
      </w:r>
      <w:r>
        <w:rPr>
          <w:sz w:val="21"/>
          <w:szCs w:val="21"/>
          <w:highlight w:val="cyan"/>
        </w:rPr>
        <w:t>.</w:t>
      </w:r>
    </w:p>
    <w:p w:rsidR="00033807" w:rsidRDefault="00C071AF">
      <w:pPr>
        <w:spacing w:after="0"/>
        <w:jc w:val="both"/>
        <w:rPr>
          <w:b/>
          <w:color w:val="FF0000"/>
          <w:sz w:val="21"/>
          <w:szCs w:val="21"/>
          <w:u w:val="single"/>
        </w:rPr>
      </w:pPr>
      <w:r>
        <w:rPr>
          <w:b/>
          <w:color w:val="FF0000"/>
          <w:sz w:val="21"/>
          <w:szCs w:val="21"/>
          <w:highlight w:val="cyan"/>
          <w:u w:val="single"/>
        </w:rPr>
        <w:t>Pro pacienty, kteří netolerují nebo si nepřejí dostávat vysoké dávky glukokortikoidů, je (dle UpToDate</w:t>
      </w:r>
      <w:r>
        <w:rPr>
          <w:b/>
          <w:color w:val="FF0000"/>
          <w:sz w:val="21"/>
          <w:szCs w:val="21"/>
          <w:highlight w:val="cyan"/>
          <w:u w:val="single"/>
          <w:vertAlign w:val="superscript"/>
        </w:rPr>
        <w:t>82</w:t>
      </w:r>
      <w:r>
        <w:rPr>
          <w:b/>
          <w:color w:val="FF0000"/>
          <w:sz w:val="21"/>
          <w:szCs w:val="21"/>
          <w:highlight w:val="cyan"/>
          <w:u w:val="single"/>
        </w:rPr>
        <w:t>) je jinou možností budesonid s cíleným uvolňováním (tzv. TRF-budesonid,</w:t>
      </w:r>
      <w:r>
        <w:rPr>
          <w:b/>
          <w:sz w:val="21"/>
          <w:szCs w:val="21"/>
          <w:highlight w:val="cyan"/>
          <w:u w:val="single"/>
        </w:rPr>
        <w:t xml:space="preserve"> </w:t>
      </w:r>
      <w:r>
        <w:rPr>
          <w:b/>
          <w:color w:val="FF0000"/>
          <w:sz w:val="21"/>
          <w:szCs w:val="21"/>
          <w:highlight w:val="cyan"/>
          <w:u w:val="single"/>
        </w:rPr>
        <w:t>tj. hodnocený LP KINPEYGO</w:t>
      </w:r>
      <w:r>
        <w:rPr>
          <w:b/>
          <w:sz w:val="21"/>
          <w:szCs w:val="21"/>
          <w:highlight w:val="cyan"/>
          <w:u w:val="single"/>
        </w:rPr>
        <w:t xml:space="preserve"> – viz níže pozn. 13 a 26)</w:t>
      </w:r>
      <w:r>
        <w:rPr>
          <w:b/>
          <w:sz w:val="21"/>
          <w:szCs w:val="21"/>
          <w:highlight w:val="cyan"/>
        </w:rPr>
        <w:t xml:space="preserve"> nebo mykofenolát mofetil </w:t>
      </w:r>
      <w:r>
        <w:rPr>
          <w:sz w:val="21"/>
          <w:szCs w:val="21"/>
          <w:highlight w:val="cyan"/>
        </w:rPr>
        <w:t>(viz podrobněji níže pozn. 98),</w:t>
      </w:r>
      <w:r>
        <w:rPr>
          <w:b/>
          <w:sz w:val="21"/>
          <w:szCs w:val="21"/>
          <w:highlight w:val="cyan"/>
        </w:rPr>
        <w:t xml:space="preserve"> alternativně lze pacienta povzbudit k účasti na klinickém hodnocení, je-li to proveditelné. Doporučení KDIGO z roku 2021</w:t>
      </w:r>
      <w:r>
        <w:rPr>
          <w:sz w:val="21"/>
          <w:szCs w:val="21"/>
          <w:highlight w:val="cyan"/>
          <w:vertAlign w:val="superscript"/>
        </w:rPr>
        <w:t>76</w:t>
      </w:r>
      <w:r>
        <w:rPr>
          <w:b/>
          <w:sz w:val="21"/>
          <w:szCs w:val="21"/>
          <w:highlight w:val="cyan"/>
        </w:rPr>
        <w:t xml:space="preserve"> uvádí (vzhledem k datu publikace!) LP KINPEYGO (tj. TRF budesonid) jen v rámci probíhajících klinických studií! </w:t>
      </w:r>
      <w:r>
        <w:rPr>
          <w:b/>
          <w:color w:val="FF0000"/>
          <w:sz w:val="21"/>
          <w:szCs w:val="21"/>
          <w:highlight w:val="cyan"/>
          <w:u w:val="single"/>
        </w:rPr>
        <w:t>Někteří přispěvatelé z UpToDate</w:t>
      </w:r>
      <w:r>
        <w:rPr>
          <w:b/>
          <w:color w:val="FF0000"/>
          <w:sz w:val="21"/>
          <w:szCs w:val="21"/>
          <w:highlight w:val="cyan"/>
          <w:u w:val="single"/>
          <w:vertAlign w:val="superscript"/>
        </w:rPr>
        <w:t>82</w:t>
      </w:r>
      <w:r>
        <w:rPr>
          <w:b/>
          <w:color w:val="FF0000"/>
          <w:sz w:val="21"/>
          <w:szCs w:val="21"/>
          <w:highlight w:val="cyan"/>
          <w:u w:val="single"/>
        </w:rPr>
        <w:t xml:space="preserve"> používají TRF-budesonid jako počáteční imunosupresivní léčbu u pac. s IgAN, u kterých jsou syst. glukokortikoidy kontraindikovány nebo kteří si nepřejí užívat systémové glukokortikoidy, jiní přispěvatelé by naopak tento lék vyhradili jen pro pac., kteří nereagují nebo netolerují </w:t>
      </w:r>
      <w:proofErr w:type="gramStart"/>
      <w:r>
        <w:rPr>
          <w:b/>
          <w:color w:val="FF0000"/>
          <w:sz w:val="21"/>
          <w:szCs w:val="21"/>
          <w:highlight w:val="cyan"/>
          <w:u w:val="single"/>
        </w:rPr>
        <w:t>6-měsíční</w:t>
      </w:r>
      <w:proofErr w:type="gramEnd"/>
      <w:r>
        <w:rPr>
          <w:b/>
          <w:color w:val="FF0000"/>
          <w:sz w:val="21"/>
          <w:szCs w:val="21"/>
          <w:highlight w:val="cyan"/>
          <w:u w:val="single"/>
        </w:rPr>
        <w:t xml:space="preserve"> kúru středně dávkovaných p.o. syst. glukokortikoidů (viz Přílohu č. 14) a kteří mají přetrvávající poměr proteinu ke kreatininu v moči ≥1,5 g/g nebo proteinurii ≥2 g/den </w:t>
      </w:r>
      <w:r>
        <w:rPr>
          <w:b/>
          <w:color w:val="FF0000"/>
          <w:sz w:val="21"/>
          <w:szCs w:val="21"/>
          <w:highlight w:val="cyan"/>
        </w:rPr>
        <w:t>(ale účinnost a bezpečnost TRF-budesonidu v tomto klinickém scénáři má jen omezená data – viz vylučovací kritéria ve studiích v Příloze č. 20) - p</w:t>
      </w:r>
      <w:r>
        <w:rPr>
          <w:b/>
          <w:color w:val="FF0000"/>
          <w:sz w:val="21"/>
          <w:szCs w:val="21"/>
          <w:highlight w:val="cyan"/>
          <w:u w:val="single"/>
        </w:rPr>
        <w:t xml:space="preserve">okud je u takových pacientů použit TRF-budesonid, měli by ošetřující lékaři před zahájením léčby vyhodnotit známky toxicity glukokortikoidů </w:t>
      </w:r>
      <w:r>
        <w:rPr>
          <w:b/>
          <w:color w:val="FF0000"/>
          <w:sz w:val="21"/>
          <w:szCs w:val="21"/>
          <w:highlight w:val="cyan"/>
        </w:rPr>
        <w:t>(pokud jsou přítomny známky glukokortikoidní toxicity, může být vhodnější počkat alespoň 6 měsíců, čekání šest měsíců by však potenciálně pacienta vystavilo zvýšenému riziku progrese onemocnění a někteří autoři by raději než čekat, přešli na jinou terapii (např. mykofenolát mofetil - viz podrobněji níže pozn. 98).</w:t>
      </w:r>
      <w:r>
        <w:rPr>
          <w:b/>
          <w:color w:val="FF0000"/>
          <w:sz w:val="21"/>
          <w:szCs w:val="21"/>
          <w:highlight w:val="cyan"/>
          <w:u w:val="single"/>
        </w:rPr>
        <w:t xml:space="preserve"> Pokud se používá TRF-budesonid, pacient by měl být také pečlivě sledován kvůli nežádoucím účinkům dlouhodobého podávání glukokortikoidů </w:t>
      </w:r>
      <w:r>
        <w:rPr>
          <w:b/>
          <w:color w:val="FF0000"/>
          <w:sz w:val="21"/>
          <w:szCs w:val="21"/>
          <w:highlight w:val="cyan"/>
        </w:rPr>
        <w:t>(např. ve studii NefIgArd (viz detailněji níže v rámečku) byla hypertenze, periferní a obličejové edémy, svalové křeče a akné častější ve skupině s TRF-budesonidem ve srovnání s placebem, což pravděpodobně naznačuje systémový glukokortikoidní účinek i TRF-budesonidu!)</w:t>
      </w:r>
      <w:r>
        <w:rPr>
          <w:b/>
          <w:sz w:val="21"/>
          <w:szCs w:val="21"/>
          <w:highlight w:val="cyan"/>
          <w:vertAlign w:val="superscript"/>
        </w:rPr>
        <w:t>82</w:t>
      </w:r>
      <w:r>
        <w:rPr>
          <w:b/>
          <w:sz w:val="21"/>
          <w:szCs w:val="21"/>
          <w:highlight w:val="cyan"/>
        </w:rPr>
        <w:t>.</w:t>
      </w:r>
      <w:r>
        <w:rPr>
          <w:b/>
          <w:sz w:val="21"/>
          <w:szCs w:val="21"/>
        </w:rPr>
        <w:t xml:space="preserve"> </w:t>
      </w:r>
      <w:r>
        <w:rPr>
          <w:b/>
          <w:color w:val="FF0000"/>
          <w:sz w:val="21"/>
          <w:szCs w:val="21"/>
          <w:highlight w:val="cyan"/>
          <w:u w:val="single"/>
        </w:rPr>
        <w:t>Kliničtí odborníci v ČR se (dle zdroje pod pozn. 5) shodli, že doporučené postupy KDIGO jsou platné i v české klinické praxi a všichni se dle nich řídí - je pravděpodobné, že v aktualizovaných postupech KDIGO již bude LP KINPEYGO s ohledem na jeho prokázanou účinnost a bezpečnost uvedeno v rámci základního managementu pacienta s IgAN</w:t>
      </w:r>
      <w:r>
        <w:rPr>
          <w:b/>
          <w:color w:val="FF0000"/>
          <w:sz w:val="21"/>
          <w:szCs w:val="21"/>
          <w:highlight w:val="cyan"/>
          <w:u w:val="single"/>
          <w:vertAlign w:val="superscript"/>
        </w:rPr>
        <w:t>5</w:t>
      </w:r>
      <w:r>
        <w:rPr>
          <w:b/>
          <w:color w:val="FF0000"/>
          <w:sz w:val="21"/>
          <w:szCs w:val="21"/>
          <w:u w:val="single"/>
        </w:rPr>
        <w:t>.</w:t>
      </w:r>
    </w:p>
    <w:p w:rsidR="00033807" w:rsidRDefault="00033807">
      <w:pPr>
        <w:spacing w:after="0"/>
        <w:jc w:val="both"/>
        <w:rPr>
          <w:sz w:val="4"/>
          <w:szCs w:val="4"/>
        </w:rPr>
      </w:pPr>
    </w:p>
    <w:p w:rsidR="00033807" w:rsidRDefault="00C071AF">
      <w:pPr>
        <w:spacing w:after="0"/>
        <w:jc w:val="both"/>
        <w:rPr>
          <w:rFonts w:cstheme="minorHAnsi"/>
          <w:b/>
          <w:bCs/>
          <w:color w:val="FF0000"/>
          <w:sz w:val="18"/>
          <w:szCs w:val="18"/>
        </w:rPr>
      </w:pPr>
      <w:r>
        <w:rPr>
          <w:sz w:val="21"/>
          <w:szCs w:val="21"/>
          <w:u w:val="single"/>
        </w:rPr>
        <w:t>Návrh individualizovaného léčebného přístupu u pacientů s IgA nefropatií od několika evropských nefrologů publikovaný v roce 2024</w:t>
      </w:r>
      <w:r>
        <w:rPr>
          <w:sz w:val="21"/>
          <w:szCs w:val="21"/>
          <w:u w:val="single"/>
          <w:vertAlign w:val="superscript"/>
        </w:rPr>
        <w:t>104</w:t>
      </w:r>
      <w:r>
        <w:rPr>
          <w:sz w:val="21"/>
          <w:szCs w:val="21"/>
          <w:u w:val="single"/>
        </w:rPr>
        <w:t xml:space="preserve"> (upraveno dle zdrojů uvedených níže pod pozn. 76 a 104)</w:t>
      </w:r>
      <w:r>
        <w:rPr>
          <w:sz w:val="21"/>
          <w:szCs w:val="21"/>
        </w:rPr>
        <w:t xml:space="preserve">:  </w:t>
      </w:r>
      <w:r>
        <w:rPr>
          <w:sz w:val="18"/>
          <w:szCs w:val="18"/>
        </w:rPr>
        <w:t>(</w:t>
      </w:r>
      <w:r>
        <w:rPr>
          <w:sz w:val="18"/>
          <w:szCs w:val="18"/>
          <w:u w:val="single"/>
        </w:rPr>
        <w:t>Zkratky:</w:t>
      </w:r>
      <w:r>
        <w:rPr>
          <w:sz w:val="18"/>
          <w:szCs w:val="18"/>
        </w:rPr>
        <w:t xml:space="preserve"> CI - contraindication; MMF -mycophenolate mofetil (viz níže pozn. 98); RAASI - blokátory renin-angiotenzinového systému (tj. ACEi nebo ARB – viz níže pozn. 92, event. MRA - mineralocorticoid receptor antagonist), TRF - targeted-release formulation; SGLT2 - sodium–glucose transporter 2 (viz níže pozn. 93). </w:t>
      </w:r>
      <w:r>
        <w:rPr>
          <w:b/>
          <w:sz w:val="18"/>
          <w:szCs w:val="18"/>
          <w:u w:val="single"/>
        </w:rPr>
        <w:t>CAVE! viz další informace jsou uvedené níže v pozn. 9, v poznámkách pro jednotlivé skupiny LP – tj. SGLT2i (pozn. 93), sparsentan (pozn. 94) a v Příloze č. 17</w:t>
      </w:r>
      <w:r>
        <w:rPr>
          <w:sz w:val="18"/>
          <w:szCs w:val="18"/>
        </w:rPr>
        <w:t xml:space="preserve">! </w:t>
      </w:r>
      <w:r>
        <w:rPr>
          <w:rFonts w:cstheme="minorHAnsi"/>
          <w:b/>
          <w:bCs/>
          <w:color w:val="FF0000"/>
          <w:sz w:val="18"/>
          <w:szCs w:val="18"/>
          <w:u w:val="single"/>
        </w:rPr>
        <w:t>Červeným orámováním je autorem této FE analýzy vyznačeno postavení hodnoceného LP KINPEYGO</w:t>
      </w:r>
      <w:r>
        <w:rPr>
          <w:rFonts w:cstheme="minorHAnsi"/>
          <w:b/>
          <w:bCs/>
          <w:color w:val="FF0000"/>
          <w:sz w:val="18"/>
          <w:szCs w:val="18"/>
        </w:rPr>
        <w:t xml:space="preserve">! </w:t>
      </w:r>
      <w:r>
        <w:rPr>
          <w:rFonts w:cstheme="minorHAnsi"/>
          <w:b/>
          <w:bCs/>
          <w:color w:val="FF0000"/>
          <w:sz w:val="18"/>
          <w:szCs w:val="18"/>
          <w:u w:val="single"/>
        </w:rPr>
        <w:t xml:space="preserve">– </w:t>
      </w:r>
      <w:r>
        <w:rPr>
          <w:rFonts w:cstheme="minorHAnsi"/>
          <w:b/>
          <w:color w:val="FF0000"/>
          <w:sz w:val="18"/>
          <w:szCs w:val="18"/>
          <w:u w:val="single"/>
        </w:rPr>
        <w:t>CAVE! viz výše aktuální indikační podmínky LP</w:t>
      </w:r>
      <w:r>
        <w:rPr>
          <w:rFonts w:cstheme="minorHAnsi"/>
          <w:b/>
          <w:color w:val="FF0000"/>
          <w:sz w:val="18"/>
          <w:szCs w:val="18"/>
        </w:rPr>
        <w:t>!</w:t>
      </w:r>
      <w:r>
        <w:rPr>
          <w:rFonts w:cstheme="minorHAnsi"/>
          <w:b/>
          <w:bCs/>
          <w:color w:val="FF0000"/>
          <w:sz w:val="18"/>
          <w:szCs w:val="18"/>
        </w:rPr>
        <w:t xml:space="preserve">  </w:t>
      </w:r>
    </w:p>
    <w:p w:rsidR="00033807" w:rsidRDefault="00033807">
      <w:pPr>
        <w:spacing w:after="0"/>
        <w:jc w:val="both"/>
        <w:rPr>
          <w:sz w:val="4"/>
          <w:szCs w:val="4"/>
        </w:rPr>
      </w:pPr>
    </w:p>
    <w:p w:rsidR="00033807" w:rsidRDefault="00C071AF">
      <w:pPr>
        <w:spacing w:after="0"/>
        <w:jc w:val="both"/>
        <w:rPr>
          <w:sz w:val="21"/>
          <w:szCs w:val="21"/>
        </w:rPr>
      </w:pPr>
      <w:r>
        <w:rPr>
          <w:noProof/>
          <w:lang w:eastAsia="cs-CZ"/>
        </w:rPr>
        <w:drawing>
          <wp:inline distT="0" distB="0" distL="0" distR="0">
            <wp:extent cx="6831426" cy="3738623"/>
            <wp:effectExtent l="0" t="0" r="7620" b="0"/>
            <wp:docPr id="11"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37"/>
                    <pic:cNvPicPr>
                      <a:picLocks noChangeAspect="1" noChangeArrowheads="1"/>
                    </pic:cNvPicPr>
                  </pic:nvPicPr>
                  <pic:blipFill>
                    <a:blip r:embed="rId11"/>
                    <a:stretch>
                      <a:fillRect/>
                    </a:stretch>
                  </pic:blipFill>
                  <pic:spPr bwMode="auto">
                    <a:xfrm>
                      <a:off x="0" y="0"/>
                      <a:ext cx="6835196" cy="3740686"/>
                    </a:xfrm>
                    <a:prstGeom prst="rect">
                      <a:avLst/>
                    </a:prstGeom>
                  </pic:spPr>
                </pic:pic>
              </a:graphicData>
            </a:graphic>
          </wp:inline>
        </w:drawing>
      </w:r>
    </w:p>
    <w:p w:rsidR="00033807" w:rsidRDefault="00C071AF">
      <w:pPr>
        <w:spacing w:after="0"/>
        <w:ind w:left="170"/>
        <w:jc w:val="both"/>
        <w:rPr>
          <w:sz w:val="21"/>
          <w:szCs w:val="21"/>
        </w:rPr>
      </w:pPr>
      <w:r>
        <w:rPr>
          <w:noProof/>
          <w:lang w:eastAsia="cs-CZ"/>
        </w:rPr>
        <w:drawing>
          <wp:inline distT="0" distB="0" distL="0" distR="0">
            <wp:extent cx="6833870" cy="3556000"/>
            <wp:effectExtent l="0" t="0" r="5080" b="6350"/>
            <wp:docPr id="12"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45"/>
                    <pic:cNvPicPr>
                      <a:picLocks noChangeAspect="1" noChangeArrowheads="1"/>
                    </pic:cNvPicPr>
                  </pic:nvPicPr>
                  <pic:blipFill>
                    <a:blip r:embed="rId12"/>
                    <a:stretch>
                      <a:fillRect/>
                    </a:stretch>
                  </pic:blipFill>
                  <pic:spPr bwMode="auto">
                    <a:xfrm>
                      <a:off x="0" y="0"/>
                      <a:ext cx="6833870" cy="3556000"/>
                    </a:xfrm>
                    <a:prstGeom prst="rect">
                      <a:avLst/>
                    </a:prstGeom>
                  </pic:spPr>
                </pic:pic>
              </a:graphicData>
            </a:graphic>
          </wp:inline>
        </w:drawing>
      </w:r>
    </w:p>
    <w:p w:rsidR="00033807" w:rsidRDefault="00C071AF">
      <w:pPr>
        <w:spacing w:after="0"/>
        <w:jc w:val="both"/>
        <w:rPr>
          <w:sz w:val="21"/>
          <w:szCs w:val="21"/>
        </w:rPr>
      </w:pPr>
      <w:r>
        <w:rPr>
          <w:noProof/>
          <w:lang w:eastAsia="cs-CZ"/>
        </w:rPr>
        <mc:AlternateContent>
          <mc:Choice Requires="wps">
            <w:drawing>
              <wp:anchor distT="3810" distB="2540" distL="3810" distR="2540" simplePos="0" relativeHeight="361" behindDoc="0" locked="0" layoutInCell="0" allowOverlap="1">
                <wp:simplePos x="0" y="0"/>
                <wp:positionH relativeFrom="column">
                  <wp:posOffset>-15875</wp:posOffset>
                </wp:positionH>
                <wp:positionV relativeFrom="paragraph">
                  <wp:posOffset>20320</wp:posOffset>
                </wp:positionV>
                <wp:extent cx="6905625" cy="8881745"/>
                <wp:effectExtent l="0" t="0" r="0" b="0"/>
                <wp:wrapNone/>
                <wp:docPr id="13" name="Rámec5"/>
                <wp:cNvGraphicFramePr/>
                <a:graphic xmlns:a="http://schemas.openxmlformats.org/drawingml/2006/main">
                  <a:graphicData uri="http://schemas.microsoft.com/office/word/2010/wordprocessingShape">
                    <wps:wsp>
                      <wps:cNvSpPr txBox="1"/>
                      <wps:spPr>
                        <a:xfrm>
                          <a:off x="0" y="0"/>
                          <a:ext cx="6905625" cy="8881745"/>
                        </a:xfrm>
                        <a:prstGeom prst="rect">
                          <a:avLst/>
                        </a:prstGeom>
                        <a:solidFill>
                          <a:srgbClr val="DEEAF6"/>
                        </a:solidFill>
                        <a:ln w="6350">
                          <a:solidFill>
                            <a:srgbClr val="000000"/>
                          </a:solidFill>
                        </a:ln>
                      </wps:spPr>
                      <wps:txbx>
                        <w:txbxContent>
                          <w:p w:rsidR="009C56BF" w:rsidRDefault="009C56BF">
                            <w:pPr>
                              <w:pStyle w:val="Obsahrmce"/>
                              <w:spacing w:after="0"/>
                              <w:jc w:val="both"/>
                              <w:rPr>
                                <w:color w:val="000000"/>
                                <w:sz w:val="21"/>
                                <w:szCs w:val="21"/>
                              </w:rPr>
                            </w:pPr>
                            <w:r>
                              <w:rPr>
                                <w:b/>
                                <w:color w:val="000000"/>
                                <w:sz w:val="21"/>
                                <w:szCs w:val="21"/>
                                <w:u w:val="single"/>
                              </w:rPr>
                              <w:t>Účinnost a bezpečnost LP KINPEYGO byla hodnocena v léčbě primární IgAN u dospělých pacientů s rizikem rychlé progrese onemocnění, kteří užívali blokátory RAAS</w:t>
                            </w:r>
                            <w:r>
                              <w:rPr>
                                <w:color w:val="000000"/>
                                <w:sz w:val="21"/>
                                <w:szCs w:val="21"/>
                              </w:rPr>
                              <w:t xml:space="preserve"> (viz níže pozn. 92), </w:t>
                            </w:r>
                            <w:r>
                              <w:rPr>
                                <w:b/>
                                <w:color w:val="000000"/>
                                <w:sz w:val="21"/>
                                <w:szCs w:val="21"/>
                                <w:u w:val="single"/>
                              </w:rPr>
                              <w:t xml:space="preserve">ve dvou rozsáhlých randomizovaných, dvojitě zaslepených, placebem kontrolovaných klinických studiích – studie fáze IIIa NefIgArd </w:t>
                            </w:r>
                            <w:r>
                              <w:rPr>
                                <w:color w:val="000000"/>
                                <w:sz w:val="21"/>
                                <w:szCs w:val="21"/>
                              </w:rPr>
                              <w:t xml:space="preserve">(NCT03643965) </w:t>
                            </w:r>
                            <w:r>
                              <w:rPr>
                                <w:b/>
                                <w:color w:val="000000"/>
                                <w:sz w:val="21"/>
                                <w:szCs w:val="21"/>
                                <w:u w:val="single"/>
                              </w:rPr>
                              <w:t xml:space="preserve">a studie fáze IIb NEFIGAN </w:t>
                            </w:r>
                            <w:r>
                              <w:rPr>
                                <w:color w:val="000000"/>
                                <w:sz w:val="21"/>
                                <w:szCs w:val="21"/>
                              </w:rPr>
                              <w:t>(NCT01738035)</w:t>
                            </w:r>
                            <w:r>
                              <w:rPr>
                                <w:color w:val="000000"/>
                                <w:sz w:val="21"/>
                                <w:szCs w:val="21"/>
                                <w:vertAlign w:val="superscript"/>
                              </w:rPr>
                              <w:t>5</w:t>
                            </w:r>
                            <w:r>
                              <w:rPr>
                                <w:color w:val="000000"/>
                                <w:sz w:val="21"/>
                                <w:szCs w:val="21"/>
                              </w:rPr>
                              <w:t xml:space="preserve"> – </w:t>
                            </w:r>
                            <w:r>
                              <w:rPr>
                                <w:b/>
                                <w:color w:val="000000"/>
                                <w:sz w:val="21"/>
                                <w:szCs w:val="21"/>
                              </w:rPr>
                              <w:t>viz podrobněji Přílohu č. 20</w:t>
                            </w:r>
                            <w:r>
                              <w:rPr>
                                <w:color w:val="000000"/>
                                <w:sz w:val="21"/>
                                <w:szCs w:val="21"/>
                              </w:rPr>
                              <w:t xml:space="preserve">. V obou studiích byla primárně hodnocena proteinurie (viz níže pozn. 10) po </w:t>
                            </w:r>
                            <w:proofErr w:type="gramStart"/>
                            <w:r>
                              <w:rPr>
                                <w:color w:val="000000"/>
                                <w:sz w:val="21"/>
                                <w:szCs w:val="21"/>
                              </w:rPr>
                              <w:t>9-ti</w:t>
                            </w:r>
                            <w:proofErr w:type="gramEnd"/>
                            <w:r>
                              <w:rPr>
                                <w:color w:val="000000"/>
                                <w:sz w:val="21"/>
                                <w:szCs w:val="21"/>
                              </w:rPr>
                              <w:t xml:space="preserve"> měsících léčby, resp. její snížení pomocí UPCR (viz níže pozn. 10) ve srovnání s výchozí hodnotou, dále byla hodnocena funkce ledvin pomocí klíčového sekundárního parametru - eGFR, a to po 9 a 12-ti měsících léčby</w:t>
                            </w:r>
                            <w:r>
                              <w:rPr>
                                <w:color w:val="000000"/>
                                <w:sz w:val="21"/>
                                <w:szCs w:val="21"/>
                                <w:vertAlign w:val="superscript"/>
                              </w:rPr>
                              <w:t>5</w:t>
                            </w:r>
                            <w:r>
                              <w:rPr>
                                <w:color w:val="000000"/>
                                <w:sz w:val="21"/>
                                <w:szCs w:val="21"/>
                              </w:rPr>
                              <w:t>.</w:t>
                            </w:r>
                          </w:p>
                          <w:p w:rsidR="009C56BF" w:rsidRDefault="009C56BF">
                            <w:pPr>
                              <w:pStyle w:val="Obsahrmce"/>
                              <w:spacing w:after="0"/>
                              <w:jc w:val="both"/>
                              <w:rPr>
                                <w:b/>
                                <w:color w:val="000000"/>
                                <w:sz w:val="21"/>
                                <w:szCs w:val="21"/>
                              </w:rPr>
                            </w:pPr>
                            <w:r>
                              <w:rPr>
                                <w:color w:val="000000"/>
                                <w:sz w:val="21"/>
                                <w:szCs w:val="21"/>
                              </w:rPr>
                              <w:t>Studii fáze 3 (</w:t>
                            </w:r>
                            <w:r>
                              <w:rPr>
                                <w:b/>
                                <w:color w:val="000000"/>
                                <w:sz w:val="21"/>
                                <w:szCs w:val="21"/>
                                <w:u w:val="single"/>
                              </w:rPr>
                              <w:t>studie NefIgArd</w:t>
                            </w:r>
                            <w:r>
                              <w:rPr>
                                <w:color w:val="000000"/>
                                <w:sz w:val="21"/>
                                <w:szCs w:val="21"/>
                              </w:rPr>
                              <w:t xml:space="preserve">), kde se přípravek KINPEYGO (jako přídatná terapie k podpůrné léčbě) srovnával s placebem (podpůrnou léčbou samotnou) – </w:t>
                            </w:r>
                            <w:r>
                              <w:rPr>
                                <w:b/>
                                <w:color w:val="000000"/>
                                <w:sz w:val="21"/>
                                <w:szCs w:val="21"/>
                              </w:rPr>
                              <w:t xml:space="preserve">tato studie (s celkem 364 pacienty) byla randomizovaná, dvojitě zaslepená, placebem kontrolovaná a </w:t>
                            </w:r>
                            <w:r>
                              <w:rPr>
                                <w:b/>
                                <w:color w:val="000000"/>
                                <w:sz w:val="21"/>
                                <w:szCs w:val="21"/>
                                <w:u w:val="single"/>
                              </w:rPr>
                              <w:t>skádala se ze 2 částí</w:t>
                            </w:r>
                            <w:r>
                              <w:rPr>
                                <w:b/>
                                <w:color w:val="000000"/>
                                <w:sz w:val="21"/>
                                <w:szCs w:val="21"/>
                              </w:rPr>
                              <w:t>:</w:t>
                            </w:r>
                            <w:r>
                              <w:rPr>
                                <w:color w:val="000000"/>
                                <w:sz w:val="21"/>
                                <w:szCs w:val="21"/>
                              </w:rPr>
                              <w:t xml:space="preserve"> (1) </w:t>
                            </w:r>
                            <w:r>
                              <w:rPr>
                                <w:b/>
                                <w:color w:val="000000"/>
                                <w:sz w:val="21"/>
                                <w:szCs w:val="21"/>
                              </w:rPr>
                              <w:t>část A:</w:t>
                            </w:r>
                            <w:r>
                              <w:rPr>
                                <w:color w:val="000000"/>
                                <w:sz w:val="21"/>
                                <w:szCs w:val="21"/>
                              </w:rPr>
                              <w:t xml:space="preserve"> 15-35 dnů screeningové období → 9měsíční léčebné období (budesonid 16 mg 1x denně) → 3měsíční období sledování (včetně 2týdenního období s dávkou budesonidu sníženou na 8 mg 1x denně), (2) </w:t>
                            </w:r>
                            <w:r>
                              <w:rPr>
                                <w:b/>
                                <w:color w:val="000000"/>
                                <w:sz w:val="21"/>
                                <w:szCs w:val="21"/>
                              </w:rPr>
                              <w:t>část B:</w:t>
                            </w:r>
                            <w:r>
                              <w:rPr>
                                <w:color w:val="000000"/>
                                <w:sz w:val="21"/>
                                <w:szCs w:val="21"/>
                              </w:rPr>
                              <w:t xml:space="preserve"> 12měsíční období sledování, </w:t>
                            </w:r>
                            <w:r>
                              <w:rPr>
                                <w:sz w:val="21"/>
                                <w:szCs w:val="21"/>
                              </w:rPr>
                              <w:t>kdy již nebyl podáván žádný studovaný lék.</w:t>
                            </w:r>
                            <w:r>
                              <w:rPr>
                                <w:sz w:val="21"/>
                                <w:szCs w:val="21"/>
                                <w:vertAlign w:val="superscript"/>
                              </w:rPr>
                              <w:t>5,</w:t>
                            </w:r>
                            <w:r>
                              <w:rPr>
                                <w:color w:val="000000"/>
                                <w:sz w:val="21"/>
                                <w:szCs w:val="21"/>
                                <w:vertAlign w:val="superscript"/>
                              </w:rPr>
                              <w:t>28</w:t>
                            </w:r>
                            <w:r>
                              <w:rPr>
                                <w:color w:val="000000"/>
                                <w:sz w:val="21"/>
                                <w:szCs w:val="21"/>
                              </w:rPr>
                              <w:t xml:space="preserve">. </w:t>
                            </w:r>
                            <w:r>
                              <w:rPr>
                                <w:b/>
                                <w:color w:val="000000"/>
                                <w:sz w:val="21"/>
                                <w:szCs w:val="21"/>
                              </w:rPr>
                              <w:t>Viz podrobněji Přílohu č. 20.</w:t>
                            </w:r>
                          </w:p>
                          <w:p w:rsidR="009C56BF" w:rsidRDefault="009C56BF">
                            <w:pPr>
                              <w:pStyle w:val="Obsahrmce"/>
                              <w:spacing w:after="0"/>
                              <w:jc w:val="both"/>
                              <w:rPr>
                                <w:color w:val="000000"/>
                                <w:sz w:val="4"/>
                                <w:szCs w:val="4"/>
                              </w:rPr>
                            </w:pPr>
                          </w:p>
                          <w:p w:rsidR="009C56BF" w:rsidRDefault="009C56BF">
                            <w:pPr>
                              <w:pStyle w:val="Obsahrmce"/>
                              <w:spacing w:after="0"/>
                              <w:jc w:val="both"/>
                              <w:rPr>
                                <w:color w:val="000000"/>
                                <w:sz w:val="21"/>
                                <w:szCs w:val="21"/>
                              </w:rPr>
                            </w:pPr>
                            <w:r>
                              <w:rPr>
                                <w:b/>
                                <w:color w:val="000000"/>
                                <w:sz w:val="21"/>
                                <w:szCs w:val="21"/>
                                <w:u w:val="single"/>
                              </w:rPr>
                              <w:t>Studie NefIgArd prokázala po 9 měsících léčby vyšší účinnost LP KINPEYGA v parametru snížení UPCR</w:t>
                            </w:r>
                            <w:r>
                              <w:rPr>
                                <w:b/>
                                <w:color w:val="000000"/>
                                <w:sz w:val="21"/>
                                <w:szCs w:val="21"/>
                              </w:rPr>
                              <w:t xml:space="preserve"> (tj. poměr protein/kreatinin v moči – viz níže pozn. 10) </w:t>
                            </w:r>
                            <w:r>
                              <w:rPr>
                                <w:b/>
                                <w:color w:val="000000"/>
                                <w:sz w:val="21"/>
                                <w:szCs w:val="21"/>
                                <w:u w:val="single"/>
                              </w:rPr>
                              <w:t xml:space="preserve">o 27 % [95%CI: 13-39 </w:t>
                            </w:r>
                            <w:r>
                              <w:rPr>
                                <w:color w:val="000000"/>
                                <w:sz w:val="21"/>
                                <w:szCs w:val="21"/>
                                <w:u w:val="single"/>
                              </w:rPr>
                              <w:t xml:space="preserve">%]; </w:t>
                            </w:r>
                            <w:r>
                              <w:rPr>
                                <w:b/>
                                <w:color w:val="000000"/>
                                <w:sz w:val="21"/>
                                <w:szCs w:val="21"/>
                                <w:u w:val="single"/>
                              </w:rPr>
                              <w:t>p=0,0003</w:t>
                            </w:r>
                            <w:r>
                              <w:rPr>
                                <w:color w:val="000000"/>
                                <w:sz w:val="21"/>
                                <w:szCs w:val="21"/>
                              </w:rPr>
                              <w:t xml:space="preserve"> (byl to primární sledovaný parametr v části A studie) a u podskupiny pacientů se vstupní hodnotou UPCR ≥1,5 g/g také v parametru zlepšení eGFR (tj. odhadovaná glomerulární filtrace) o 17 % [95 %CI: 8-27 %] </w:t>
                            </w:r>
                            <w:r>
                              <w:rPr>
                                <w:b/>
                                <w:color w:val="000000"/>
                                <w:sz w:val="21"/>
                                <w:szCs w:val="21"/>
                                <w:u w:val="single"/>
                              </w:rPr>
                              <w:t>a dále u celé populace pacientů zařazených do studie v parametru zpomalení poklesu eGFR v průběhu 2 let</w:t>
                            </w:r>
                            <w:r>
                              <w:rPr>
                                <w:b/>
                                <w:color w:val="000000"/>
                                <w:sz w:val="21"/>
                                <w:szCs w:val="21"/>
                              </w:rPr>
                              <w:t xml:space="preserve"> </w:t>
                            </w:r>
                            <w:r>
                              <w:rPr>
                                <w:color w:val="000000"/>
                                <w:sz w:val="21"/>
                                <w:szCs w:val="21"/>
                              </w:rPr>
                              <w:t>(byl to primární sledovaný parametr v části B studie)</w:t>
                            </w:r>
                            <w:r>
                              <w:rPr>
                                <w:b/>
                                <w:color w:val="000000"/>
                                <w:sz w:val="21"/>
                                <w:szCs w:val="21"/>
                              </w:rPr>
                              <w:t xml:space="preserve">: </w:t>
                            </w:r>
                            <w:r>
                              <w:rPr>
                                <w:b/>
                                <w:color w:val="000000"/>
                                <w:sz w:val="21"/>
                                <w:szCs w:val="21"/>
                                <w:u w:val="single"/>
                              </w:rPr>
                              <w:t>-2,47 ml/min/1,73 m2 v rameni KINPEYGA vs. -7,52 ml/min/1,73 m2 v rameni placeba; rozdíl 5,05 [95% CI: 3,24; 7,38] ml/min/1,73 m2</w:t>
                            </w:r>
                            <w:r>
                              <w:rPr>
                                <w:color w:val="000000"/>
                                <w:sz w:val="21"/>
                                <w:szCs w:val="21"/>
                                <w:u w:val="single"/>
                              </w:rPr>
                              <w:t xml:space="preserve">; </w:t>
                            </w:r>
                            <w:r>
                              <w:rPr>
                                <w:b/>
                                <w:color w:val="000000"/>
                                <w:sz w:val="21"/>
                                <w:szCs w:val="21"/>
                                <w:u w:val="single"/>
                              </w:rPr>
                              <w:t>p&lt;0,0001</w:t>
                            </w:r>
                            <w:r>
                              <w:rPr>
                                <w:color w:val="000000"/>
                                <w:sz w:val="21"/>
                                <w:szCs w:val="21"/>
                                <w:u w:val="single"/>
                              </w:rPr>
                              <w:t xml:space="preserve">. </w:t>
                            </w:r>
                            <w:r>
                              <w:rPr>
                                <w:b/>
                                <w:color w:val="000000"/>
                                <w:sz w:val="21"/>
                                <w:szCs w:val="21"/>
                                <w:u w:val="single"/>
                              </w:rPr>
                              <w:t>Podíl pacientů bez hematurie během období sledování byl statisticky významně vyšší ve skupině s budesonidem oproti skupině s placebem</w:t>
                            </w:r>
                            <w:r>
                              <w:rPr>
                                <w:color w:val="000000"/>
                                <w:sz w:val="21"/>
                                <w:szCs w:val="21"/>
                              </w:rPr>
                              <w:t xml:space="preserve"> (94 (59 %) ze 158 vs. 59 (39 %) ze 152; </w:t>
                            </w:r>
                            <w:r>
                              <w:rPr>
                                <w:b/>
                                <w:color w:val="000000"/>
                                <w:sz w:val="21"/>
                                <w:szCs w:val="21"/>
                              </w:rPr>
                              <w:t>OR 2,5 [95%CI 1,6; 4,1]; p=0,0001</w:t>
                            </w:r>
                            <w:r>
                              <w:rPr>
                                <w:color w:val="000000"/>
                                <w:sz w:val="21"/>
                                <w:szCs w:val="21"/>
                              </w:rPr>
                              <w:t xml:space="preserve">; do analýzy byli zahrnuti pacienti s alespoň 2 měřeními během období sledování). Část A této studie sloužila pro registrační proceduru na EMA pro prokázání pozitivního poměru riziko/benefit (viz níže pozn. 6). </w:t>
                            </w:r>
                            <w:r>
                              <w:rPr>
                                <w:b/>
                                <w:color w:val="000000"/>
                                <w:sz w:val="21"/>
                                <w:szCs w:val="21"/>
                              </w:rPr>
                              <w:t>K dispozici zatím nejsou další data z klinické praxe (viz níže pozn. 124), která by informace a podklady z klinických studií potvrzovala či doplňovala</w:t>
                            </w:r>
                            <w:r>
                              <w:rPr>
                                <w:color w:val="000000"/>
                                <w:sz w:val="21"/>
                                <w:szCs w:val="21"/>
                              </w:rPr>
                              <w:t>.</w:t>
                            </w:r>
                            <w:r>
                              <w:rPr>
                                <w:color w:val="000000"/>
                                <w:sz w:val="21"/>
                                <w:szCs w:val="21"/>
                                <w:vertAlign w:val="superscript"/>
                              </w:rPr>
                              <w:t xml:space="preserve">28 </w:t>
                            </w:r>
                            <w:r>
                              <w:rPr>
                                <w:b/>
                                <w:color w:val="000000"/>
                                <w:sz w:val="21"/>
                                <w:szCs w:val="21"/>
                                <w:u w:val="single"/>
                              </w:rPr>
                              <w:t>Pro další informace viz níže pozn. 103 a Přílohu č. 21</w:t>
                            </w:r>
                            <w:r>
                              <w:rPr>
                                <w:color w:val="000000"/>
                                <w:sz w:val="21"/>
                                <w:szCs w:val="21"/>
                              </w:rPr>
                              <w:t>.</w:t>
                            </w:r>
                          </w:p>
                          <w:p w:rsidR="009C56BF" w:rsidRDefault="009C56BF">
                            <w:pPr>
                              <w:pStyle w:val="Obsahrmce"/>
                              <w:spacing w:after="0"/>
                              <w:jc w:val="both"/>
                              <w:rPr>
                                <w:color w:val="000000"/>
                                <w:sz w:val="21"/>
                                <w:szCs w:val="21"/>
                              </w:rPr>
                            </w:pPr>
                            <w:r>
                              <w:rPr>
                                <w:color w:val="000000"/>
                                <w:sz w:val="21"/>
                                <w:szCs w:val="21"/>
                                <w:u w:val="single"/>
                              </w:rPr>
                              <w:t>Po 9 ani 24 měsících léčby LP KINPEYGO ani placebem nebylo pozorováno žádné zlepšení kvality života pacientů s IgAN – SUKL vysvětluje, že dotazník SF-36 je generickým nástrojem a citlivost tohoto dotazníku tak může být pro zachycení potenciálních změn v kvalitě života pacientů s onemocněním ledvin oproti dotazníku specifickému pro onemocnění ledvin nižší</w:t>
                            </w:r>
                            <w:r>
                              <w:rPr>
                                <w:color w:val="000000"/>
                                <w:sz w:val="21"/>
                                <w:szCs w:val="21"/>
                                <w:u w:val="single"/>
                                <w:vertAlign w:val="superscript"/>
                              </w:rPr>
                              <w:t>2</w:t>
                            </w:r>
                            <w:r>
                              <w:rPr>
                                <w:color w:val="000000"/>
                                <w:sz w:val="21"/>
                                <w:szCs w:val="21"/>
                                <w:vertAlign w:val="superscript"/>
                              </w:rPr>
                              <w:t>8</w:t>
                            </w:r>
                            <w:r>
                              <w:rPr>
                                <w:color w:val="000000"/>
                                <w:sz w:val="21"/>
                                <w:szCs w:val="21"/>
                              </w:rPr>
                              <w:t xml:space="preserve">. </w:t>
                            </w:r>
                            <w:r>
                              <w:rPr>
                                <w:b/>
                                <w:color w:val="000000"/>
                                <w:sz w:val="21"/>
                                <w:szCs w:val="21"/>
                              </w:rPr>
                              <w:t>Vzhledem ke skutečnosti, že ve studii NefIgArd byla prokázána účinnost LP KINPEYGO spočívající ve zpomalení progrese IgAN a se zavedením léčby KINPEYGEM tak lze předpokládat oddálení ESRD (tj. konečné stádium onemocnění ledvin – ESRD, viz níže pozn. 87), je možné v delším časovém horizontu u pacientů, kteří podstoupí léčbu tímto LP očekávat vliv na zlepšení kvality života, práceschopnosti a pracovní a volnočasové produktivity, důkaz o tom však nebyl předložen</w:t>
                            </w:r>
                            <w:r>
                              <w:rPr>
                                <w:color w:val="000000"/>
                                <w:sz w:val="21"/>
                                <w:szCs w:val="21"/>
                                <w:vertAlign w:val="superscript"/>
                              </w:rPr>
                              <w:t>28</w:t>
                            </w:r>
                            <w:r>
                              <w:rPr>
                                <w:color w:val="000000"/>
                                <w:sz w:val="21"/>
                                <w:szCs w:val="21"/>
                              </w:rPr>
                              <w:t xml:space="preserve">. </w:t>
                            </w:r>
                          </w:p>
                          <w:p w:rsidR="009C56BF" w:rsidRDefault="009C56BF">
                            <w:pPr>
                              <w:pStyle w:val="Obsahrmce"/>
                              <w:spacing w:after="0"/>
                              <w:jc w:val="both"/>
                              <w:rPr>
                                <w:sz w:val="21"/>
                                <w:szCs w:val="21"/>
                              </w:rPr>
                            </w:pPr>
                            <w:r>
                              <w:rPr>
                                <w:b/>
                                <w:sz w:val="21"/>
                                <w:szCs w:val="21"/>
                                <w:u w:val="single"/>
                              </w:rPr>
                              <w:t>Ukončení léčby z důvodu nežádoucích příhod s možnou souvislostí s léčbou bylo ve studii NefIgArd zaznamenáno u 17 (9 %) pacientů ve skupině s budesonidem a u 3 (2 %) pacientů ve skupině s placebem</w:t>
                            </w:r>
                            <w:r>
                              <w:rPr>
                                <w:sz w:val="21"/>
                                <w:szCs w:val="21"/>
                              </w:rPr>
                              <w:t>. Závažné nežádoucí příhody s možnou souvislostí s léčbou byly během 9měsíční léčebné fáze pozorovány u 18 (10 %) pacientů ve skupině s budesonidem a u 9 (5 %) pacientů ve skupině s placebem, většina z nich byla posouzena jako s léčbou nesouvisející. Během 15měsíčního období sledování byl výskyt závažných nežádoucích příhod s možnou souvislostí s léčbou obdobný v obou sledovaných skupinách (8 %). Výskyt infekcí byl obdobný v obou ramenech.</w:t>
                            </w:r>
                            <w:r>
                              <w:rPr>
                                <w:sz w:val="21"/>
                                <w:szCs w:val="21"/>
                                <w:vertAlign w:val="superscript"/>
                              </w:rPr>
                              <w:t>28</w:t>
                            </w:r>
                            <w:r>
                              <w:rPr>
                                <w:sz w:val="21"/>
                                <w:szCs w:val="21"/>
                              </w:rPr>
                              <w:t xml:space="preserve"> – viz podrobněji Přílohu č. 21.</w:t>
                            </w:r>
                          </w:p>
                          <w:p w:rsidR="009C56BF" w:rsidRDefault="009C56BF">
                            <w:pPr>
                              <w:pStyle w:val="Obsahrmce"/>
                              <w:spacing w:after="0"/>
                              <w:jc w:val="both"/>
                              <w:rPr>
                                <w:sz w:val="21"/>
                                <w:szCs w:val="21"/>
                              </w:rPr>
                            </w:pPr>
                            <w:r>
                              <w:rPr>
                                <w:color w:val="000000"/>
                                <w:sz w:val="21"/>
                                <w:szCs w:val="21"/>
                                <w:u w:val="single"/>
                              </w:rPr>
                              <w:t>Dle analýzy nežádoucích příhod (dále jen „AE“) evidovaných FDA (publikováno v roce 2024</w:t>
                            </w:r>
                            <w:r>
                              <w:rPr>
                                <w:color w:val="000000"/>
                                <w:sz w:val="21"/>
                                <w:szCs w:val="21"/>
                                <w:u w:val="single"/>
                                <w:vertAlign w:val="superscript"/>
                              </w:rPr>
                              <w:t>121</w:t>
                            </w:r>
                            <w:r>
                              <w:rPr>
                                <w:color w:val="000000"/>
                                <w:sz w:val="21"/>
                                <w:szCs w:val="21"/>
                                <w:u w:val="single"/>
                              </w:rPr>
                              <w:t>) byl nalezen statistický rozdíl v kumulativní incidenci mezi pacienty ve věku 18 až 64 let a staršími pacienty ve věku 65 až 84 let, a dle autorů analýzy může být věk důležitým faktorem ovlivňujícím rychlost nástupu AE při stejné frekvenci AE, což naznačuje, že LP KINPEYGO může být lépe tolerován a bezpečnější u mladších pacientů</w:t>
                            </w:r>
                            <w:r>
                              <w:rPr>
                                <w:sz w:val="21"/>
                                <w:szCs w:val="21"/>
                                <w:u w:val="single"/>
                                <w:vertAlign w:val="superscript"/>
                              </w:rPr>
                              <w:t>121</w:t>
                            </w:r>
                            <w:r>
                              <w:rPr>
                                <w:sz w:val="21"/>
                                <w:szCs w:val="21"/>
                                <w:u w:val="single"/>
                              </w:rPr>
                              <w:t xml:space="preserve"> (viz podrobněji pozn. 122)</w:t>
                            </w:r>
                            <w:r>
                              <w:rPr>
                                <w:sz w:val="21"/>
                                <w:szCs w:val="21"/>
                              </w:rPr>
                              <w:t>.</w:t>
                            </w:r>
                          </w:p>
                          <w:p w:rsidR="009C56BF" w:rsidRDefault="009C56BF">
                            <w:pPr>
                              <w:pStyle w:val="Obsahrmce"/>
                              <w:jc w:val="both"/>
                              <w:rPr>
                                <w:rFonts w:ascii="Calibri" w:hAnsi="Calibri"/>
                                <w:color w:val="000000"/>
                                <w:sz w:val="19"/>
                              </w:rPr>
                            </w:pPr>
                            <w:r>
                              <w:rPr>
                                <w:b/>
                                <w:sz w:val="21"/>
                                <w:szCs w:val="21"/>
                                <w:highlight w:val="yellow"/>
                                <w:u w:val="single"/>
                              </w:rPr>
                              <w:t>Pokles eGFR během 2 let bude pravděpodobně nižší při užívání LP KINPEYGO u pacientů</w:t>
                            </w:r>
                            <w:r>
                              <w:rPr>
                                <w:b/>
                                <w:sz w:val="21"/>
                                <w:szCs w:val="21"/>
                                <w:highlight w:val="yellow"/>
                              </w:rPr>
                              <w:t>: (1) bez vstupní hematurie (oproti těm, s jejich přítomností), (2) při vstupním UPCR ˂ 1,5 g/g (oproti těm s ≥ 1,5 g/g) a/nebo (3) s ≥ 80% maximální dovolené dávky RAASi</w:t>
                            </w:r>
                            <w:r>
                              <w:rPr>
                                <w:b/>
                                <w:sz w:val="21"/>
                                <w:szCs w:val="21"/>
                                <w:highlight w:val="yellow"/>
                                <w:vertAlign w:val="superscript"/>
                              </w:rPr>
                              <w:t>92</w:t>
                            </w:r>
                            <w:r>
                              <w:rPr>
                                <w:b/>
                                <w:sz w:val="21"/>
                                <w:szCs w:val="21"/>
                                <w:highlight w:val="yellow"/>
                              </w:rPr>
                              <w:t xml:space="preserve"> (oproti těm s ˂ 80%) – viz Přílohu č. 21. </w:t>
                            </w:r>
                            <w:r>
                              <w:rPr>
                                <w:b/>
                                <w:sz w:val="21"/>
                                <w:szCs w:val="21"/>
                                <w:highlight w:val="yellow"/>
                                <w:u w:val="single"/>
                              </w:rPr>
                              <w:t>Maximální pokles proteinurie na léčbě KINPEYGEM oproti placebu (o 50 %) byl ve studii NefIgArd pozorován v měsíci 12 a následně se snižoval, což naznačuje potřebu opakované léčby KINPEYGEM alespoň u některých pacientů (viz Přílohu č. 21)</w:t>
                            </w:r>
                            <w:r>
                              <w:rPr>
                                <w:b/>
                                <w:sz w:val="21"/>
                                <w:szCs w:val="21"/>
                                <w:u w:val="single"/>
                              </w:rPr>
                              <w:t xml:space="preserve">. </w:t>
                            </w:r>
                            <w:r>
                              <w:rPr>
                                <w:b/>
                                <w:sz w:val="21"/>
                                <w:szCs w:val="21"/>
                              </w:rPr>
                              <w:t>Opakovaná léčba LP KINPEYGO je sledována v probíhající studii NefIgArd-OLE, data z této studie zatím nejsou dostupná - dle žadatele by tato studie měla být ukončena k 30. 6. 2024 (viz Přílohu č. 20).</w:t>
                            </w:r>
                            <w:r>
                              <w:rPr>
                                <w:b/>
                                <w:sz w:val="21"/>
                                <w:szCs w:val="21"/>
                                <w:u w:val="single"/>
                              </w:rPr>
                              <w:t xml:space="preserve"> Dle ČNS může být účinnost KINPEYGA při opakování léčby shodná jako při prvním cyklu léčby, ale může i klesat vlivem postupné progrese základního onemocnění v průběhu času (sklerotizace-jizvení v ledvinách).</w:t>
                            </w:r>
                            <w:r>
                              <w:rPr>
                                <w:b/>
                                <w:sz w:val="21"/>
                                <w:szCs w:val="21"/>
                                <w:vertAlign w:val="superscript"/>
                              </w:rPr>
                              <w:t>28</w:t>
                            </w:r>
                          </w:p>
                          <w:p w:rsidR="009C56BF" w:rsidRDefault="009C56BF">
                            <w:pPr>
                              <w:pStyle w:val="Default"/>
                              <w:jc w:val="both"/>
                              <w:rPr>
                                <w:sz w:val="21"/>
                                <w:szCs w:val="21"/>
                              </w:rPr>
                            </w:pPr>
                          </w:p>
                        </w:txbxContent>
                      </wps:txbx>
                      <wps:bodyPr lIns="91440" tIns="45720" rIns="91440" bIns="45720" anchor="t">
                        <a:noAutofit/>
                      </wps:bodyPr>
                    </wps:wsp>
                  </a:graphicData>
                </a:graphic>
              </wp:anchor>
            </w:drawing>
          </mc:Choice>
          <mc:Fallback>
            <w:pict>
              <v:shape id="Rámec5" o:spid="_x0000_s1027" type="#_x0000_t202" style="position:absolute;left:0;text-align:left;margin-left:-1.25pt;margin-top:1.6pt;width:543.75pt;height:699.35pt;z-index:361;visibility:visible;mso-wrap-style:square;mso-wrap-distance-left:.3pt;mso-wrap-distance-top:.3pt;mso-wrap-distance-right:.2pt;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" o:allowincell="f" fillcolor="#deeaf6" strokeweight=".5pt">
                <v:textbox>
                  <w:txbxContent>
                    <w:p w:rsidR="009C56BF" w:rsidRDefault="009C56BF">
                      <w:pPr>
                        <w:pStyle w:val="Obsahrmce"/>
                        <w:spacing w:after="0"/>
                        <w:jc w:val="both"/>
                        <w:rPr>
                          <w:color w:val="000000"/>
                          <w:sz w:val="21"/>
                          <w:szCs w:val="21"/>
                        </w:rPr>
                      </w:pPr>
                      <w:r>
                        <w:rPr>
                          <w:b/>
                          <w:color w:val="000000"/>
                          <w:sz w:val="21"/>
                          <w:szCs w:val="21"/>
                          <w:u w:val="single"/>
                        </w:rPr>
                        <w:t>Účinnost a bezpečnost LP KINPEYGO byla hodnocena v léčbě primární IgAN u dospělých pacientů s rizikem rychlé progrese onemocnění, kteří užívali blokátory RAAS</w:t>
                      </w:r>
                      <w:r>
                        <w:rPr>
                          <w:color w:val="000000"/>
                          <w:sz w:val="21"/>
                          <w:szCs w:val="21"/>
                        </w:rPr>
                        <w:t xml:space="preserve"> (viz níže pozn. 92), </w:t>
                      </w:r>
                      <w:r>
                        <w:rPr>
                          <w:b/>
                          <w:color w:val="000000"/>
                          <w:sz w:val="21"/>
                          <w:szCs w:val="21"/>
                          <w:u w:val="single"/>
                        </w:rPr>
                        <w:t xml:space="preserve">ve dvou rozsáhlých randomizovaných, dvojitě zaslepených, placebem kontrolovaných klinických studiích – studie fáze IIIa NefIgArd </w:t>
                      </w:r>
                      <w:r>
                        <w:rPr>
                          <w:color w:val="000000"/>
                          <w:sz w:val="21"/>
                          <w:szCs w:val="21"/>
                        </w:rPr>
                        <w:t xml:space="preserve">(NCT03643965) </w:t>
                      </w:r>
                      <w:r>
                        <w:rPr>
                          <w:b/>
                          <w:color w:val="000000"/>
                          <w:sz w:val="21"/>
                          <w:szCs w:val="21"/>
                          <w:u w:val="single"/>
                        </w:rPr>
                        <w:t xml:space="preserve">a studie fáze IIb NEFIGAN </w:t>
                      </w:r>
                      <w:r>
                        <w:rPr>
                          <w:color w:val="000000"/>
                          <w:sz w:val="21"/>
                          <w:szCs w:val="21"/>
                        </w:rPr>
                        <w:t>(NCT01738035)</w:t>
                      </w:r>
                      <w:r>
                        <w:rPr>
                          <w:color w:val="000000"/>
                          <w:sz w:val="21"/>
                          <w:szCs w:val="21"/>
                          <w:vertAlign w:val="superscript"/>
                        </w:rPr>
                        <w:t>5</w:t>
                      </w:r>
                      <w:r>
                        <w:rPr>
                          <w:color w:val="000000"/>
                          <w:sz w:val="21"/>
                          <w:szCs w:val="21"/>
                        </w:rPr>
                        <w:t xml:space="preserve"> – </w:t>
                      </w:r>
                      <w:r>
                        <w:rPr>
                          <w:b/>
                          <w:color w:val="000000"/>
                          <w:sz w:val="21"/>
                          <w:szCs w:val="21"/>
                        </w:rPr>
                        <w:t>viz podrobněji Přílohu č. 20</w:t>
                      </w:r>
                      <w:r>
                        <w:rPr>
                          <w:color w:val="000000"/>
                          <w:sz w:val="21"/>
                          <w:szCs w:val="21"/>
                        </w:rPr>
                        <w:t xml:space="preserve">. V obou studiích byla primárně hodnocena proteinurie (viz níže pozn. 10) po </w:t>
                      </w:r>
                      <w:proofErr w:type="gramStart"/>
                      <w:r>
                        <w:rPr>
                          <w:color w:val="000000"/>
                          <w:sz w:val="21"/>
                          <w:szCs w:val="21"/>
                        </w:rPr>
                        <w:t>9-ti</w:t>
                      </w:r>
                      <w:proofErr w:type="gramEnd"/>
                      <w:r>
                        <w:rPr>
                          <w:color w:val="000000"/>
                          <w:sz w:val="21"/>
                          <w:szCs w:val="21"/>
                        </w:rPr>
                        <w:t xml:space="preserve"> měsících léčby, resp. její snížení pomocí UPCR (viz níže pozn. 10) ve srovnání s výchozí hodnotou, dále byla hodnocena funkce ledvin pomocí klíčového sekundárního parametru - eGFR, a to po 9 a 12-ti měsících léčby</w:t>
                      </w:r>
                      <w:r>
                        <w:rPr>
                          <w:color w:val="000000"/>
                          <w:sz w:val="21"/>
                          <w:szCs w:val="21"/>
                          <w:vertAlign w:val="superscript"/>
                        </w:rPr>
                        <w:t>5</w:t>
                      </w:r>
                      <w:r>
                        <w:rPr>
                          <w:color w:val="000000"/>
                          <w:sz w:val="21"/>
                          <w:szCs w:val="21"/>
                        </w:rPr>
                        <w:t>.</w:t>
                      </w:r>
                    </w:p>
                    <w:p w:rsidR="009C56BF" w:rsidRDefault="009C56BF">
                      <w:pPr>
                        <w:pStyle w:val="Obsahrmce"/>
                        <w:spacing w:after="0"/>
                        <w:jc w:val="both"/>
                        <w:rPr>
                          <w:b/>
                          <w:color w:val="000000"/>
                          <w:sz w:val="21"/>
                          <w:szCs w:val="21"/>
                        </w:rPr>
                      </w:pPr>
                      <w:r>
                        <w:rPr>
                          <w:color w:val="000000"/>
                          <w:sz w:val="21"/>
                          <w:szCs w:val="21"/>
                        </w:rPr>
                        <w:t>Studii fáze 3 (</w:t>
                      </w:r>
                      <w:r>
                        <w:rPr>
                          <w:b/>
                          <w:color w:val="000000"/>
                          <w:sz w:val="21"/>
                          <w:szCs w:val="21"/>
                          <w:u w:val="single"/>
                        </w:rPr>
                        <w:t>studie NefIgArd</w:t>
                      </w:r>
                      <w:r>
                        <w:rPr>
                          <w:color w:val="000000"/>
                          <w:sz w:val="21"/>
                          <w:szCs w:val="21"/>
                        </w:rPr>
                        <w:t xml:space="preserve">), kde se přípravek KINPEYGO (jako přídatná terapie k podpůrné léčbě) srovnával s placebem (podpůrnou léčbou samotnou) – </w:t>
                      </w:r>
                      <w:r>
                        <w:rPr>
                          <w:b/>
                          <w:color w:val="000000"/>
                          <w:sz w:val="21"/>
                          <w:szCs w:val="21"/>
                        </w:rPr>
                        <w:t xml:space="preserve">tato studie (s celkem 364 pacienty) byla randomizovaná, dvojitě zaslepená, placebem kontrolovaná a </w:t>
                      </w:r>
                      <w:r>
                        <w:rPr>
                          <w:b/>
                          <w:color w:val="000000"/>
                          <w:sz w:val="21"/>
                          <w:szCs w:val="21"/>
                          <w:u w:val="single"/>
                        </w:rPr>
                        <w:t>skádala se ze 2 částí</w:t>
                      </w:r>
                      <w:r>
                        <w:rPr>
                          <w:b/>
                          <w:color w:val="000000"/>
                          <w:sz w:val="21"/>
                          <w:szCs w:val="21"/>
                        </w:rPr>
                        <w:t>:</w:t>
                      </w:r>
                      <w:r>
                        <w:rPr>
                          <w:color w:val="000000"/>
                          <w:sz w:val="21"/>
                          <w:szCs w:val="21"/>
                        </w:rPr>
                        <w:t xml:space="preserve"> (1) </w:t>
                      </w:r>
                      <w:r>
                        <w:rPr>
                          <w:b/>
                          <w:color w:val="000000"/>
                          <w:sz w:val="21"/>
                          <w:szCs w:val="21"/>
                        </w:rPr>
                        <w:t>část A:</w:t>
                      </w:r>
                      <w:r>
                        <w:rPr>
                          <w:color w:val="000000"/>
                          <w:sz w:val="21"/>
                          <w:szCs w:val="21"/>
                        </w:rPr>
                        <w:t xml:space="preserve"> 15-35 dnů screeningové období → 9měsíční léčebné období (budesonid 16 mg 1x denně) → 3měsíční období sledování (včetně 2týdenního období s dávkou budesonidu sníženou na 8 mg 1x denně), (2) </w:t>
                      </w:r>
                      <w:r>
                        <w:rPr>
                          <w:b/>
                          <w:color w:val="000000"/>
                          <w:sz w:val="21"/>
                          <w:szCs w:val="21"/>
                        </w:rPr>
                        <w:t>část B:</w:t>
                      </w:r>
                      <w:r>
                        <w:rPr>
                          <w:color w:val="000000"/>
                          <w:sz w:val="21"/>
                          <w:szCs w:val="21"/>
                        </w:rPr>
                        <w:t xml:space="preserve"> 12měsíční období sledování, </w:t>
                      </w:r>
                      <w:r>
                        <w:rPr>
                          <w:sz w:val="21"/>
                          <w:szCs w:val="21"/>
                        </w:rPr>
                        <w:t>kdy již nebyl podáván žádný studovaný lék.</w:t>
                      </w:r>
                      <w:r>
                        <w:rPr>
                          <w:sz w:val="21"/>
                          <w:szCs w:val="21"/>
                          <w:vertAlign w:val="superscript"/>
                        </w:rPr>
                        <w:t>5,</w:t>
                      </w:r>
                      <w:r>
                        <w:rPr>
                          <w:color w:val="000000"/>
                          <w:sz w:val="21"/>
                          <w:szCs w:val="21"/>
                          <w:vertAlign w:val="superscript"/>
                        </w:rPr>
                        <w:t>28</w:t>
                      </w:r>
                      <w:r>
                        <w:rPr>
                          <w:color w:val="000000"/>
                          <w:sz w:val="21"/>
                          <w:szCs w:val="21"/>
                        </w:rPr>
                        <w:t xml:space="preserve">. </w:t>
                      </w:r>
                      <w:r>
                        <w:rPr>
                          <w:b/>
                          <w:color w:val="000000"/>
                          <w:sz w:val="21"/>
                          <w:szCs w:val="21"/>
                        </w:rPr>
                        <w:t>Viz podrobněji Přílohu č. 20.</w:t>
                      </w:r>
                    </w:p>
                    <w:p w:rsidR="009C56BF" w:rsidRDefault="009C56BF">
                      <w:pPr>
                        <w:pStyle w:val="Obsahrmce"/>
                        <w:spacing w:after="0"/>
                        <w:jc w:val="both"/>
                        <w:rPr>
                          <w:color w:val="000000"/>
                          <w:sz w:val="4"/>
                          <w:szCs w:val="4"/>
                        </w:rPr>
                      </w:pPr>
                    </w:p>
                    <w:p w:rsidR="009C56BF" w:rsidRDefault="009C56BF">
                      <w:pPr>
                        <w:pStyle w:val="Obsahrmce"/>
                        <w:spacing w:after="0"/>
                        <w:jc w:val="both"/>
                        <w:rPr>
                          <w:color w:val="000000"/>
                          <w:sz w:val="21"/>
                          <w:szCs w:val="21"/>
                        </w:rPr>
                      </w:pPr>
                      <w:r>
                        <w:rPr>
                          <w:b/>
                          <w:color w:val="000000"/>
                          <w:sz w:val="21"/>
                          <w:szCs w:val="21"/>
                          <w:u w:val="single"/>
                        </w:rPr>
                        <w:t>Studie NefIgArd prokázala po 9 měsících léčby vyšší účinnost LP KINPEYGA v parametru snížení UPCR</w:t>
                      </w:r>
                      <w:r>
                        <w:rPr>
                          <w:b/>
                          <w:color w:val="000000"/>
                          <w:sz w:val="21"/>
                          <w:szCs w:val="21"/>
                        </w:rPr>
                        <w:t xml:space="preserve"> (tj. poměr protein/kreatinin v moči – viz níže pozn. 10) </w:t>
                      </w:r>
                      <w:r>
                        <w:rPr>
                          <w:b/>
                          <w:color w:val="000000"/>
                          <w:sz w:val="21"/>
                          <w:szCs w:val="21"/>
                          <w:u w:val="single"/>
                        </w:rPr>
                        <w:t xml:space="preserve">o 27 % [95%CI: 13-39 </w:t>
                      </w:r>
                      <w:r>
                        <w:rPr>
                          <w:color w:val="000000"/>
                          <w:sz w:val="21"/>
                          <w:szCs w:val="21"/>
                          <w:u w:val="single"/>
                        </w:rPr>
                        <w:t xml:space="preserve">%]; </w:t>
                      </w:r>
                      <w:r>
                        <w:rPr>
                          <w:b/>
                          <w:color w:val="000000"/>
                          <w:sz w:val="21"/>
                          <w:szCs w:val="21"/>
                          <w:u w:val="single"/>
                        </w:rPr>
                        <w:t>p=0,0003</w:t>
                      </w:r>
                      <w:r>
                        <w:rPr>
                          <w:color w:val="000000"/>
                          <w:sz w:val="21"/>
                          <w:szCs w:val="21"/>
                        </w:rPr>
                        <w:t xml:space="preserve"> (byl to primární sledovaný parametr v části A studie) a u podskupiny pacientů se vstupní hodnotou UPCR ≥1,5 g/g také v parametru zlepšení eGFR (tj. odhadovaná glomerulární filtrace) o 17 % [95 %CI: 8-27 %] </w:t>
                      </w:r>
                      <w:r>
                        <w:rPr>
                          <w:b/>
                          <w:color w:val="000000"/>
                          <w:sz w:val="21"/>
                          <w:szCs w:val="21"/>
                          <w:u w:val="single"/>
                        </w:rPr>
                        <w:t>a dále u celé populace pacientů zařazených do studie v parametru zpomalení poklesu eGFR v průběhu 2 let</w:t>
                      </w:r>
                      <w:r>
                        <w:rPr>
                          <w:b/>
                          <w:color w:val="000000"/>
                          <w:sz w:val="21"/>
                          <w:szCs w:val="21"/>
                        </w:rPr>
                        <w:t xml:space="preserve"> </w:t>
                      </w:r>
                      <w:r>
                        <w:rPr>
                          <w:color w:val="000000"/>
                          <w:sz w:val="21"/>
                          <w:szCs w:val="21"/>
                        </w:rPr>
                        <w:t>(byl to primární sledovaný parametr v části B studie)</w:t>
                      </w:r>
                      <w:r>
                        <w:rPr>
                          <w:b/>
                          <w:color w:val="000000"/>
                          <w:sz w:val="21"/>
                          <w:szCs w:val="21"/>
                        </w:rPr>
                        <w:t xml:space="preserve">: </w:t>
                      </w:r>
                      <w:r>
                        <w:rPr>
                          <w:b/>
                          <w:color w:val="000000"/>
                          <w:sz w:val="21"/>
                          <w:szCs w:val="21"/>
                          <w:u w:val="single"/>
                        </w:rPr>
                        <w:t>-2,47 ml/min/1,73 m2 v rameni KINPEYGA vs. -7,52 ml/min/1,73 m2 v rameni placeba; rozdíl 5,05 [95% CI: 3,24; 7,38] ml/min/1,73 m2</w:t>
                      </w:r>
                      <w:r>
                        <w:rPr>
                          <w:color w:val="000000"/>
                          <w:sz w:val="21"/>
                          <w:szCs w:val="21"/>
                          <w:u w:val="single"/>
                        </w:rPr>
                        <w:t xml:space="preserve">; </w:t>
                      </w:r>
                      <w:r>
                        <w:rPr>
                          <w:b/>
                          <w:color w:val="000000"/>
                          <w:sz w:val="21"/>
                          <w:szCs w:val="21"/>
                          <w:u w:val="single"/>
                        </w:rPr>
                        <w:t>p&lt;0,0001</w:t>
                      </w:r>
                      <w:r>
                        <w:rPr>
                          <w:color w:val="000000"/>
                          <w:sz w:val="21"/>
                          <w:szCs w:val="21"/>
                          <w:u w:val="single"/>
                        </w:rPr>
                        <w:t xml:space="preserve">. </w:t>
                      </w:r>
                      <w:r>
                        <w:rPr>
                          <w:b/>
                          <w:color w:val="000000"/>
                          <w:sz w:val="21"/>
                          <w:szCs w:val="21"/>
                          <w:u w:val="single"/>
                        </w:rPr>
                        <w:t>Podíl pacientů bez hematurie během období sledování byl statisticky významně vyšší ve skupině s budesonidem oproti skupině s placebem</w:t>
                      </w:r>
                      <w:r>
                        <w:rPr>
                          <w:color w:val="000000"/>
                          <w:sz w:val="21"/>
                          <w:szCs w:val="21"/>
                        </w:rPr>
                        <w:t xml:space="preserve"> (94 (59 %) ze 158 vs. 59 (39 %) ze 152; </w:t>
                      </w:r>
                      <w:r>
                        <w:rPr>
                          <w:b/>
                          <w:color w:val="000000"/>
                          <w:sz w:val="21"/>
                          <w:szCs w:val="21"/>
                        </w:rPr>
                        <w:t>OR 2,5 [95%CI 1,6; 4,1]; p=0,0001</w:t>
                      </w:r>
                      <w:r>
                        <w:rPr>
                          <w:color w:val="000000"/>
                          <w:sz w:val="21"/>
                          <w:szCs w:val="21"/>
                        </w:rPr>
                        <w:t xml:space="preserve">; do analýzy byli zahrnuti pacienti s alespoň 2 měřeními během období sledování). Část A této studie sloužila pro registrační proceduru na EMA pro prokázání pozitivního poměru riziko/benefit (viz níže pozn. 6). </w:t>
                      </w:r>
                      <w:r>
                        <w:rPr>
                          <w:b/>
                          <w:color w:val="000000"/>
                          <w:sz w:val="21"/>
                          <w:szCs w:val="21"/>
                        </w:rPr>
                        <w:t>K dispozici zatím nejsou další data z klinické praxe (viz níže pozn. 124), která by informace a podklady z klinických studií potvrzovala či doplňovala</w:t>
                      </w:r>
                      <w:r>
                        <w:rPr>
                          <w:color w:val="000000"/>
                          <w:sz w:val="21"/>
                          <w:szCs w:val="21"/>
                        </w:rPr>
                        <w:t>.</w:t>
                      </w:r>
                      <w:r>
                        <w:rPr>
                          <w:color w:val="000000"/>
                          <w:sz w:val="21"/>
                          <w:szCs w:val="21"/>
                          <w:vertAlign w:val="superscript"/>
                        </w:rPr>
                        <w:t xml:space="preserve">28 </w:t>
                      </w:r>
                      <w:r>
                        <w:rPr>
                          <w:b/>
                          <w:color w:val="000000"/>
                          <w:sz w:val="21"/>
                          <w:szCs w:val="21"/>
                          <w:u w:val="single"/>
                        </w:rPr>
                        <w:t>Pro další informace viz níže pozn. 103 a Přílohu č. 21</w:t>
                      </w:r>
                      <w:r>
                        <w:rPr>
                          <w:color w:val="000000"/>
                          <w:sz w:val="21"/>
                          <w:szCs w:val="21"/>
                        </w:rPr>
                        <w:t>.</w:t>
                      </w:r>
                    </w:p>
                    <w:p w:rsidR="009C56BF" w:rsidRDefault="009C56BF">
                      <w:pPr>
                        <w:pStyle w:val="Obsahrmce"/>
                        <w:spacing w:after="0"/>
                        <w:jc w:val="both"/>
                        <w:rPr>
                          <w:color w:val="000000"/>
                          <w:sz w:val="21"/>
                          <w:szCs w:val="21"/>
                        </w:rPr>
                      </w:pPr>
                      <w:r>
                        <w:rPr>
                          <w:color w:val="000000"/>
                          <w:sz w:val="21"/>
                          <w:szCs w:val="21"/>
                          <w:u w:val="single"/>
                        </w:rPr>
                        <w:t>Po 9 ani 24 měsících léčby LP KINPEYGO ani placebem nebylo pozorováno žádné zlepšení kvality života pacientů s IgAN – SUKL vysvětluje, že dotazník SF-36 je generickým nástrojem a citlivost tohoto dotazníku tak může být pro zachycení potenciálních změn v kvalitě života pacientů s onemocněním ledvin oproti dotazníku specifickému pro onemocnění ledvin nižší</w:t>
                      </w:r>
                      <w:r>
                        <w:rPr>
                          <w:color w:val="000000"/>
                          <w:sz w:val="21"/>
                          <w:szCs w:val="21"/>
                          <w:u w:val="single"/>
                          <w:vertAlign w:val="superscript"/>
                        </w:rPr>
                        <w:t>2</w:t>
                      </w:r>
                      <w:r>
                        <w:rPr>
                          <w:color w:val="000000"/>
                          <w:sz w:val="21"/>
                          <w:szCs w:val="21"/>
                          <w:vertAlign w:val="superscript"/>
                        </w:rPr>
                        <w:t>8</w:t>
                      </w:r>
                      <w:r>
                        <w:rPr>
                          <w:color w:val="000000"/>
                          <w:sz w:val="21"/>
                          <w:szCs w:val="21"/>
                        </w:rPr>
                        <w:t xml:space="preserve">. </w:t>
                      </w:r>
                      <w:r>
                        <w:rPr>
                          <w:b/>
                          <w:color w:val="000000"/>
                          <w:sz w:val="21"/>
                          <w:szCs w:val="21"/>
                        </w:rPr>
                        <w:t>Vzhledem ke skutečnosti, že ve studii NefIgArd byla prokázána účinnost LP KINPEYGO spočívající ve zpomalení progrese IgAN a se zavedením léčby KINPEYGEM tak lze předpokládat oddálení ESRD (tj. konečné stádium onemocnění ledvin – ESRD, viz níže pozn. 87), je možné v delším časovém horizontu u pacientů, kteří podstoupí léčbu tímto LP očekávat vliv na zlepšení kvality života, práceschopnosti a pracovní a volnočasové produktivity, důkaz o tom však nebyl předložen</w:t>
                      </w:r>
                      <w:r>
                        <w:rPr>
                          <w:color w:val="000000"/>
                          <w:sz w:val="21"/>
                          <w:szCs w:val="21"/>
                          <w:vertAlign w:val="superscript"/>
                        </w:rPr>
                        <w:t>28</w:t>
                      </w:r>
                      <w:r>
                        <w:rPr>
                          <w:color w:val="000000"/>
                          <w:sz w:val="21"/>
                          <w:szCs w:val="21"/>
                        </w:rPr>
                        <w:t xml:space="preserve">. </w:t>
                      </w:r>
                    </w:p>
                    <w:p w:rsidR="009C56BF" w:rsidRDefault="009C56BF">
                      <w:pPr>
                        <w:pStyle w:val="Obsahrmce"/>
                        <w:spacing w:after="0"/>
                        <w:jc w:val="both"/>
                        <w:rPr>
                          <w:sz w:val="21"/>
                          <w:szCs w:val="21"/>
                        </w:rPr>
                      </w:pPr>
                      <w:r>
                        <w:rPr>
                          <w:b/>
                          <w:sz w:val="21"/>
                          <w:szCs w:val="21"/>
                          <w:u w:val="single"/>
                        </w:rPr>
                        <w:t>Ukončení léčby z důvodu nežádoucích příhod s možnou souvislostí s léčbou bylo ve studii NefIgArd zaznamenáno u 17 (9 %) pacientů ve skupině s budesonidem a u 3 (2 %) pacientů ve skupině s placebem</w:t>
                      </w:r>
                      <w:r>
                        <w:rPr>
                          <w:sz w:val="21"/>
                          <w:szCs w:val="21"/>
                        </w:rPr>
                        <w:t>. Závažné nežádoucí příhody s možnou souvislostí s léčbou byly během 9měsíční léčebné fáze pozorovány u 18 (10 %) pacientů ve skupině s budesonidem a u 9 (5 %) pacientů ve skupině s placebem, většina z nich byla posouzena jako s léčbou nesouvisející. Během 15měsíčního období sledování byl výskyt závažných nežádoucích příhod s možnou souvislostí s léčbou obdobný v obou sledovaných skupinách (8 %). Výskyt infekcí byl obdobný v obou ramenech.</w:t>
                      </w:r>
                      <w:r>
                        <w:rPr>
                          <w:sz w:val="21"/>
                          <w:szCs w:val="21"/>
                          <w:vertAlign w:val="superscript"/>
                        </w:rPr>
                        <w:t>28</w:t>
                      </w:r>
                      <w:r>
                        <w:rPr>
                          <w:sz w:val="21"/>
                          <w:szCs w:val="21"/>
                        </w:rPr>
                        <w:t xml:space="preserve"> – viz podrobněji Přílohu č. 21.</w:t>
                      </w:r>
                    </w:p>
                    <w:p w:rsidR="009C56BF" w:rsidRDefault="009C56BF">
                      <w:pPr>
                        <w:pStyle w:val="Obsahrmce"/>
                        <w:spacing w:after="0"/>
                        <w:jc w:val="both"/>
                        <w:rPr>
                          <w:sz w:val="21"/>
                          <w:szCs w:val="21"/>
                        </w:rPr>
                      </w:pPr>
                      <w:r>
                        <w:rPr>
                          <w:color w:val="000000"/>
                          <w:sz w:val="21"/>
                          <w:szCs w:val="21"/>
                          <w:u w:val="single"/>
                        </w:rPr>
                        <w:t>Dle analýzy nežádoucích příhod (dále jen „AE“) evidovaných FDA (publikováno v roce 2024</w:t>
                      </w:r>
                      <w:r>
                        <w:rPr>
                          <w:color w:val="000000"/>
                          <w:sz w:val="21"/>
                          <w:szCs w:val="21"/>
                          <w:u w:val="single"/>
                          <w:vertAlign w:val="superscript"/>
                        </w:rPr>
                        <w:t>121</w:t>
                      </w:r>
                      <w:r>
                        <w:rPr>
                          <w:color w:val="000000"/>
                          <w:sz w:val="21"/>
                          <w:szCs w:val="21"/>
                          <w:u w:val="single"/>
                        </w:rPr>
                        <w:t>) byl nalezen statistický rozdíl v kumulativní incidenci mezi pacienty ve věku 18 až 64 let a staršími pacienty ve věku 65 až 84 let, a dle autorů analýzy může být věk důležitým faktorem ovlivňujícím rychlost nástupu AE při stejné frekvenci AE, což naznačuje, že LP KINPEYGO může být lépe tolerován a bezpečnější u mladších pacientů</w:t>
                      </w:r>
                      <w:r>
                        <w:rPr>
                          <w:sz w:val="21"/>
                          <w:szCs w:val="21"/>
                          <w:u w:val="single"/>
                          <w:vertAlign w:val="superscript"/>
                        </w:rPr>
                        <w:t>121</w:t>
                      </w:r>
                      <w:r>
                        <w:rPr>
                          <w:sz w:val="21"/>
                          <w:szCs w:val="21"/>
                          <w:u w:val="single"/>
                        </w:rPr>
                        <w:t xml:space="preserve"> (viz podrobněji pozn. 122)</w:t>
                      </w:r>
                      <w:r>
                        <w:rPr>
                          <w:sz w:val="21"/>
                          <w:szCs w:val="21"/>
                        </w:rPr>
                        <w:t>.</w:t>
                      </w:r>
                    </w:p>
                    <w:p w:rsidR="009C56BF" w:rsidRDefault="009C56BF">
                      <w:pPr>
                        <w:pStyle w:val="Obsahrmce"/>
                        <w:jc w:val="both"/>
                        <w:rPr>
                          <w:rFonts w:ascii="Calibri" w:hAnsi="Calibri"/>
                          <w:color w:val="000000"/>
                          <w:sz w:val="19"/>
                        </w:rPr>
                      </w:pPr>
                      <w:r>
                        <w:rPr>
                          <w:b/>
                          <w:sz w:val="21"/>
                          <w:szCs w:val="21"/>
                          <w:highlight w:val="yellow"/>
                          <w:u w:val="single"/>
                        </w:rPr>
                        <w:t>Pokles eGFR během 2 let bude pravděpodobně nižší při užívání LP KINPEYGO u pacientů</w:t>
                      </w:r>
                      <w:r>
                        <w:rPr>
                          <w:b/>
                          <w:sz w:val="21"/>
                          <w:szCs w:val="21"/>
                          <w:highlight w:val="yellow"/>
                        </w:rPr>
                        <w:t>: (1) bez vstupní hematurie (oproti těm, s jejich přítomností), (2) při vstupním UPCR ˂ 1,5 g/g (oproti těm s ≥ 1,5 g/g) a/nebo (3) s ≥ 80% maximální dovolené dávky RAASi</w:t>
                      </w:r>
                      <w:r>
                        <w:rPr>
                          <w:b/>
                          <w:sz w:val="21"/>
                          <w:szCs w:val="21"/>
                          <w:highlight w:val="yellow"/>
                          <w:vertAlign w:val="superscript"/>
                        </w:rPr>
                        <w:t>92</w:t>
                      </w:r>
                      <w:r>
                        <w:rPr>
                          <w:b/>
                          <w:sz w:val="21"/>
                          <w:szCs w:val="21"/>
                          <w:highlight w:val="yellow"/>
                        </w:rPr>
                        <w:t xml:space="preserve"> (oproti těm s ˂ 80%) – viz Přílohu č. 21. </w:t>
                      </w:r>
                      <w:r>
                        <w:rPr>
                          <w:b/>
                          <w:sz w:val="21"/>
                          <w:szCs w:val="21"/>
                          <w:highlight w:val="yellow"/>
                          <w:u w:val="single"/>
                        </w:rPr>
                        <w:t>Maximální pokles proteinurie na léčbě KINPEYGEM oproti placebu (o 50 %) byl ve studii NefIgArd pozorován v měsíci 12 a následně se snižoval, což naznačuje potřebu opakované léčby KINPEYGEM alespoň u některých pacientů (viz Přílohu č. 21)</w:t>
                      </w:r>
                      <w:r>
                        <w:rPr>
                          <w:b/>
                          <w:sz w:val="21"/>
                          <w:szCs w:val="21"/>
                          <w:u w:val="single"/>
                        </w:rPr>
                        <w:t xml:space="preserve">. </w:t>
                      </w:r>
                      <w:r>
                        <w:rPr>
                          <w:b/>
                          <w:sz w:val="21"/>
                          <w:szCs w:val="21"/>
                        </w:rPr>
                        <w:t>Opakovaná léčba LP KINPEYGO je sledována v probíhající studii NefIgArd-OLE, data z této studie zatím nejsou dostupná - dle žadatele by tato studie měla být ukončena k 30. 6. 2024 (viz Přílohu č. 20).</w:t>
                      </w:r>
                      <w:r>
                        <w:rPr>
                          <w:b/>
                          <w:sz w:val="21"/>
                          <w:szCs w:val="21"/>
                          <w:u w:val="single"/>
                        </w:rPr>
                        <w:t xml:space="preserve"> Dle ČNS může být účinnost KINPEYGA při opakování léčby shodná jako při prvním cyklu léčby, ale může i klesat vlivem postupné progrese základního onemocnění v průběhu času (sklerotizace-jizvení v ledvinách).</w:t>
                      </w:r>
                      <w:r>
                        <w:rPr>
                          <w:b/>
                          <w:sz w:val="21"/>
                          <w:szCs w:val="21"/>
                          <w:vertAlign w:val="superscript"/>
                        </w:rPr>
                        <w:t>28</w:t>
                      </w:r>
                    </w:p>
                    <w:p w:rsidR="009C56BF" w:rsidRDefault="009C56BF">
                      <w:pPr>
                        <w:pStyle w:val="Default"/>
                        <w:jc w:val="both"/>
                        <w:rPr>
                          <w:sz w:val="21"/>
                          <w:szCs w:val="21"/>
                        </w:rPr>
                      </w:pPr>
                    </w:p>
                  </w:txbxContent>
                </v:textbox>
              </v:shape>
            </w:pict>
          </mc:Fallback>
        </mc:AlternateContent>
      </w: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rPr>
          <w:sz w:val="21"/>
          <w:szCs w:val="21"/>
        </w:rPr>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pPr>
    </w:p>
    <w:p w:rsidR="00033807" w:rsidRDefault="00033807">
      <w:pPr>
        <w:spacing w:after="0"/>
        <w:jc w:val="both"/>
        <w:rPr>
          <w:b/>
          <w:bCs/>
          <w:sz w:val="21"/>
          <w:szCs w:val="21"/>
          <w:highlight w:val="cyan"/>
          <w:u w:val="single"/>
        </w:rPr>
      </w:pPr>
    </w:p>
    <w:p w:rsidR="00033807" w:rsidRDefault="00033807">
      <w:pPr>
        <w:spacing w:after="0"/>
        <w:jc w:val="both"/>
        <w:rPr>
          <w:b/>
          <w:bCs/>
          <w:sz w:val="21"/>
          <w:szCs w:val="21"/>
          <w:highlight w:val="cyan"/>
          <w:u w:val="single"/>
        </w:rPr>
      </w:pPr>
    </w:p>
    <w:p w:rsidR="00033807" w:rsidRDefault="00033807">
      <w:pPr>
        <w:spacing w:after="0"/>
        <w:jc w:val="both"/>
        <w:rPr>
          <w:b/>
          <w:bCs/>
          <w:sz w:val="21"/>
          <w:szCs w:val="21"/>
          <w:highlight w:val="cyan"/>
          <w:u w:val="single"/>
        </w:rPr>
      </w:pPr>
    </w:p>
    <w:p w:rsidR="00033807" w:rsidRDefault="00033807">
      <w:pPr>
        <w:spacing w:after="0"/>
        <w:jc w:val="both"/>
        <w:rPr>
          <w:b/>
          <w:bCs/>
          <w:sz w:val="21"/>
          <w:szCs w:val="21"/>
          <w:highlight w:val="cyan"/>
          <w:u w:val="single"/>
        </w:rPr>
      </w:pPr>
    </w:p>
    <w:p w:rsidR="00033807" w:rsidRDefault="00033807">
      <w:pPr>
        <w:spacing w:after="0"/>
        <w:jc w:val="both"/>
        <w:rPr>
          <w:b/>
          <w:bCs/>
          <w:sz w:val="21"/>
          <w:szCs w:val="21"/>
          <w:highlight w:val="cyan"/>
          <w:u w:val="single"/>
        </w:rPr>
      </w:pPr>
    </w:p>
    <w:p w:rsidR="00033807" w:rsidRDefault="00033807">
      <w:pPr>
        <w:spacing w:after="0"/>
        <w:jc w:val="both"/>
        <w:rPr>
          <w:b/>
          <w:bCs/>
          <w:sz w:val="21"/>
          <w:szCs w:val="21"/>
          <w:highlight w:val="cyan"/>
          <w:u w:val="single"/>
        </w:rPr>
      </w:pPr>
    </w:p>
    <w:p w:rsidR="00033807" w:rsidRDefault="00C071AF">
      <w:pPr>
        <w:spacing w:after="0"/>
        <w:jc w:val="both"/>
        <w:rPr>
          <w:b/>
          <w:bCs/>
        </w:rPr>
      </w:pPr>
      <w:r w:rsidRPr="00EC03A0">
        <w:rPr>
          <w:b/>
          <w:bCs/>
          <w:highlight w:val="cyan"/>
          <w:u w:val="single"/>
        </w:rPr>
        <w:t>Na základě výsledků studie NefIgArd SUKL považuje komparativní účinnost LP KINPEYGA přidaného k podpůrné léčbě spočívající ve zpomalení progrese IgAN oproti podpůrné léčbě samotné u cílové populace pacientů za prokázanou při zachování dobré bezpečnosti</w:t>
      </w:r>
      <w:r w:rsidRPr="00EC03A0">
        <w:rPr>
          <w:b/>
          <w:bCs/>
          <w:highlight w:val="cyan"/>
          <w:u w:val="single"/>
          <w:vertAlign w:val="superscript"/>
        </w:rPr>
        <w:t>28</w:t>
      </w:r>
      <w:r w:rsidRPr="00EC03A0">
        <w:rPr>
          <w:b/>
          <w:bCs/>
        </w:rPr>
        <w:t>.</w:t>
      </w:r>
    </w:p>
    <w:p w:rsidR="00E53177" w:rsidRPr="00EC03A0" w:rsidRDefault="00E53177">
      <w:pPr>
        <w:spacing w:after="0"/>
        <w:jc w:val="both"/>
      </w:pPr>
    </w:p>
    <w:p w:rsidR="00E53177" w:rsidRDefault="00E53177">
      <w:pPr>
        <w:spacing w:after="0"/>
        <w:jc w:val="both"/>
      </w:pPr>
    </w:p>
    <w:p w:rsidR="00033807" w:rsidRPr="00EC03A0" w:rsidRDefault="00C071AF">
      <w:pPr>
        <w:spacing w:after="0"/>
        <w:jc w:val="both"/>
      </w:pPr>
      <w:r w:rsidRPr="00EC03A0">
        <w:t>Z dostupných doporučených postupů a vyjádření ČNS ze dne 21. 9. 2023 SUKL považuje za relevantní komparátor v posuzované indikaci placebo, resp. podpůrnou léčbu zahrnující ACEI nebo ARB (± dapagliflozin) a prednison jako přídatná terapie k podpůrné léčbě</w:t>
      </w:r>
      <w:r w:rsidRPr="00EC03A0">
        <w:rPr>
          <w:vertAlign w:val="superscript"/>
        </w:rPr>
        <w:t>28</w:t>
      </w:r>
      <w:r w:rsidRPr="00EC03A0">
        <w:t xml:space="preserve">. </w:t>
      </w:r>
      <w:r w:rsidRPr="00EC03A0">
        <w:rPr>
          <w:b/>
        </w:rPr>
        <w:t>Dle údajů uvedených ve S</w:t>
      </w:r>
      <w:r w:rsidR="002728FC">
        <w:rPr>
          <w:b/>
        </w:rPr>
        <w:t>Ř</w:t>
      </w:r>
      <w:r w:rsidRPr="00EC03A0">
        <w:rPr>
          <w:b/>
        </w:rPr>
        <w:t xml:space="preserve"> k LP KINPEYGO vyplývá, že prednisonem je v české klinické praxi léčeno jen 6 % pacientů (dle vyjádření ČNS), neboť vzhledem k toxicitě systémové léčby kortikosteroidy je před zahájením léčby prednisonem nezbytné posoudit, zda lze u konkrétního pacienta očekávat příznivý poměr riziko/benefit či nikoli - oproti léčbě prednisonem je preferována experimentální léčba (účast v klinické studii), jak vyplývá také z doporučení KDIGO 2021</w:t>
      </w:r>
      <w:r w:rsidRPr="00EC03A0">
        <w:rPr>
          <w:b/>
          <w:vertAlign w:val="superscript"/>
        </w:rPr>
        <w:t>28</w:t>
      </w:r>
      <w:r w:rsidRPr="00EC03A0">
        <w:t xml:space="preserve">. </w:t>
      </w:r>
      <w:r w:rsidRPr="00EC03A0">
        <w:rPr>
          <w:b/>
          <w:u w:val="single"/>
        </w:rPr>
        <w:t>Oproti podpůrné léčbě léčbě samotné je přípravek (dle SUKLu) na základě publikované randomizované kontrolované studie fáze 3 statisticky i klinicky významně účinnější při zachování dobré bezpečnosti</w:t>
      </w:r>
      <w:r w:rsidRPr="00EC03A0">
        <w:rPr>
          <w:b/>
        </w:rPr>
        <w:t>, oproti terapii prednisonem bylo SUKLu předloženo nepublikované nepřímé srovnání v režimu obchodního tajemství, které je zatíženo významnými limitacemi - ke komparativní účinnosti TRF-budesonidu přidaného k podpůrné léčbě oproti prednisonu přidanému se tedy (podle SUKLu) nelze vyjádřit,</w:t>
      </w:r>
      <w:r w:rsidRPr="00EC03A0">
        <w:rPr>
          <w:b/>
          <w:u w:val="single"/>
        </w:rPr>
        <w:t xml:space="preserve"> nicméně TRF-budesonid představuje </w:t>
      </w:r>
      <w:r w:rsidR="00C71AAF" w:rsidRPr="00EC03A0">
        <w:rPr>
          <w:b/>
          <w:u w:val="single"/>
        </w:rPr>
        <w:t xml:space="preserve">(podle SUKLu) </w:t>
      </w:r>
      <w:r w:rsidRPr="00EC03A0">
        <w:rPr>
          <w:b/>
          <w:u w:val="single"/>
        </w:rPr>
        <w:t>oproti systémovým kortikosteroidům bezpečnější způsob léčby</w:t>
      </w:r>
      <w:r w:rsidRPr="00EC03A0">
        <w:rPr>
          <w:vertAlign w:val="superscript"/>
        </w:rPr>
        <w:t>28</w:t>
      </w:r>
      <w:r w:rsidRPr="00EC03A0">
        <w:t>.</w:t>
      </w:r>
    </w:p>
    <w:p w:rsidR="00033807" w:rsidRPr="00EC03A0" w:rsidRDefault="00033807">
      <w:pPr>
        <w:spacing w:after="0"/>
        <w:jc w:val="both"/>
        <w:rPr>
          <w:sz w:val="4"/>
          <w:szCs w:val="4"/>
        </w:rPr>
      </w:pPr>
    </w:p>
    <w:p w:rsidR="00033807" w:rsidRDefault="00C071AF">
      <w:pPr>
        <w:spacing w:after="0"/>
        <w:jc w:val="both"/>
        <w:rPr>
          <w:highlight w:val="cyan"/>
          <w:vertAlign w:val="superscript"/>
        </w:rPr>
      </w:pPr>
      <w:r w:rsidRPr="00EC03A0">
        <w:rPr>
          <w:highlight w:val="cyan"/>
        </w:rPr>
        <w:t>Cochrane review provedené v roce 2020</w:t>
      </w:r>
      <w:r w:rsidRPr="00EC03A0">
        <w:rPr>
          <w:highlight w:val="cyan"/>
          <w:vertAlign w:val="superscript"/>
        </w:rPr>
        <w:t>127</w:t>
      </w:r>
      <w:r w:rsidRPr="00EC03A0">
        <w:rPr>
          <w:highlight w:val="cyan"/>
        </w:rPr>
        <w:t xml:space="preserve"> zjistilo, že u pacientů s </w:t>
      </w:r>
      <w:proofErr w:type="gramStart"/>
      <w:r w:rsidRPr="00EC03A0">
        <w:rPr>
          <w:highlight w:val="cyan"/>
        </w:rPr>
        <w:t>proteinurií  &gt;</w:t>
      </w:r>
      <w:proofErr w:type="gramEnd"/>
      <w:r w:rsidRPr="00EC03A0">
        <w:rPr>
          <w:highlight w:val="cyan"/>
        </w:rPr>
        <w:t xml:space="preserve"> 1 g/den léčba glukokortikoidy snížila vylučování bílkovin močí, vyvolala úplnější remisi a snížila riziko progrese do ESRD (viz níže pozn. 87) ve srovnání s placebem nebo standardní léčbou </w:t>
      </w:r>
      <w:r w:rsidR="00DB7AAC" w:rsidRPr="00EC03A0">
        <w:rPr>
          <w:highlight w:val="cyan"/>
        </w:rPr>
        <w:t xml:space="preserve">(viz podrobněji Přílohu č. 24) </w:t>
      </w:r>
      <w:r w:rsidRPr="00EC03A0">
        <w:rPr>
          <w:highlight w:val="cyan"/>
        </w:rPr>
        <w:t xml:space="preserve">- mnoho historických studií zahrnutých do této analýzy bylo kritizováno za to, že neměly optimalizovanou podpůrnou péči a léčbu RAASi (viz níže pozn. 92) během standardizované run-in fáze. Tento nedostatek byl náležitě vyřešen </w:t>
      </w:r>
      <w:r w:rsidRPr="00EC03A0">
        <w:rPr>
          <w:b/>
          <w:highlight w:val="cyan"/>
        </w:rPr>
        <w:t>ve studiích STOP-IgAN (publikované v roce 2015) a TESTING (publikované v roce 2017), které obě zahrnovaly pacienty s významnou reziduální proteinurií (&gt;0,75 g/den u STOP-IgAN a ≥1 g/den v TESTING) navzdory optimální konzervativní léčbě – viz také níže pozn. 29, 97 a Přílohu č. 22</w:t>
      </w:r>
      <w:r w:rsidRPr="00EC03A0">
        <w:rPr>
          <w:highlight w:val="cyan"/>
        </w:rPr>
        <w:t>.</w:t>
      </w:r>
      <w:r w:rsidRPr="00EC03A0">
        <w:rPr>
          <w:highlight w:val="cyan"/>
          <w:vertAlign w:val="superscript"/>
        </w:rPr>
        <w:t>104</w:t>
      </w:r>
    </w:p>
    <w:p w:rsidR="00010794" w:rsidRPr="00010794" w:rsidRDefault="00FB71D2">
      <w:pPr>
        <w:spacing w:after="0"/>
        <w:jc w:val="both"/>
        <w:rPr>
          <w:sz w:val="10"/>
          <w:szCs w:val="10"/>
          <w:highlight w:val="cyan"/>
        </w:rPr>
      </w:pPr>
      <w:r>
        <w:rPr>
          <w:noProof/>
        </w:rPr>
        <mc:AlternateContent>
          <mc:Choice Requires="wps">
            <w:drawing>
              <wp:anchor distT="3810" distB="2540" distL="3810" distR="2540" simplePos="0" relativeHeight="251679744" behindDoc="0" locked="0" layoutInCell="0" allowOverlap="1">
                <wp:simplePos x="0" y="0"/>
                <wp:positionH relativeFrom="column">
                  <wp:posOffset>-34925</wp:posOffset>
                </wp:positionH>
                <wp:positionV relativeFrom="paragraph">
                  <wp:posOffset>81915</wp:posOffset>
                </wp:positionV>
                <wp:extent cx="6905625" cy="5938520"/>
                <wp:effectExtent l="0" t="0" r="9525" b="5080"/>
                <wp:wrapNone/>
                <wp:docPr id="264" name="Rámec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5625" cy="5938520"/>
                        </a:xfrm>
                        <a:prstGeom prst="rect">
                          <a:avLst/>
                        </a:prstGeom>
                        <a:solidFill>
                          <a:srgbClr val="DEEAF6"/>
                        </a:solidFill>
                        <a:ln w="6350">
                          <a:solidFill>
                            <a:srgbClr val="000000"/>
                          </a:solidFill>
                        </a:ln>
                      </wps:spPr>
                      <wps:txbx>
                        <w:txbxContent>
                          <w:p w:rsidR="009C56BF" w:rsidRPr="00EC03A0" w:rsidRDefault="009C56BF" w:rsidP="00A004F8">
                            <w:pPr>
                              <w:spacing w:after="0"/>
                              <w:jc w:val="both"/>
                              <w:rPr>
                                <w:b/>
                              </w:rPr>
                            </w:pPr>
                            <w:r w:rsidRPr="00EC03A0">
                              <w:t xml:space="preserve">V rámci správního řízení k LP KINPEYGU (které „více-méně“ skončilo dne </w:t>
                            </w:r>
                            <w:r w:rsidRPr="00EC03A0">
                              <w:rPr>
                                <w:rFonts w:cstheme="minorHAnsi"/>
                              </w:rPr>
                              <w:t>8. 8. 2024 nepřiznáním úhrady – viz výše odstavec „</w:t>
                            </w:r>
                            <w:r w:rsidRPr="00EC03A0">
                              <w:rPr>
                                <w:rFonts w:cstheme="minorHAnsi"/>
                                <w:i/>
                              </w:rPr>
                              <w:t>Stav LP v ČR ….</w:t>
                            </w:r>
                            <w:r w:rsidRPr="00EC03A0">
                              <w:rPr>
                                <w:rFonts w:cstheme="minorHAnsi"/>
                              </w:rPr>
                              <w:t>“</w:t>
                            </w:r>
                            <w:r w:rsidRPr="00EC03A0">
                              <w:t>) nebyly zohledněny novější výsledky studie TESTING</w:t>
                            </w:r>
                            <w:r w:rsidRPr="00EC03A0">
                              <w:rPr>
                                <w:vertAlign w:val="superscript"/>
                              </w:rPr>
                              <w:t>130</w:t>
                            </w:r>
                            <w:r w:rsidRPr="00EC03A0">
                              <w:t xml:space="preserve"> publikované v dubnu 2024 a také schválené rozšířené indikační podmínky pro hodnocený LP KINPEYGO platné od 30. 7. 2024 (viz výše odstavec „</w:t>
                            </w:r>
                            <w:r w:rsidRPr="00EC03A0">
                              <w:rPr>
                                <w:i/>
                              </w:rPr>
                              <w:t>Indikace dle SPC</w:t>
                            </w:r>
                            <w:r w:rsidRPr="00EC03A0">
                              <w:t>“).</w:t>
                            </w:r>
                            <w:r>
                              <w:t xml:space="preserve"> Mj. také nebyla zmiňována další nově publikovaná nerandomizovaná studie</w:t>
                            </w:r>
                            <w:r w:rsidRPr="004A7DAC">
                              <w:rPr>
                                <w:vertAlign w:val="superscript"/>
                              </w:rPr>
                              <w:t>115</w:t>
                            </w:r>
                            <w:r>
                              <w:t xml:space="preserve"> s LP BUDENOFALK z listopadu 2023 (k tomu viz podrobněji níže pozn. 13).</w:t>
                            </w:r>
                            <w:r w:rsidRPr="00EC03A0">
                              <w:t xml:space="preserve"> „</w:t>
                            </w:r>
                            <w:r w:rsidRPr="00E53177">
                              <w:rPr>
                                <w:b/>
                                <w:u w:val="single"/>
                              </w:rPr>
                              <w:t>Naivní“ nepřímé srovnání režimu s LP KINPEYGO s režimy obsahujícími systémové kortikosteroidy je zatíženo poměrně velkou nejistotou zejména v parametru dlouhodobé účinnosti obou intervencí, v parametru bezpečnosti je možnost srovnání lepší. Dle výsledků těchto srovnání uvedených v Příloze č. 24 považuje autor této FE analýzy (pro její účely) účinnost obou režimů (jak v redukci proteinurie, tak poklesu eGFR během 2 let od zahájení léčby) při stejné výchozí hodnotě eGFR a proteinurie za cca podobnou. Co se týká bezpečnosti, tak autor této FE analýzy (pro její účely) považuje režim s LP KINPEYGO bezpečnější (oproti režimu s nízkodávkovaným methylprednisolonem viz podrobněji tabulku níže) jen v parametru výskytu závažných infekcí – viz podrobněji Přílohu č. 24.</w:t>
                            </w:r>
                            <w:r>
                              <w:rPr>
                                <w:b/>
                                <w:u w:val="single"/>
                              </w:rPr>
                              <w:t xml:space="preserve"> Dále je předpokládána cca stejná účinnost systémových kortikoidů i LP KINPEYGO u pacientů různých ras – viz k tomu podrobněji výsledky analýz různých podskupin pacientů v Přílohách č. 21, 23 a 29. </w:t>
                            </w:r>
                          </w:p>
                          <w:p w:rsidR="009C56BF" w:rsidRDefault="009C56BF" w:rsidP="00A004F8">
                            <w:pPr>
                              <w:spacing w:after="0"/>
                              <w:jc w:val="both"/>
                              <w:rPr>
                                <w:rFonts w:cstheme="minorHAnsi"/>
                              </w:rPr>
                            </w:pPr>
                            <w:r w:rsidRPr="00EC03A0">
                              <w:t>Další informace, které povedou ke zpřesnění nepřímého srovnání obou režimů by mohly přinést výsledky studií NefIgArd OLE (tj. studie s opakovaným podáním LP KINPEYGO</w:t>
                            </w:r>
                            <w:r>
                              <w:t xml:space="preserve"> – viz podrobněji design studie uvedený v Příloze č. 20</w:t>
                            </w:r>
                            <w:r w:rsidRPr="00EC03A0">
                              <w:t>), které budou pravděpodobně prezentovány až na kongresu ERA ve Vídni (v červnu 2025</w:t>
                            </w:r>
                            <w:r w:rsidRPr="00EC03A0">
                              <w:rPr>
                                <w:vertAlign w:val="superscript"/>
                              </w:rPr>
                              <w:t>144</w:t>
                            </w:r>
                            <w:r w:rsidRPr="00EC03A0">
                              <w:t>), a studie fáze 3 TIGER (tj studie se systémovými kortikoidy probíhající ve Francii), jejíž výsledky budou pravděpodobně publikovány také až v roce 2025</w:t>
                            </w:r>
                            <w:r w:rsidRPr="00EC03A0">
                              <w:rPr>
                                <w:vertAlign w:val="superscript"/>
                              </w:rPr>
                              <w:t>145</w:t>
                            </w:r>
                            <w:r w:rsidRPr="00EC03A0">
                              <w:t>.</w:t>
                            </w:r>
                            <w:r>
                              <w:t xml:space="preserve"> </w:t>
                            </w:r>
                            <w:r w:rsidRPr="00EC03A0">
                              <w:t>Na podzim 2024 také na trh v ČR zřejmě vstoupí LP FILSPARI (sparsentan – viz níže pozn. 94), který bude ale nejspíše určen pro pac</w:t>
                            </w:r>
                            <w:r>
                              <w:t>.</w:t>
                            </w:r>
                            <w:r w:rsidRPr="00EC03A0">
                              <w:t xml:space="preserve"> s proteinúrií </w:t>
                            </w:r>
                            <w:r w:rsidRPr="00EC03A0">
                              <w:rPr>
                                <w:rFonts w:cstheme="minorHAnsi"/>
                              </w:rPr>
                              <w:t>≥ 1,0 g/den (bez hematurie) po předcházející léčbě syst</w:t>
                            </w:r>
                            <w:r>
                              <w:rPr>
                                <w:rFonts w:cstheme="minorHAnsi"/>
                              </w:rPr>
                              <w:t>.</w:t>
                            </w:r>
                            <w:r w:rsidRPr="00EC03A0">
                              <w:rPr>
                                <w:rFonts w:cstheme="minorHAnsi"/>
                              </w:rPr>
                              <w:t xml:space="preserve"> kortikoidy či LP KINPEYGO, v tomto scénaři pak bude nepravděpodobnějším kompáratorem inhibitor SGLT2 (viz níže pozn. 93).</w:t>
                            </w:r>
                          </w:p>
                          <w:p w:rsidR="009C56BF" w:rsidRPr="00010794" w:rsidRDefault="009C56BF" w:rsidP="00A004F8">
                            <w:pPr>
                              <w:spacing w:after="0"/>
                              <w:jc w:val="both"/>
                              <w:rPr>
                                <w:sz w:val="10"/>
                                <w:szCs w:val="10"/>
                              </w:rPr>
                            </w:pPr>
                          </w:p>
                          <w:p w:rsidR="009C56BF" w:rsidRPr="00E53177" w:rsidRDefault="009C56BF" w:rsidP="00A004F8">
                            <w:pPr>
                              <w:spacing w:after="0"/>
                              <w:jc w:val="both"/>
                              <w:rPr>
                                <w:b/>
                                <w:color w:val="000000"/>
                                <w:u w:val="single"/>
                              </w:rPr>
                            </w:pPr>
                            <w:r w:rsidRPr="00E53177">
                              <w:rPr>
                                <w:rFonts w:cstheme="minorHAnsi"/>
                                <w:b/>
                                <w:u w:val="single"/>
                              </w:rPr>
                              <w:t>Autor této FE analýzy tedy zařadil</w:t>
                            </w:r>
                            <w:r w:rsidRPr="00E53177">
                              <w:rPr>
                                <w:rFonts w:cstheme="minorHAnsi"/>
                                <w:b/>
                              </w:rPr>
                              <w:t xml:space="preserve"> (na základě výše uvedených informací) </w:t>
                            </w:r>
                            <w:r w:rsidRPr="00E53177">
                              <w:rPr>
                                <w:rFonts w:cstheme="minorHAnsi"/>
                                <w:b/>
                                <w:u w:val="single"/>
                              </w:rPr>
                              <w:t>jako komparátory k LP KINPEYGU spolu s podpůrnou léčbou v léčbě IgAN s rizikem rychlé progrese onemocnění</w:t>
                            </w:r>
                            <w:r w:rsidRPr="00E53177">
                              <w:rPr>
                                <w:rFonts w:cstheme="minorHAnsi"/>
                                <w:b/>
                              </w:rPr>
                              <w:t xml:space="preserve"> </w:t>
                            </w:r>
                            <w:r w:rsidRPr="00E53177">
                              <w:rPr>
                                <w:b/>
                                <w:color w:val="000000"/>
                              </w:rPr>
                              <w:t xml:space="preserve">(proteinurie &gt; 1 g/den navzdory ≥ 90 dnům optimalizované podpůrné péče </w:t>
                            </w:r>
                            <w:r w:rsidRPr="00E53177">
                              <w:rPr>
                                <w:rFonts w:cstheme="minorHAnsi"/>
                                <w:b/>
                              </w:rPr>
                              <w:t xml:space="preserve">sestávající mj. ze stabilních maximálně tolerovaných nebo maximálně povolených dávek inhibitoru angiotenzin-konvertujícího enzymu (ACEi) a/nebo blokátoru receptoru typu 1 pro angiotenzin II (ARB)), </w:t>
                            </w:r>
                            <w:r w:rsidRPr="00E53177">
                              <w:rPr>
                                <w:rFonts w:cstheme="minorHAnsi"/>
                                <w:b/>
                                <w:u w:val="single"/>
                              </w:rPr>
                              <w:t>s odhadovanou glomerulární filtrací (eGFR) v rozmezí 0,58-1,50 ml/s/1,73 m</w:t>
                            </w:r>
                            <w:r w:rsidRPr="00E53177">
                              <w:rPr>
                                <w:rFonts w:cstheme="minorHAnsi"/>
                                <w:b/>
                                <w:u w:val="single"/>
                                <w:vertAlign w:val="superscript"/>
                              </w:rPr>
                              <w:t>2</w:t>
                            </w:r>
                            <w:r w:rsidRPr="00E53177">
                              <w:rPr>
                                <w:rFonts w:cstheme="minorHAnsi"/>
                                <w:b/>
                                <w:u w:val="single"/>
                              </w:rPr>
                              <w:t xml:space="preserve"> (tj. 35-90 ml/min/1,73m</w:t>
                            </w:r>
                            <w:r w:rsidRPr="00E53177">
                              <w:rPr>
                                <w:rFonts w:cstheme="minorHAnsi"/>
                                <w:b/>
                                <w:u w:val="single"/>
                                <w:vertAlign w:val="superscript"/>
                              </w:rPr>
                              <w:t>2</w:t>
                            </w:r>
                            <w:r w:rsidRPr="00E53177">
                              <w:rPr>
                                <w:rFonts w:cstheme="minorHAnsi"/>
                                <w:b/>
                                <w:u w:val="single"/>
                              </w:rPr>
                              <w:t xml:space="preserve">), bez přítomnosti </w:t>
                            </w:r>
                            <w:r w:rsidRPr="00E53177">
                              <w:rPr>
                                <w:b/>
                                <w:color w:val="000000"/>
                                <w:u w:val="single"/>
                              </w:rPr>
                              <w:t>tzv. variantních forem IgAN</w:t>
                            </w:r>
                            <w:r w:rsidRPr="00E53177">
                              <w:rPr>
                                <w:b/>
                                <w:color w:val="000000"/>
                              </w:rPr>
                              <w:t xml:space="preserve"> (tj. depozice IgA s tzv. onemocněním s minimální změnou („MCD“ – viz níže pozn. 55), IgAN s akutním poškozením ledvin („AKI“ – viz níže pozn. 70) a IgAN s rychle progredující glomerulonefritidou („RPGN“ </w:t>
                            </w:r>
                            <w:r w:rsidRPr="00E53177">
                              <w:rPr>
                                <w:rFonts w:cstheme="minorHAnsi"/>
                                <w:b/>
                              </w:rPr>
                              <w:t>- je definována jako 50 % pokles eGFR během 3 měsíců</w:t>
                            </w:r>
                            <w:r w:rsidRPr="00E53177">
                              <w:rPr>
                                <w:rFonts w:cstheme="minorHAnsi"/>
                                <w:b/>
                                <w:vertAlign w:val="superscript"/>
                              </w:rPr>
                              <w:t>27</w:t>
                            </w:r>
                            <w:r w:rsidRPr="00E53177">
                              <w:rPr>
                                <w:b/>
                                <w:color w:val="000000"/>
                              </w:rPr>
                              <w:t xml:space="preserve">)), </w:t>
                            </w:r>
                            <w:r w:rsidRPr="00E53177">
                              <w:rPr>
                                <w:b/>
                                <w:color w:val="000000"/>
                                <w:u w:val="single"/>
                              </w:rPr>
                              <w:t>bez závažné dysfunkce jater a probíhajícího syst</w:t>
                            </w:r>
                            <w:r>
                              <w:rPr>
                                <w:b/>
                                <w:color w:val="000000"/>
                                <w:u w:val="single"/>
                              </w:rPr>
                              <w:t>.</w:t>
                            </w:r>
                            <w:r w:rsidRPr="00E53177">
                              <w:rPr>
                                <w:b/>
                                <w:color w:val="000000"/>
                                <w:u w:val="single"/>
                              </w:rPr>
                              <w:t xml:space="preserve"> mykotického onemocnění </w:t>
                            </w:r>
                            <w:r w:rsidRPr="00E53177">
                              <w:rPr>
                                <w:b/>
                                <w:color w:val="000000"/>
                              </w:rPr>
                              <w:t>(viz kontraindikace LP KINPEYGO a MEDROL dle SPC</w:t>
                            </w:r>
                            <w:r w:rsidRPr="00E53177">
                              <w:rPr>
                                <w:b/>
                                <w:color w:val="000000"/>
                                <w:vertAlign w:val="superscript"/>
                              </w:rPr>
                              <w:t>2</w:t>
                            </w:r>
                            <w:r w:rsidRPr="00E53177">
                              <w:rPr>
                                <w:b/>
                                <w:color w:val="000000"/>
                              </w:rPr>
                              <w:t xml:space="preserve">) </w:t>
                            </w:r>
                            <w:r w:rsidRPr="00E53177">
                              <w:rPr>
                                <w:b/>
                                <w:color w:val="000000"/>
                                <w:highlight w:val="yellow"/>
                                <w:u w:val="single"/>
                              </w:rPr>
                              <w:t>(1) tzv. „nízkodávkový“ režim s LP MEDROL (viz tabulka níže) s podpůrnou léčbou a (2) jen samotnou podpůrnou léčbu</w:t>
                            </w:r>
                            <w:r w:rsidRPr="00E53177">
                              <w:rPr>
                                <w:b/>
                                <w:color w:val="000000"/>
                                <w:u w:val="single"/>
                              </w:rPr>
                              <w:t>.</w:t>
                            </w:r>
                          </w:p>
                          <w:p w:rsidR="009C56BF" w:rsidRPr="00EC03A0" w:rsidRDefault="009C56BF" w:rsidP="00A004F8">
                            <w:pPr>
                              <w:spacing w:after="0"/>
                              <w:jc w:val="both"/>
                              <w:rPr>
                                <w:color w:val="000000"/>
                              </w:rPr>
                            </w:pPr>
                          </w:p>
                          <w:p w:rsidR="009C56BF" w:rsidRDefault="009C56BF" w:rsidP="00416B98">
                            <w:pPr>
                              <w:pStyle w:val="Obsahrmce"/>
                              <w:spacing w:after="0"/>
                              <w:jc w:val="both"/>
                              <w:rPr>
                                <w:rStyle w:val="Hypertextovodkaz"/>
                                <w:rFonts w:cstheme="minorHAnsi"/>
                                <w:b/>
                                <w:color w:val="auto"/>
                                <w:u w:val="none"/>
                              </w:rPr>
                            </w:pPr>
                          </w:p>
                          <w:p w:rsidR="009C56BF" w:rsidRDefault="009C56BF" w:rsidP="00416B98">
                            <w:pPr>
                              <w:pStyle w:val="Obsahrmce"/>
                              <w:rPr>
                                <w:color w:val="000000"/>
                              </w:rPr>
                            </w:pPr>
                          </w:p>
                        </w:txbxContent>
                      </wps:txbx>
                      <wps:bodyPr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 id="Rámec6" o:spid="_x0000_s1028" type="#_x0000_t202" style="position:absolute;left:0;text-align:left;margin-left:-2.75pt;margin-top:6.45pt;width:543.75pt;height:467.6pt;z-index:251679744;visibility:visible;mso-wrap-style:square;mso-width-percent:0;mso-height-percent:0;mso-wrap-distance-left:.3pt;mso-wrap-distance-top:.3pt;mso-wrap-distance-right:.2pt;mso-wrap-distance-bottom:.2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" o:allowincell="f" fillcolor="#deeaf6" strokeweight=".5pt">
                <v:path arrowok="t"/>
                <v:textbox>
                  <w:txbxContent>
                    <w:p w:rsidR="009C56BF" w:rsidRPr="00EC03A0" w:rsidRDefault="009C56BF" w:rsidP="00A004F8">
                      <w:pPr>
                        <w:spacing w:after="0"/>
                        <w:jc w:val="both"/>
                        <w:rPr>
                          <w:b/>
                        </w:rPr>
                      </w:pPr>
                      <w:r w:rsidRPr="00EC03A0">
                        <w:t xml:space="preserve">V rámci správního řízení k LP KINPEYGU (které „více-méně“ skončilo dne </w:t>
                      </w:r>
                      <w:r w:rsidRPr="00EC03A0">
                        <w:rPr>
                          <w:rFonts w:cstheme="minorHAnsi"/>
                        </w:rPr>
                        <w:t>8. 8. 2024 nepřiznáním úhrady – viz výše odstavec „</w:t>
                      </w:r>
                      <w:r w:rsidRPr="00EC03A0">
                        <w:rPr>
                          <w:rFonts w:cstheme="minorHAnsi"/>
                          <w:i/>
                        </w:rPr>
                        <w:t>Stav LP v ČR ….</w:t>
                      </w:r>
                      <w:r w:rsidRPr="00EC03A0">
                        <w:rPr>
                          <w:rFonts w:cstheme="minorHAnsi"/>
                        </w:rPr>
                        <w:t>“</w:t>
                      </w:r>
                      <w:r w:rsidRPr="00EC03A0">
                        <w:t>) nebyly zohledněny novější výsledky studie TESTING</w:t>
                      </w:r>
                      <w:r w:rsidRPr="00EC03A0">
                        <w:rPr>
                          <w:vertAlign w:val="superscript"/>
                        </w:rPr>
                        <w:t>130</w:t>
                      </w:r>
                      <w:r w:rsidRPr="00EC03A0">
                        <w:t xml:space="preserve"> publikované v dubnu 2024 a také schválené rozšířené indikační podmínky pro hodnocený LP KINPEYGO platné od 30. 7. 2024 (viz výše odstavec „</w:t>
                      </w:r>
                      <w:r w:rsidRPr="00EC03A0">
                        <w:rPr>
                          <w:i/>
                        </w:rPr>
                        <w:t>Indikace dle SPC</w:t>
                      </w:r>
                      <w:r w:rsidRPr="00EC03A0">
                        <w:t>“).</w:t>
                      </w:r>
                      <w:r>
                        <w:t xml:space="preserve"> Mj. také nebyla zmiňována další nově publikovaná nerandomizovaná studie</w:t>
                      </w:r>
                      <w:r w:rsidRPr="004A7DAC">
                        <w:rPr>
                          <w:vertAlign w:val="superscript"/>
                        </w:rPr>
                        <w:t>115</w:t>
                      </w:r>
                      <w:r>
                        <w:t xml:space="preserve"> s LP BUDENOFALK z listopadu 2023 (k tomu viz podrobněji níže pozn. 13).</w:t>
                      </w:r>
                      <w:r w:rsidRPr="00EC03A0">
                        <w:t xml:space="preserve"> „</w:t>
                      </w:r>
                      <w:r w:rsidRPr="00E53177">
                        <w:rPr>
                          <w:b/>
                          <w:u w:val="single"/>
                        </w:rPr>
                        <w:t>Naivní“ nepřímé srovnání režimu s LP KINPEYGO s režimy obsahujícími systémové kortikosteroidy je zatíženo poměrně velkou nejistotou zejména v parametru dlouhodobé účinnosti obou intervencí, v parametru bezpečnosti je možnost srovnání lepší. Dle výsledků těchto srovnání uvedených v Příloze č. 24 považuje autor této FE analýzy (pro její účely) účinnost obou režimů (jak v redukci proteinurie, tak poklesu eGFR během 2 let od zahájení léčby) při stejné výchozí hodnotě eGFR a proteinurie za cca podobnou. Co se týká bezpečnosti, tak autor této FE analýzy (pro její účely) považuje režim s LP KINPEYGO bezpečnější (oproti režimu s nízkodávkovaným methylprednisolonem viz podrobněji tabulku níže) jen v parametru výskytu závažných infekcí – viz podrobněji Přílohu č. 24.</w:t>
                      </w:r>
                      <w:r>
                        <w:rPr>
                          <w:b/>
                          <w:u w:val="single"/>
                        </w:rPr>
                        <w:t xml:space="preserve"> Dále je předpokládána cca stejná účinnost systémových kortikoidů i LP KINPEYGO u pacientů různých ras – viz k tomu podrobněji výsledky analýz různých podskupin pacientů v Přílohách č. 21, 23 a 29. </w:t>
                      </w:r>
                    </w:p>
                    <w:p w:rsidR="009C56BF" w:rsidRDefault="009C56BF" w:rsidP="00A004F8">
                      <w:pPr>
                        <w:spacing w:after="0"/>
                        <w:jc w:val="both"/>
                        <w:rPr>
                          <w:rFonts w:cstheme="minorHAnsi"/>
                        </w:rPr>
                      </w:pPr>
                      <w:r w:rsidRPr="00EC03A0">
                        <w:t>Další informace, které povedou ke zpřesnění nepřímého srovnání obou režimů by mohly přinést výsledky studií NefIgArd OLE (tj. studie s opakovaným podáním LP KINPEYGO</w:t>
                      </w:r>
                      <w:r>
                        <w:t xml:space="preserve"> – viz podrobněji design studie uvedený v Příloze č. 20</w:t>
                      </w:r>
                      <w:r w:rsidRPr="00EC03A0">
                        <w:t>), které budou pravděpodobně prezentovány až na kongresu ERA ve Vídni (v červnu 2025</w:t>
                      </w:r>
                      <w:r w:rsidRPr="00EC03A0">
                        <w:rPr>
                          <w:vertAlign w:val="superscript"/>
                        </w:rPr>
                        <w:t>144</w:t>
                      </w:r>
                      <w:r w:rsidRPr="00EC03A0">
                        <w:t>), a studie fáze 3 TIGER (tj studie se systémovými kortikoidy probíhající ve Francii), jejíž výsledky budou pravděpodobně publikovány také až v roce 2025</w:t>
                      </w:r>
                      <w:r w:rsidRPr="00EC03A0">
                        <w:rPr>
                          <w:vertAlign w:val="superscript"/>
                        </w:rPr>
                        <w:t>145</w:t>
                      </w:r>
                      <w:r w:rsidRPr="00EC03A0">
                        <w:t>.</w:t>
                      </w:r>
                      <w:r>
                        <w:t xml:space="preserve"> </w:t>
                      </w:r>
                      <w:r w:rsidRPr="00EC03A0">
                        <w:t>Na podzim 2024 také na trh v ČR zřejmě vstoupí LP FILSPARI (sparsentan – viz níže pozn. 94), který bude ale nejspíše určen pro pac</w:t>
                      </w:r>
                      <w:r>
                        <w:t>.</w:t>
                      </w:r>
                      <w:r w:rsidRPr="00EC03A0">
                        <w:t xml:space="preserve"> s proteinúrií </w:t>
                      </w:r>
                      <w:r w:rsidRPr="00EC03A0">
                        <w:rPr>
                          <w:rFonts w:cstheme="minorHAnsi"/>
                        </w:rPr>
                        <w:t>≥ 1,0 g/den (bez hematurie) po předcházející léčbě syst</w:t>
                      </w:r>
                      <w:r>
                        <w:rPr>
                          <w:rFonts w:cstheme="minorHAnsi"/>
                        </w:rPr>
                        <w:t>.</w:t>
                      </w:r>
                      <w:r w:rsidRPr="00EC03A0">
                        <w:rPr>
                          <w:rFonts w:cstheme="minorHAnsi"/>
                        </w:rPr>
                        <w:t xml:space="preserve"> kortikoidy či LP KINPEYGO, v tomto scénaři pak bude nepravděpodobnějším kompáratorem inhibitor SGLT2 (viz níže pozn. 93).</w:t>
                      </w:r>
                    </w:p>
                    <w:p w:rsidR="009C56BF" w:rsidRPr="00010794" w:rsidRDefault="009C56BF" w:rsidP="00A004F8">
                      <w:pPr>
                        <w:spacing w:after="0"/>
                        <w:jc w:val="both"/>
                        <w:rPr>
                          <w:sz w:val="10"/>
                          <w:szCs w:val="10"/>
                        </w:rPr>
                      </w:pPr>
                    </w:p>
                    <w:p w:rsidR="009C56BF" w:rsidRPr="00E53177" w:rsidRDefault="009C56BF" w:rsidP="00A004F8">
                      <w:pPr>
                        <w:spacing w:after="0"/>
                        <w:jc w:val="both"/>
                        <w:rPr>
                          <w:b/>
                          <w:color w:val="000000"/>
                          <w:u w:val="single"/>
                        </w:rPr>
                      </w:pPr>
                      <w:r w:rsidRPr="00E53177">
                        <w:rPr>
                          <w:rFonts w:cstheme="minorHAnsi"/>
                          <w:b/>
                          <w:u w:val="single"/>
                        </w:rPr>
                        <w:t>Autor této FE analýzy tedy zařadil</w:t>
                      </w:r>
                      <w:r w:rsidRPr="00E53177">
                        <w:rPr>
                          <w:rFonts w:cstheme="minorHAnsi"/>
                          <w:b/>
                        </w:rPr>
                        <w:t xml:space="preserve"> (na základě výše uvedených informací) </w:t>
                      </w:r>
                      <w:r w:rsidRPr="00E53177">
                        <w:rPr>
                          <w:rFonts w:cstheme="minorHAnsi"/>
                          <w:b/>
                          <w:u w:val="single"/>
                        </w:rPr>
                        <w:t>jako komparátory k LP KINPEYGU spolu s podpůrnou léčbou v léčbě IgAN s rizikem rychlé progrese onemocnění</w:t>
                      </w:r>
                      <w:r w:rsidRPr="00E53177">
                        <w:rPr>
                          <w:rFonts w:cstheme="minorHAnsi"/>
                          <w:b/>
                        </w:rPr>
                        <w:t xml:space="preserve"> </w:t>
                      </w:r>
                      <w:r w:rsidRPr="00E53177">
                        <w:rPr>
                          <w:b/>
                          <w:color w:val="000000"/>
                        </w:rPr>
                        <w:t xml:space="preserve">(proteinurie &gt; 1 g/den navzdory ≥ 90 dnům optimalizované podpůrné péče </w:t>
                      </w:r>
                      <w:r w:rsidRPr="00E53177">
                        <w:rPr>
                          <w:rFonts w:cstheme="minorHAnsi"/>
                          <w:b/>
                        </w:rPr>
                        <w:t xml:space="preserve">sestávající mj. ze stabilních maximálně tolerovaných nebo maximálně povolených dávek inhibitoru angiotenzin-konvertujícího enzymu (ACEi) a/nebo blokátoru receptoru typu 1 pro angiotenzin II (ARB)), </w:t>
                      </w:r>
                      <w:r w:rsidRPr="00E53177">
                        <w:rPr>
                          <w:rFonts w:cstheme="minorHAnsi"/>
                          <w:b/>
                          <w:u w:val="single"/>
                        </w:rPr>
                        <w:t>s odhadovanou glomerulární filtrací (eGFR) v rozmezí 0,58-1,50 ml/s/1,73 m</w:t>
                      </w:r>
                      <w:r w:rsidRPr="00E53177">
                        <w:rPr>
                          <w:rFonts w:cstheme="minorHAnsi"/>
                          <w:b/>
                          <w:u w:val="single"/>
                          <w:vertAlign w:val="superscript"/>
                        </w:rPr>
                        <w:t>2</w:t>
                      </w:r>
                      <w:r w:rsidRPr="00E53177">
                        <w:rPr>
                          <w:rFonts w:cstheme="minorHAnsi"/>
                          <w:b/>
                          <w:u w:val="single"/>
                        </w:rPr>
                        <w:t xml:space="preserve"> (tj. 35-90 ml/min/1,73m</w:t>
                      </w:r>
                      <w:r w:rsidRPr="00E53177">
                        <w:rPr>
                          <w:rFonts w:cstheme="minorHAnsi"/>
                          <w:b/>
                          <w:u w:val="single"/>
                          <w:vertAlign w:val="superscript"/>
                        </w:rPr>
                        <w:t>2</w:t>
                      </w:r>
                      <w:r w:rsidRPr="00E53177">
                        <w:rPr>
                          <w:rFonts w:cstheme="minorHAnsi"/>
                          <w:b/>
                          <w:u w:val="single"/>
                        </w:rPr>
                        <w:t xml:space="preserve">), bez přítomnosti </w:t>
                      </w:r>
                      <w:r w:rsidRPr="00E53177">
                        <w:rPr>
                          <w:b/>
                          <w:color w:val="000000"/>
                          <w:u w:val="single"/>
                        </w:rPr>
                        <w:t>tzv. variantních forem IgAN</w:t>
                      </w:r>
                      <w:r w:rsidRPr="00E53177">
                        <w:rPr>
                          <w:b/>
                          <w:color w:val="000000"/>
                        </w:rPr>
                        <w:t xml:space="preserve"> (tj. depozice IgA s tzv. onemocněním s minimální změnou („MCD“ – viz níže pozn. 55), IgAN s akutním poškozením ledvin („AKI“ – viz níže pozn. 70) a IgAN s rychle progredující glomerulonefritidou („RPGN“ </w:t>
                      </w:r>
                      <w:r w:rsidRPr="00E53177">
                        <w:rPr>
                          <w:rFonts w:cstheme="minorHAnsi"/>
                          <w:b/>
                        </w:rPr>
                        <w:t>- je definována jako 50 % pokles eGFR během 3 měsíců</w:t>
                      </w:r>
                      <w:r w:rsidRPr="00E53177">
                        <w:rPr>
                          <w:rFonts w:cstheme="minorHAnsi"/>
                          <w:b/>
                          <w:vertAlign w:val="superscript"/>
                        </w:rPr>
                        <w:t>27</w:t>
                      </w:r>
                      <w:r w:rsidRPr="00E53177">
                        <w:rPr>
                          <w:b/>
                          <w:color w:val="000000"/>
                        </w:rPr>
                        <w:t xml:space="preserve">)), </w:t>
                      </w:r>
                      <w:r w:rsidRPr="00E53177">
                        <w:rPr>
                          <w:b/>
                          <w:color w:val="000000"/>
                          <w:u w:val="single"/>
                        </w:rPr>
                        <w:t>bez závažné dysfunkce jater a probíhajícího syst</w:t>
                      </w:r>
                      <w:r>
                        <w:rPr>
                          <w:b/>
                          <w:color w:val="000000"/>
                          <w:u w:val="single"/>
                        </w:rPr>
                        <w:t>.</w:t>
                      </w:r>
                      <w:r w:rsidRPr="00E53177">
                        <w:rPr>
                          <w:b/>
                          <w:color w:val="000000"/>
                          <w:u w:val="single"/>
                        </w:rPr>
                        <w:t xml:space="preserve"> mykotického onemocnění </w:t>
                      </w:r>
                      <w:r w:rsidRPr="00E53177">
                        <w:rPr>
                          <w:b/>
                          <w:color w:val="000000"/>
                        </w:rPr>
                        <w:t>(viz kontraindikace LP KINPEYGO a MEDROL dle SPC</w:t>
                      </w:r>
                      <w:r w:rsidRPr="00E53177">
                        <w:rPr>
                          <w:b/>
                          <w:color w:val="000000"/>
                          <w:vertAlign w:val="superscript"/>
                        </w:rPr>
                        <w:t>2</w:t>
                      </w:r>
                      <w:r w:rsidRPr="00E53177">
                        <w:rPr>
                          <w:b/>
                          <w:color w:val="000000"/>
                        </w:rPr>
                        <w:t xml:space="preserve">) </w:t>
                      </w:r>
                      <w:r w:rsidRPr="00E53177">
                        <w:rPr>
                          <w:b/>
                          <w:color w:val="000000"/>
                          <w:highlight w:val="yellow"/>
                          <w:u w:val="single"/>
                        </w:rPr>
                        <w:t>(1) tzv. „nízkodávkový“ režim s LP MEDROL (viz tabulka níže) s podpůrnou léčbou a (2) jen samotnou podpůrnou léčbu</w:t>
                      </w:r>
                      <w:r w:rsidRPr="00E53177">
                        <w:rPr>
                          <w:b/>
                          <w:color w:val="000000"/>
                          <w:u w:val="single"/>
                        </w:rPr>
                        <w:t>.</w:t>
                      </w:r>
                    </w:p>
                    <w:p w:rsidR="009C56BF" w:rsidRPr="00EC03A0" w:rsidRDefault="009C56BF" w:rsidP="00A004F8">
                      <w:pPr>
                        <w:spacing w:after="0"/>
                        <w:jc w:val="both"/>
                        <w:rPr>
                          <w:color w:val="000000"/>
                        </w:rPr>
                      </w:pPr>
                    </w:p>
                    <w:p w:rsidR="009C56BF" w:rsidRDefault="009C56BF" w:rsidP="00416B98">
                      <w:pPr>
                        <w:pStyle w:val="Obsahrmce"/>
                        <w:spacing w:after="0"/>
                        <w:jc w:val="both"/>
                        <w:rPr>
                          <w:rStyle w:val="Hypertextovodkaz"/>
                          <w:rFonts w:cstheme="minorHAnsi"/>
                          <w:b/>
                          <w:color w:val="auto"/>
                          <w:u w:val="none"/>
                        </w:rPr>
                      </w:pPr>
                    </w:p>
                    <w:p w:rsidR="009C56BF" w:rsidRDefault="009C56BF" w:rsidP="00416B98">
                      <w:pPr>
                        <w:pStyle w:val="Obsahrmce"/>
                        <w:rPr>
                          <w:color w:val="000000"/>
                        </w:rPr>
                      </w:pPr>
                    </w:p>
                  </w:txbxContent>
                </v:textbox>
              </v:shape>
            </w:pict>
          </mc:Fallback>
        </mc:AlternateContent>
      </w:r>
    </w:p>
    <w:p w:rsidR="005342B2" w:rsidRDefault="00FB71D2">
      <w:pPr>
        <w:spacing w:after="0"/>
        <w:jc w:val="both"/>
        <w:rPr>
          <w:b/>
          <w:sz w:val="21"/>
          <w:szCs w:val="21"/>
          <w:highlight w:val="cyan"/>
        </w:rPr>
      </w:pPr>
      <w:r>
        <w:rPr>
          <w:noProof/>
        </w:rPr>
        <mc:AlternateContent>
          <mc:Choice Requires="wps">
            <w:drawing>
              <wp:anchor distT="3810" distB="2540" distL="3810" distR="2540" simplePos="0" relativeHeight="251675648" behindDoc="0" locked="0" layoutInCell="0" allowOverlap="1">
                <wp:simplePos x="0" y="0"/>
                <wp:positionH relativeFrom="column">
                  <wp:posOffset>361950</wp:posOffset>
                </wp:positionH>
                <wp:positionV relativeFrom="paragraph">
                  <wp:posOffset>9774555</wp:posOffset>
                </wp:positionV>
                <wp:extent cx="6905625" cy="681355"/>
                <wp:effectExtent l="0" t="0" r="9525" b="4445"/>
                <wp:wrapNone/>
                <wp:docPr id="263" name="Rámec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5625" cy="681355"/>
                        </a:xfrm>
                        <a:prstGeom prst="rect">
                          <a:avLst/>
                        </a:prstGeom>
                        <a:solidFill>
                          <a:srgbClr val="DEEAF6"/>
                        </a:solidFill>
                        <a:ln w="6350">
                          <a:solidFill>
                            <a:srgbClr val="000000"/>
                          </a:solidFill>
                        </a:ln>
                      </wps:spPr>
                      <wps:txbx>
                        <w:txbxContent>
                          <w:p w:rsidR="009C56BF" w:rsidRDefault="009C56BF" w:rsidP="00416B98">
                            <w:pPr>
                              <w:spacing w:after="0"/>
                              <w:jc w:val="both"/>
                              <w:rPr>
                                <w:rFonts w:cstheme="minorHAnsi"/>
                              </w:rPr>
                            </w:pPr>
                            <w:r w:rsidRPr="00360472">
                              <w:rPr>
                                <w:rStyle w:val="Hypertextovodkaz"/>
                                <w:rFonts w:cstheme="minorHAnsi"/>
                                <w:b/>
                                <w:color w:val="auto"/>
                              </w:rPr>
                              <w:t>Aktuálně je III. interní klinikou FN Olomouc</w:t>
                            </w:r>
                            <w:r w:rsidRPr="00360472">
                              <w:rPr>
                                <w:rStyle w:val="Hypertextovodkaz"/>
                                <w:rFonts w:cstheme="minorHAnsi"/>
                                <w:b/>
                                <w:color w:val="auto"/>
                                <w:vertAlign w:val="superscript"/>
                              </w:rPr>
                              <w:t>136</w:t>
                            </w:r>
                            <w:r w:rsidRPr="00360472">
                              <w:rPr>
                                <w:rStyle w:val="Hypertextovodkaz"/>
                                <w:rFonts w:cstheme="minorHAnsi"/>
                                <w:b/>
                                <w:color w:val="auto"/>
                              </w:rPr>
                              <w:t xml:space="preserve"> předpokládaný počet pacientů v daném roce na 10</w:t>
                            </w:r>
                            <w:r>
                              <w:rPr>
                                <w:rStyle w:val="Hypertextovodkaz"/>
                                <w:rFonts w:cstheme="minorHAnsi"/>
                                <w:b/>
                                <w:color w:val="auto"/>
                                <w:u w:val="none"/>
                              </w:rPr>
                              <w:t xml:space="preserve"> – CAVE! klinika ale tehdy (tj. 2. 4. 2024) předpokládala, že LP bude mít v brzké době úhradu ze zdravotního pojištění, k tomu viz podrobněji informace uvedené výše v odstavci </w:t>
                            </w:r>
                            <w:r w:rsidRPr="00360472">
                              <w:rPr>
                                <w:rStyle w:val="Hypertextovodkaz"/>
                                <w:rFonts w:cstheme="minorHAnsi"/>
                                <w:b/>
                                <w:color w:val="auto"/>
                                <w:u w:val="none"/>
                              </w:rPr>
                              <w:t>„</w:t>
                            </w:r>
                            <w:r w:rsidRPr="00360472">
                              <w:rPr>
                                <w:rFonts w:cstheme="minorHAnsi"/>
                                <w:b/>
                                <w:i/>
                              </w:rPr>
                              <w:t>Stav LP v ČR</w:t>
                            </w:r>
                            <w:r w:rsidRPr="00360472">
                              <w:rPr>
                                <w:rFonts w:cstheme="minorHAnsi"/>
                                <w:b/>
                                <w:i/>
                                <w:vertAlign w:val="superscript"/>
                              </w:rPr>
                              <w:t xml:space="preserve"> </w:t>
                            </w:r>
                            <w:r w:rsidRPr="00360472">
                              <w:rPr>
                                <w:rFonts w:cstheme="minorHAnsi"/>
                                <w:b/>
                                <w:i/>
                              </w:rPr>
                              <w:t>k datu 16. 8. 2024</w:t>
                            </w:r>
                            <w:r>
                              <w:rPr>
                                <w:rFonts w:cstheme="minorHAnsi"/>
                                <w:b/>
                              </w:rPr>
                              <w:t>“!</w:t>
                            </w:r>
                            <w:r>
                              <w:rPr>
                                <w:rFonts w:cstheme="minorHAnsi"/>
                              </w:rPr>
                              <w:t xml:space="preserve"> </w:t>
                            </w:r>
                          </w:p>
                          <w:p w:rsidR="009C56BF" w:rsidRDefault="009C56BF" w:rsidP="00416B98">
                            <w:pPr>
                              <w:pStyle w:val="Obsahrmce"/>
                              <w:spacing w:after="0"/>
                              <w:jc w:val="both"/>
                              <w:rPr>
                                <w:rStyle w:val="Hypertextovodkaz"/>
                                <w:rFonts w:cstheme="minorHAnsi"/>
                                <w:b/>
                                <w:color w:val="auto"/>
                                <w:u w:val="none"/>
                              </w:rPr>
                            </w:pPr>
                          </w:p>
                          <w:p w:rsidR="009C56BF" w:rsidRDefault="009C56BF" w:rsidP="00416B98">
                            <w:pPr>
                              <w:pStyle w:val="Obsahrmce"/>
                              <w:rPr>
                                <w:color w:val="000000"/>
                              </w:rPr>
                            </w:pPr>
                          </w:p>
                        </w:txbxContent>
                      </wps:txbx>
                      <wps:bodyPr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 id="_x0000_s1029" type="#_x0000_t202" style="position:absolute;left:0;text-align:left;margin-left:28.5pt;margin-top:769.65pt;width:543.75pt;height:53.65pt;z-index:251675648;visibility:visible;mso-wrap-style:square;mso-width-percent:0;mso-height-percent:0;mso-wrap-distance-left:.3pt;mso-wrap-distance-top:.3pt;mso-wrap-distance-right:.2pt;mso-wrap-distance-bottom:.2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" o:allowincell="f" fillcolor="#deeaf6" strokeweight=".5pt">
                <v:path arrowok="t"/>
                <v:textbox>
                  <w:txbxContent>
                    <w:p w:rsidR="009C56BF" w:rsidRDefault="009C56BF" w:rsidP="00416B98">
                      <w:pPr>
                        <w:spacing w:after="0"/>
                        <w:jc w:val="both"/>
                        <w:rPr>
                          <w:rFonts w:cstheme="minorHAnsi"/>
                        </w:rPr>
                      </w:pPr>
                      <w:r w:rsidRPr="00360472">
                        <w:rPr>
                          <w:rStyle w:val="Hypertextovodkaz"/>
                          <w:rFonts w:cstheme="minorHAnsi"/>
                          <w:b/>
                          <w:color w:val="auto"/>
                        </w:rPr>
                        <w:t>Aktuálně je III. interní klinikou FN Olomouc</w:t>
                      </w:r>
                      <w:r w:rsidRPr="00360472">
                        <w:rPr>
                          <w:rStyle w:val="Hypertextovodkaz"/>
                          <w:rFonts w:cstheme="minorHAnsi"/>
                          <w:b/>
                          <w:color w:val="auto"/>
                          <w:vertAlign w:val="superscript"/>
                        </w:rPr>
                        <w:t>136</w:t>
                      </w:r>
                      <w:r w:rsidRPr="00360472">
                        <w:rPr>
                          <w:rStyle w:val="Hypertextovodkaz"/>
                          <w:rFonts w:cstheme="minorHAnsi"/>
                          <w:b/>
                          <w:color w:val="auto"/>
                        </w:rPr>
                        <w:t xml:space="preserve"> předpokládaný počet pacientů v daném roce na 10</w:t>
                      </w:r>
                      <w:r>
                        <w:rPr>
                          <w:rStyle w:val="Hypertextovodkaz"/>
                          <w:rFonts w:cstheme="minorHAnsi"/>
                          <w:b/>
                          <w:color w:val="auto"/>
                          <w:u w:val="none"/>
                        </w:rPr>
                        <w:t xml:space="preserve"> – CAVE! klinika ale tehdy (tj. 2. 4. 2024) předpokládala, že LP bude mít v brzké době úhradu ze zdravotního pojištění, k tomu viz podrobněji informace uvedené výše v odstavci </w:t>
                      </w:r>
                      <w:r w:rsidRPr="00360472">
                        <w:rPr>
                          <w:rStyle w:val="Hypertextovodkaz"/>
                          <w:rFonts w:cstheme="minorHAnsi"/>
                          <w:b/>
                          <w:color w:val="auto"/>
                          <w:u w:val="none"/>
                        </w:rPr>
                        <w:t>„</w:t>
                      </w:r>
                      <w:r w:rsidRPr="00360472">
                        <w:rPr>
                          <w:rFonts w:cstheme="minorHAnsi"/>
                          <w:b/>
                          <w:i/>
                        </w:rPr>
                        <w:t>Stav LP v ČR</w:t>
                      </w:r>
                      <w:r w:rsidRPr="00360472">
                        <w:rPr>
                          <w:rFonts w:cstheme="minorHAnsi"/>
                          <w:b/>
                          <w:i/>
                          <w:vertAlign w:val="superscript"/>
                        </w:rPr>
                        <w:t xml:space="preserve"> </w:t>
                      </w:r>
                      <w:r w:rsidRPr="00360472">
                        <w:rPr>
                          <w:rFonts w:cstheme="minorHAnsi"/>
                          <w:b/>
                          <w:i/>
                        </w:rPr>
                        <w:t>k datu 16. 8. 2024</w:t>
                      </w:r>
                      <w:r>
                        <w:rPr>
                          <w:rFonts w:cstheme="minorHAnsi"/>
                          <w:b/>
                        </w:rPr>
                        <w:t>“!</w:t>
                      </w:r>
                      <w:r>
                        <w:rPr>
                          <w:rFonts w:cstheme="minorHAnsi"/>
                        </w:rPr>
                        <w:t xml:space="preserve"> </w:t>
                      </w:r>
                    </w:p>
                    <w:p w:rsidR="009C56BF" w:rsidRDefault="009C56BF" w:rsidP="00416B98">
                      <w:pPr>
                        <w:pStyle w:val="Obsahrmce"/>
                        <w:spacing w:after="0"/>
                        <w:jc w:val="both"/>
                        <w:rPr>
                          <w:rStyle w:val="Hypertextovodkaz"/>
                          <w:rFonts w:cstheme="minorHAnsi"/>
                          <w:b/>
                          <w:color w:val="auto"/>
                          <w:u w:val="none"/>
                        </w:rPr>
                      </w:pPr>
                    </w:p>
                    <w:p w:rsidR="009C56BF" w:rsidRDefault="009C56BF" w:rsidP="00416B98">
                      <w:pPr>
                        <w:pStyle w:val="Obsahrmce"/>
                        <w:rPr>
                          <w:color w:val="000000"/>
                        </w:rPr>
                      </w:pPr>
                    </w:p>
                  </w:txbxContent>
                </v:textbox>
              </v:shape>
            </w:pict>
          </mc:Fallback>
        </mc:AlternateContent>
      </w:r>
    </w:p>
    <w:p w:rsidR="005342B2" w:rsidRDefault="005342B2">
      <w:pPr>
        <w:spacing w:after="0"/>
        <w:jc w:val="both"/>
        <w:rPr>
          <w:b/>
          <w:sz w:val="21"/>
          <w:szCs w:val="21"/>
          <w:highlight w:val="cyan"/>
        </w:rPr>
      </w:pPr>
    </w:p>
    <w:p w:rsidR="005342B2" w:rsidRDefault="00FB71D2">
      <w:pPr>
        <w:spacing w:after="0"/>
        <w:jc w:val="both"/>
        <w:rPr>
          <w:b/>
          <w:sz w:val="21"/>
          <w:szCs w:val="21"/>
          <w:highlight w:val="cyan"/>
        </w:rPr>
      </w:pPr>
      <w:r>
        <w:rPr>
          <w:noProof/>
        </w:rPr>
        <mc:AlternateContent>
          <mc:Choice Requires="wps">
            <w:drawing>
              <wp:anchor distT="3810" distB="2540" distL="3810" distR="2540" simplePos="0" relativeHeight="251677696" behindDoc="0" locked="0" layoutInCell="0" allowOverlap="1">
                <wp:simplePos x="0" y="0"/>
                <wp:positionH relativeFrom="column">
                  <wp:posOffset>361950</wp:posOffset>
                </wp:positionH>
                <wp:positionV relativeFrom="paragraph">
                  <wp:posOffset>9774555</wp:posOffset>
                </wp:positionV>
                <wp:extent cx="6905625" cy="681355"/>
                <wp:effectExtent l="0" t="0" r="9525" b="4445"/>
                <wp:wrapNone/>
                <wp:docPr id="262" name="Rámec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5625" cy="681355"/>
                        </a:xfrm>
                        <a:prstGeom prst="rect">
                          <a:avLst/>
                        </a:prstGeom>
                        <a:solidFill>
                          <a:srgbClr val="DEEAF6"/>
                        </a:solidFill>
                        <a:ln w="6350">
                          <a:solidFill>
                            <a:srgbClr val="000000"/>
                          </a:solidFill>
                        </a:ln>
                      </wps:spPr>
                      <wps:txbx>
                        <w:txbxContent>
                          <w:p w:rsidR="009C56BF" w:rsidRDefault="009C56BF" w:rsidP="00416B98">
                            <w:pPr>
                              <w:spacing w:after="0"/>
                              <w:jc w:val="both"/>
                              <w:rPr>
                                <w:rFonts w:cstheme="minorHAnsi"/>
                              </w:rPr>
                            </w:pPr>
                            <w:r w:rsidRPr="00360472">
                              <w:rPr>
                                <w:rStyle w:val="Hypertextovodkaz"/>
                                <w:rFonts w:cstheme="minorHAnsi"/>
                                <w:b/>
                                <w:color w:val="auto"/>
                              </w:rPr>
                              <w:t>Aktuálně je III. interní klinikou FN Olomouc</w:t>
                            </w:r>
                            <w:r w:rsidRPr="00360472">
                              <w:rPr>
                                <w:rStyle w:val="Hypertextovodkaz"/>
                                <w:rFonts w:cstheme="minorHAnsi"/>
                                <w:b/>
                                <w:color w:val="auto"/>
                                <w:vertAlign w:val="superscript"/>
                              </w:rPr>
                              <w:t>136</w:t>
                            </w:r>
                            <w:r w:rsidRPr="00360472">
                              <w:rPr>
                                <w:rStyle w:val="Hypertextovodkaz"/>
                                <w:rFonts w:cstheme="minorHAnsi"/>
                                <w:b/>
                                <w:color w:val="auto"/>
                              </w:rPr>
                              <w:t xml:space="preserve"> předpokládaný počet pacientů v daném roce na 10</w:t>
                            </w:r>
                            <w:r>
                              <w:rPr>
                                <w:rStyle w:val="Hypertextovodkaz"/>
                                <w:rFonts w:cstheme="minorHAnsi"/>
                                <w:b/>
                                <w:color w:val="auto"/>
                                <w:u w:val="none"/>
                              </w:rPr>
                              <w:t xml:space="preserve"> – CAVE! klinika ale tehdy (tj. 2. 4. 2024) předpokládala, že LP bude mít v brzké době úhradu ze zdravotního pojištění, k tomu viz podrobněji informace uvedené výše v odstavci </w:t>
                            </w:r>
                            <w:r w:rsidRPr="00360472">
                              <w:rPr>
                                <w:rStyle w:val="Hypertextovodkaz"/>
                                <w:rFonts w:cstheme="minorHAnsi"/>
                                <w:b/>
                                <w:color w:val="auto"/>
                                <w:u w:val="none"/>
                              </w:rPr>
                              <w:t>„</w:t>
                            </w:r>
                            <w:r w:rsidRPr="00360472">
                              <w:rPr>
                                <w:rFonts w:cstheme="minorHAnsi"/>
                                <w:b/>
                                <w:i/>
                              </w:rPr>
                              <w:t>Stav LP v ČR</w:t>
                            </w:r>
                            <w:r w:rsidRPr="00360472">
                              <w:rPr>
                                <w:rFonts w:cstheme="minorHAnsi"/>
                                <w:b/>
                                <w:i/>
                                <w:vertAlign w:val="superscript"/>
                              </w:rPr>
                              <w:t xml:space="preserve"> </w:t>
                            </w:r>
                            <w:r w:rsidRPr="00360472">
                              <w:rPr>
                                <w:rFonts w:cstheme="minorHAnsi"/>
                                <w:b/>
                                <w:i/>
                              </w:rPr>
                              <w:t>k datu 16. 8. 2024</w:t>
                            </w:r>
                            <w:r>
                              <w:rPr>
                                <w:rFonts w:cstheme="minorHAnsi"/>
                                <w:b/>
                              </w:rPr>
                              <w:t>“!</w:t>
                            </w:r>
                            <w:r>
                              <w:rPr>
                                <w:rFonts w:cstheme="minorHAnsi"/>
                              </w:rPr>
                              <w:t xml:space="preserve"> </w:t>
                            </w:r>
                          </w:p>
                          <w:p w:rsidR="009C56BF" w:rsidRDefault="009C56BF" w:rsidP="00416B98">
                            <w:pPr>
                              <w:pStyle w:val="Obsahrmce"/>
                              <w:spacing w:after="0"/>
                              <w:jc w:val="both"/>
                              <w:rPr>
                                <w:rStyle w:val="Hypertextovodkaz"/>
                                <w:rFonts w:cstheme="minorHAnsi"/>
                                <w:b/>
                                <w:color w:val="auto"/>
                                <w:u w:val="none"/>
                              </w:rPr>
                            </w:pPr>
                          </w:p>
                          <w:p w:rsidR="009C56BF" w:rsidRDefault="009C56BF" w:rsidP="00416B98">
                            <w:pPr>
                              <w:pStyle w:val="Obsahrmce"/>
                              <w:rPr>
                                <w:color w:val="000000"/>
                              </w:rPr>
                            </w:pPr>
                          </w:p>
                        </w:txbxContent>
                      </wps:txbx>
                      <wps:bodyPr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 id="_x0000_s1030" type="#_x0000_t202" style="position:absolute;left:0;text-align:left;margin-left:28.5pt;margin-top:769.65pt;width:543.75pt;height:53.65pt;z-index:251677696;visibility:visible;mso-wrap-style:square;mso-width-percent:0;mso-height-percent:0;mso-wrap-distance-left:.3pt;mso-wrap-distance-top:.3pt;mso-wrap-distance-right:.2pt;mso-wrap-distance-bottom:.2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" o:allowincell="f" fillcolor="#deeaf6" strokeweight=".5pt">
                <v:path arrowok="t"/>
                <v:textbox>
                  <w:txbxContent>
                    <w:p w:rsidR="009C56BF" w:rsidRDefault="009C56BF" w:rsidP="00416B98">
                      <w:pPr>
                        <w:spacing w:after="0"/>
                        <w:jc w:val="both"/>
                        <w:rPr>
                          <w:rFonts w:cstheme="minorHAnsi"/>
                        </w:rPr>
                      </w:pPr>
                      <w:r w:rsidRPr="00360472">
                        <w:rPr>
                          <w:rStyle w:val="Hypertextovodkaz"/>
                          <w:rFonts w:cstheme="minorHAnsi"/>
                          <w:b/>
                          <w:color w:val="auto"/>
                        </w:rPr>
                        <w:t>Aktuálně je III. interní klinikou FN Olomouc</w:t>
                      </w:r>
                      <w:r w:rsidRPr="00360472">
                        <w:rPr>
                          <w:rStyle w:val="Hypertextovodkaz"/>
                          <w:rFonts w:cstheme="minorHAnsi"/>
                          <w:b/>
                          <w:color w:val="auto"/>
                          <w:vertAlign w:val="superscript"/>
                        </w:rPr>
                        <w:t>136</w:t>
                      </w:r>
                      <w:r w:rsidRPr="00360472">
                        <w:rPr>
                          <w:rStyle w:val="Hypertextovodkaz"/>
                          <w:rFonts w:cstheme="minorHAnsi"/>
                          <w:b/>
                          <w:color w:val="auto"/>
                        </w:rPr>
                        <w:t xml:space="preserve"> předpokládaný počet pacientů v daném roce na 10</w:t>
                      </w:r>
                      <w:r>
                        <w:rPr>
                          <w:rStyle w:val="Hypertextovodkaz"/>
                          <w:rFonts w:cstheme="minorHAnsi"/>
                          <w:b/>
                          <w:color w:val="auto"/>
                          <w:u w:val="none"/>
                        </w:rPr>
                        <w:t xml:space="preserve"> – CAVE! klinika ale tehdy (tj. 2. 4. 2024) předpokládala, že LP bude mít v brzké době úhradu ze zdravotního pojištění, k tomu viz podrobněji informace uvedené výše v odstavci </w:t>
                      </w:r>
                      <w:r w:rsidRPr="00360472">
                        <w:rPr>
                          <w:rStyle w:val="Hypertextovodkaz"/>
                          <w:rFonts w:cstheme="minorHAnsi"/>
                          <w:b/>
                          <w:color w:val="auto"/>
                          <w:u w:val="none"/>
                        </w:rPr>
                        <w:t>„</w:t>
                      </w:r>
                      <w:r w:rsidRPr="00360472">
                        <w:rPr>
                          <w:rFonts w:cstheme="minorHAnsi"/>
                          <w:b/>
                          <w:i/>
                        </w:rPr>
                        <w:t>Stav LP v ČR</w:t>
                      </w:r>
                      <w:r w:rsidRPr="00360472">
                        <w:rPr>
                          <w:rFonts w:cstheme="minorHAnsi"/>
                          <w:b/>
                          <w:i/>
                          <w:vertAlign w:val="superscript"/>
                        </w:rPr>
                        <w:t xml:space="preserve"> </w:t>
                      </w:r>
                      <w:r w:rsidRPr="00360472">
                        <w:rPr>
                          <w:rFonts w:cstheme="minorHAnsi"/>
                          <w:b/>
                          <w:i/>
                        </w:rPr>
                        <w:t>k datu 16. 8. 2024</w:t>
                      </w:r>
                      <w:r>
                        <w:rPr>
                          <w:rFonts w:cstheme="minorHAnsi"/>
                          <w:b/>
                        </w:rPr>
                        <w:t>“!</w:t>
                      </w:r>
                      <w:r>
                        <w:rPr>
                          <w:rFonts w:cstheme="minorHAnsi"/>
                        </w:rPr>
                        <w:t xml:space="preserve"> </w:t>
                      </w:r>
                    </w:p>
                    <w:p w:rsidR="009C56BF" w:rsidRDefault="009C56BF" w:rsidP="00416B98">
                      <w:pPr>
                        <w:pStyle w:val="Obsahrmce"/>
                        <w:spacing w:after="0"/>
                        <w:jc w:val="both"/>
                        <w:rPr>
                          <w:rStyle w:val="Hypertextovodkaz"/>
                          <w:rFonts w:cstheme="minorHAnsi"/>
                          <w:b/>
                          <w:color w:val="auto"/>
                          <w:u w:val="none"/>
                        </w:rPr>
                      </w:pPr>
                    </w:p>
                    <w:p w:rsidR="009C56BF" w:rsidRDefault="009C56BF" w:rsidP="00416B98">
                      <w:pPr>
                        <w:pStyle w:val="Obsahrmce"/>
                        <w:rPr>
                          <w:color w:val="000000"/>
                        </w:rPr>
                      </w:pPr>
                    </w:p>
                  </w:txbxContent>
                </v:textbox>
              </v:shape>
            </w:pict>
          </mc:Fallback>
        </mc:AlternateContent>
      </w:r>
    </w:p>
    <w:p w:rsidR="005342B2" w:rsidRDefault="005342B2">
      <w:pPr>
        <w:spacing w:after="0"/>
        <w:jc w:val="both"/>
        <w:rPr>
          <w:b/>
          <w:sz w:val="21"/>
          <w:szCs w:val="21"/>
          <w:highlight w:val="cyan"/>
        </w:rPr>
      </w:pPr>
    </w:p>
    <w:p w:rsidR="005342B2" w:rsidRDefault="005342B2">
      <w:pPr>
        <w:spacing w:after="0"/>
        <w:jc w:val="both"/>
        <w:rPr>
          <w:b/>
          <w:sz w:val="21"/>
          <w:szCs w:val="21"/>
          <w:highlight w:val="cyan"/>
        </w:rPr>
      </w:pPr>
    </w:p>
    <w:p w:rsidR="005342B2" w:rsidRDefault="005342B2">
      <w:pPr>
        <w:spacing w:after="0"/>
        <w:jc w:val="both"/>
        <w:rPr>
          <w:b/>
          <w:sz w:val="21"/>
          <w:szCs w:val="21"/>
          <w:highlight w:val="cyan"/>
        </w:rPr>
      </w:pPr>
    </w:p>
    <w:p w:rsidR="00416B98" w:rsidRDefault="00416B98">
      <w:pPr>
        <w:spacing w:after="0"/>
        <w:jc w:val="both"/>
        <w:rPr>
          <w:b/>
          <w:sz w:val="21"/>
          <w:szCs w:val="21"/>
          <w:highlight w:val="cyan"/>
        </w:rPr>
      </w:pPr>
    </w:p>
    <w:p w:rsidR="00416B98" w:rsidRDefault="00416B98">
      <w:pPr>
        <w:spacing w:after="0"/>
        <w:jc w:val="both"/>
        <w:rPr>
          <w:b/>
          <w:sz w:val="21"/>
          <w:szCs w:val="21"/>
          <w:highlight w:val="cyan"/>
        </w:rPr>
      </w:pPr>
    </w:p>
    <w:p w:rsidR="00416B98" w:rsidRDefault="00416B98">
      <w:pPr>
        <w:spacing w:after="0"/>
        <w:jc w:val="both"/>
        <w:rPr>
          <w:b/>
          <w:sz w:val="21"/>
          <w:szCs w:val="21"/>
          <w:highlight w:val="cyan"/>
        </w:rPr>
      </w:pPr>
    </w:p>
    <w:p w:rsidR="00416B98" w:rsidRDefault="00416B98">
      <w:pPr>
        <w:spacing w:after="0"/>
        <w:jc w:val="both"/>
        <w:rPr>
          <w:b/>
          <w:sz w:val="21"/>
          <w:szCs w:val="21"/>
          <w:highlight w:val="cyan"/>
        </w:rPr>
      </w:pPr>
    </w:p>
    <w:p w:rsidR="00416B98" w:rsidRDefault="00416B98">
      <w:pPr>
        <w:spacing w:after="0"/>
        <w:jc w:val="both"/>
        <w:rPr>
          <w:b/>
          <w:sz w:val="21"/>
          <w:szCs w:val="21"/>
          <w:highlight w:val="cyan"/>
        </w:rPr>
      </w:pPr>
    </w:p>
    <w:p w:rsidR="00416B98" w:rsidRDefault="00416B98">
      <w:pPr>
        <w:spacing w:after="0"/>
        <w:jc w:val="both"/>
        <w:rPr>
          <w:b/>
          <w:sz w:val="21"/>
          <w:szCs w:val="21"/>
          <w:highlight w:val="cyan"/>
        </w:rPr>
      </w:pPr>
    </w:p>
    <w:p w:rsidR="00416B98" w:rsidRDefault="00416B98">
      <w:pPr>
        <w:spacing w:after="0"/>
        <w:jc w:val="both"/>
        <w:rPr>
          <w:b/>
          <w:sz w:val="21"/>
          <w:szCs w:val="21"/>
          <w:highlight w:val="cyan"/>
        </w:rPr>
      </w:pPr>
    </w:p>
    <w:p w:rsidR="00A004F8" w:rsidRDefault="00A004F8">
      <w:pPr>
        <w:spacing w:after="0"/>
        <w:jc w:val="both"/>
      </w:pPr>
    </w:p>
    <w:p w:rsidR="00A004F8" w:rsidRDefault="00A004F8">
      <w:pPr>
        <w:spacing w:after="0"/>
        <w:jc w:val="both"/>
      </w:pPr>
    </w:p>
    <w:p w:rsidR="00A004F8" w:rsidRDefault="00A004F8">
      <w:pPr>
        <w:spacing w:after="0"/>
        <w:jc w:val="both"/>
      </w:pPr>
    </w:p>
    <w:p w:rsidR="00A004F8" w:rsidRDefault="00A004F8">
      <w:pPr>
        <w:spacing w:after="0"/>
        <w:jc w:val="both"/>
      </w:pPr>
    </w:p>
    <w:p w:rsidR="00A004F8" w:rsidRDefault="00A004F8">
      <w:pPr>
        <w:spacing w:after="0"/>
        <w:jc w:val="both"/>
      </w:pPr>
    </w:p>
    <w:p w:rsidR="00A004F8" w:rsidRDefault="00A004F8">
      <w:pPr>
        <w:spacing w:after="0"/>
        <w:jc w:val="both"/>
      </w:pPr>
    </w:p>
    <w:p w:rsidR="00A004F8" w:rsidRDefault="00A004F8">
      <w:pPr>
        <w:spacing w:after="0"/>
        <w:jc w:val="both"/>
      </w:pPr>
    </w:p>
    <w:p w:rsidR="00A004F8" w:rsidRDefault="00A004F8">
      <w:pPr>
        <w:spacing w:after="0"/>
        <w:jc w:val="both"/>
      </w:pPr>
    </w:p>
    <w:p w:rsidR="00A004F8" w:rsidRDefault="00A004F8">
      <w:pPr>
        <w:spacing w:after="0"/>
        <w:jc w:val="both"/>
      </w:pPr>
    </w:p>
    <w:p w:rsidR="00A004F8" w:rsidRDefault="00A004F8">
      <w:pPr>
        <w:spacing w:after="0"/>
        <w:jc w:val="both"/>
      </w:pPr>
    </w:p>
    <w:p w:rsidR="00A004F8" w:rsidRDefault="00A004F8">
      <w:pPr>
        <w:spacing w:after="0"/>
        <w:jc w:val="both"/>
      </w:pPr>
    </w:p>
    <w:p w:rsidR="00A004F8" w:rsidRDefault="00A004F8">
      <w:pPr>
        <w:spacing w:after="0"/>
        <w:jc w:val="both"/>
      </w:pPr>
    </w:p>
    <w:p w:rsidR="005342B2" w:rsidRDefault="005342B2">
      <w:pPr>
        <w:spacing w:after="0"/>
        <w:jc w:val="both"/>
        <w:rPr>
          <w:color w:val="000000"/>
          <w:sz w:val="21"/>
          <w:szCs w:val="21"/>
        </w:rPr>
      </w:pPr>
    </w:p>
    <w:p w:rsidR="005342B2" w:rsidRDefault="005342B2">
      <w:pPr>
        <w:spacing w:after="0"/>
        <w:jc w:val="both"/>
        <w:rPr>
          <w:sz w:val="21"/>
          <w:szCs w:val="21"/>
        </w:rPr>
      </w:pPr>
    </w:p>
    <w:p w:rsidR="00A004F8" w:rsidRDefault="00A004F8" w:rsidP="001F6730">
      <w:pPr>
        <w:spacing w:after="0"/>
        <w:jc w:val="both"/>
        <w:rPr>
          <w:b/>
          <w:sz w:val="21"/>
          <w:szCs w:val="21"/>
        </w:rPr>
      </w:pPr>
    </w:p>
    <w:p w:rsidR="00A004F8" w:rsidRDefault="00A004F8" w:rsidP="001F6730">
      <w:pPr>
        <w:spacing w:after="0"/>
        <w:jc w:val="both"/>
        <w:rPr>
          <w:b/>
          <w:sz w:val="21"/>
          <w:szCs w:val="21"/>
        </w:rPr>
      </w:pPr>
    </w:p>
    <w:p w:rsidR="00A004F8" w:rsidRDefault="00A004F8" w:rsidP="001F6730">
      <w:pPr>
        <w:spacing w:after="0"/>
        <w:jc w:val="both"/>
        <w:rPr>
          <w:b/>
          <w:sz w:val="21"/>
          <w:szCs w:val="21"/>
        </w:rPr>
      </w:pPr>
    </w:p>
    <w:p w:rsidR="00A004F8" w:rsidRDefault="00A004F8" w:rsidP="001F6730">
      <w:pPr>
        <w:spacing w:after="0"/>
        <w:jc w:val="both"/>
        <w:rPr>
          <w:b/>
          <w:sz w:val="21"/>
          <w:szCs w:val="21"/>
        </w:rPr>
      </w:pPr>
    </w:p>
    <w:p w:rsidR="00A004F8" w:rsidRDefault="00A004F8" w:rsidP="001F6730">
      <w:pPr>
        <w:spacing w:after="0"/>
        <w:jc w:val="both"/>
        <w:rPr>
          <w:b/>
          <w:sz w:val="21"/>
          <w:szCs w:val="21"/>
        </w:rPr>
      </w:pPr>
    </w:p>
    <w:p w:rsidR="00010794" w:rsidRDefault="00010794" w:rsidP="001F6730">
      <w:pPr>
        <w:spacing w:after="0"/>
        <w:jc w:val="both"/>
        <w:rPr>
          <w:b/>
          <w:sz w:val="21"/>
          <w:szCs w:val="21"/>
        </w:rPr>
      </w:pPr>
    </w:p>
    <w:p w:rsidR="005252CC" w:rsidRPr="005252CC" w:rsidRDefault="005252CC" w:rsidP="001F6730">
      <w:pPr>
        <w:spacing w:after="0"/>
        <w:jc w:val="both"/>
        <w:rPr>
          <w:b/>
        </w:rPr>
      </w:pPr>
      <w:r>
        <w:rPr>
          <w:b/>
        </w:rPr>
        <w:t xml:space="preserve">                        </w:t>
      </w:r>
      <w:r w:rsidRPr="005252CC">
        <w:rPr>
          <w:b/>
        </w:rPr>
        <w:t xml:space="preserve">Podrobnější informace komparovaných režimů v léčbě IgAN pro účely této FE analýzy: </w:t>
      </w:r>
    </w:p>
    <w:p w:rsidR="00A004F8" w:rsidRDefault="005252CC" w:rsidP="005252CC">
      <w:pPr>
        <w:spacing w:after="0"/>
        <w:ind w:left="1020"/>
        <w:jc w:val="both"/>
        <w:rPr>
          <w:b/>
          <w:sz w:val="21"/>
          <w:szCs w:val="21"/>
        </w:rPr>
      </w:pPr>
      <w:r>
        <w:rPr>
          <w:b/>
          <w:noProof/>
          <w:sz w:val="21"/>
          <w:szCs w:val="21"/>
          <w:lang w:eastAsia="cs-CZ"/>
        </w:rPr>
        <w:drawing>
          <wp:inline distT="0" distB="0" distL="0" distR="0">
            <wp:extent cx="5477774" cy="2227233"/>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202" cy="2227407"/>
                    </a:xfrm>
                    <a:prstGeom prst="rect">
                      <a:avLst/>
                    </a:prstGeom>
                    <a:noFill/>
                    <a:ln>
                      <a:noFill/>
                    </a:ln>
                  </pic:spPr>
                </pic:pic>
              </a:graphicData>
            </a:graphic>
          </wp:inline>
        </w:drawing>
      </w:r>
    </w:p>
    <w:p w:rsidR="005252CC" w:rsidRPr="005252CC" w:rsidRDefault="005252CC" w:rsidP="001F6730">
      <w:pPr>
        <w:spacing w:after="0"/>
        <w:jc w:val="both"/>
        <w:rPr>
          <w:b/>
          <w:sz w:val="4"/>
          <w:szCs w:val="4"/>
        </w:rPr>
      </w:pPr>
    </w:p>
    <w:p w:rsidR="001F6730" w:rsidRDefault="001D511D" w:rsidP="001F6730">
      <w:pPr>
        <w:spacing w:after="0"/>
        <w:jc w:val="both"/>
        <w:rPr>
          <w:rFonts w:cstheme="minorHAnsi"/>
          <w:sz w:val="21"/>
          <w:szCs w:val="21"/>
        </w:rPr>
      </w:pPr>
      <w:r w:rsidRPr="001D511D">
        <w:rPr>
          <w:b/>
          <w:sz w:val="21"/>
          <w:szCs w:val="21"/>
        </w:rPr>
        <w:t>Dle vyjádření ČAVO je incidence IgAN v České republice 9,7/1 000 000 a prevalence 110/1 000 000</w:t>
      </w:r>
      <w:r w:rsidRPr="001D511D">
        <w:rPr>
          <w:sz w:val="21"/>
          <w:szCs w:val="21"/>
          <w:vertAlign w:val="superscript"/>
        </w:rPr>
        <w:t>136</w:t>
      </w:r>
      <w:r>
        <w:rPr>
          <w:sz w:val="21"/>
          <w:szCs w:val="21"/>
        </w:rPr>
        <w:t>.</w:t>
      </w:r>
      <w:r w:rsidR="00B50358">
        <w:rPr>
          <w:sz w:val="21"/>
          <w:szCs w:val="21"/>
        </w:rPr>
        <w:t xml:space="preserve"> </w:t>
      </w:r>
      <w:r>
        <w:rPr>
          <w:rFonts w:cstheme="minorHAnsi"/>
          <w:sz w:val="21"/>
          <w:szCs w:val="21"/>
        </w:rPr>
        <w:t>Dle žadatele o úhradu lze</w:t>
      </w:r>
      <w:r w:rsidR="00C071AF">
        <w:rPr>
          <w:rFonts w:cstheme="minorHAnsi"/>
          <w:sz w:val="21"/>
          <w:szCs w:val="21"/>
        </w:rPr>
        <w:t xml:space="preserve"> </w:t>
      </w:r>
      <w:r w:rsidR="00C071AF" w:rsidRPr="00B50358">
        <w:rPr>
          <w:rFonts w:cstheme="minorHAnsi"/>
          <w:sz w:val="21"/>
          <w:szCs w:val="21"/>
        </w:rPr>
        <w:t>odhadovat na 1 119 prevalenčních a 36 incidenčních pacientů v ČR</w:t>
      </w:r>
      <w:r w:rsidR="00C071AF">
        <w:rPr>
          <w:rFonts w:cstheme="minorHAnsi"/>
          <w:sz w:val="21"/>
          <w:szCs w:val="21"/>
        </w:rPr>
        <w:t>, jedná se o dospělé pacienty s očekávaným dlouhým, byť zkráceným, dožitím za zhoršené kvality života</w:t>
      </w:r>
      <w:r w:rsidR="00C071AF">
        <w:rPr>
          <w:rFonts w:cstheme="minorHAnsi"/>
          <w:sz w:val="21"/>
          <w:szCs w:val="21"/>
          <w:vertAlign w:val="superscript"/>
        </w:rPr>
        <w:t>28</w:t>
      </w:r>
      <w:r w:rsidR="00C071AF">
        <w:rPr>
          <w:rFonts w:cstheme="minorHAnsi"/>
          <w:sz w:val="21"/>
          <w:szCs w:val="21"/>
        </w:rPr>
        <w:t>.</w:t>
      </w:r>
      <w:r w:rsidR="00B50358">
        <w:rPr>
          <w:rFonts w:cstheme="minorHAnsi"/>
          <w:sz w:val="21"/>
          <w:szCs w:val="21"/>
        </w:rPr>
        <w:t xml:space="preserve"> </w:t>
      </w:r>
      <w:r w:rsidR="00B50358" w:rsidRPr="00B50358">
        <w:rPr>
          <w:rFonts w:cstheme="minorHAnsi"/>
          <w:sz w:val="21"/>
          <w:szCs w:val="21"/>
        </w:rPr>
        <w:t xml:space="preserve">Velikost cílové populace byla na základě panelu expertů, Českého registru renálních biopsií nativních ledvin v letech 2017-2019 (předloženo </w:t>
      </w:r>
      <w:r w:rsidR="00B50358">
        <w:rPr>
          <w:rFonts w:cstheme="minorHAnsi"/>
          <w:sz w:val="21"/>
          <w:szCs w:val="21"/>
        </w:rPr>
        <w:t xml:space="preserve">STADou SUKLu </w:t>
      </w:r>
      <w:r w:rsidR="00B50358" w:rsidRPr="00B50358">
        <w:rPr>
          <w:rFonts w:cstheme="minorHAnsi"/>
          <w:sz w:val="21"/>
          <w:szCs w:val="21"/>
        </w:rPr>
        <w:t xml:space="preserve">jako </w:t>
      </w:r>
      <w:r w:rsidR="00B50358">
        <w:rPr>
          <w:rFonts w:cstheme="minorHAnsi"/>
          <w:sz w:val="21"/>
          <w:szCs w:val="21"/>
        </w:rPr>
        <w:t>obchodní tajemství</w:t>
      </w:r>
      <w:r w:rsidR="00B50358" w:rsidRPr="00B50358">
        <w:rPr>
          <w:rFonts w:cstheme="minorHAnsi"/>
          <w:sz w:val="21"/>
          <w:szCs w:val="21"/>
        </w:rPr>
        <w:t xml:space="preserve">) </w:t>
      </w:r>
      <w:r w:rsidR="00B50358" w:rsidRPr="00685D7D">
        <w:rPr>
          <w:rFonts w:cstheme="minorHAnsi"/>
          <w:sz w:val="21"/>
          <w:szCs w:val="21"/>
          <w:u w:val="single"/>
        </w:rPr>
        <w:t>odhadnuta na 560 až 704 pacientů a penetrace na trh představovala pro prevalenční pacienty 20 % až 10 % a pro incidenční pacienty 80 %, což</w:t>
      </w:r>
      <w:r w:rsidR="00B50358" w:rsidRPr="00B50358">
        <w:rPr>
          <w:rFonts w:cstheme="minorHAnsi"/>
          <w:sz w:val="21"/>
          <w:szCs w:val="21"/>
        </w:rPr>
        <w:t xml:space="preserve"> </w:t>
      </w:r>
      <w:r w:rsidR="00B50358" w:rsidRPr="00B50358">
        <w:rPr>
          <w:rFonts w:cstheme="minorHAnsi"/>
          <w:b/>
          <w:sz w:val="21"/>
          <w:szCs w:val="21"/>
          <w:u w:val="single"/>
        </w:rPr>
        <w:t>odpovídá celkem 112 až 85 pacientů léčených v celé ČR v prvních pěti letech</w:t>
      </w:r>
      <w:r w:rsidR="00B50358" w:rsidRPr="00B50358">
        <w:rPr>
          <w:rFonts w:cstheme="minorHAnsi"/>
          <w:sz w:val="21"/>
          <w:szCs w:val="21"/>
          <w:vertAlign w:val="superscript"/>
        </w:rPr>
        <w:t>137</w:t>
      </w:r>
      <w:r w:rsidR="00B50358" w:rsidRPr="00B50358">
        <w:rPr>
          <w:rFonts w:cstheme="minorHAnsi"/>
          <w:sz w:val="21"/>
          <w:szCs w:val="21"/>
        </w:rPr>
        <w:t>.</w:t>
      </w:r>
      <w:r w:rsidR="001F6730">
        <w:rPr>
          <w:rFonts w:cstheme="minorHAnsi"/>
          <w:sz w:val="21"/>
          <w:szCs w:val="21"/>
        </w:rPr>
        <w:t xml:space="preserve"> </w:t>
      </w:r>
      <w:r w:rsidR="001F6730">
        <w:rPr>
          <w:rFonts w:cstheme="minorHAnsi"/>
          <w:b/>
          <w:sz w:val="21"/>
          <w:szCs w:val="21"/>
        </w:rPr>
        <w:t>Předpokládaných pracovišť, kde by se LP KINPEYGO mohl podávat je (dle SUKLu) 6, konkrétně jde o:</w:t>
      </w:r>
      <w:r w:rsidR="001F6730">
        <w:rPr>
          <w:rFonts w:cstheme="minorHAnsi"/>
          <w:sz w:val="21"/>
          <w:szCs w:val="21"/>
        </w:rPr>
        <w:t xml:space="preserve"> pracoviště VFN v Praze (cca 52% pacientů z celé ČR), IKEM (6%), FN Královské Vinohrady (13% pac.), </w:t>
      </w:r>
      <w:r w:rsidR="001F6730">
        <w:rPr>
          <w:rFonts w:cstheme="minorHAnsi"/>
          <w:sz w:val="21"/>
          <w:szCs w:val="21"/>
          <w:u w:val="single"/>
        </w:rPr>
        <w:t>FN Olomouc – III. Interní klinika (11% pacientů z celé ČR),</w:t>
      </w:r>
      <w:r w:rsidR="001F6730">
        <w:rPr>
          <w:rFonts w:cstheme="minorHAnsi"/>
          <w:sz w:val="21"/>
          <w:szCs w:val="21"/>
        </w:rPr>
        <w:t xml:space="preserve"> FN Hradec Králové (10%) a FN Plzeň (8%), která se terapii dotčené populace pacientů v ČR věnují</w:t>
      </w:r>
      <w:r w:rsidR="001F6730">
        <w:rPr>
          <w:rFonts w:cstheme="minorHAnsi"/>
          <w:sz w:val="21"/>
          <w:szCs w:val="21"/>
          <w:vertAlign w:val="superscript"/>
        </w:rPr>
        <w:t>28</w:t>
      </w:r>
      <w:r w:rsidR="001F6730">
        <w:rPr>
          <w:rFonts w:cstheme="minorHAnsi"/>
          <w:sz w:val="21"/>
          <w:szCs w:val="21"/>
        </w:rPr>
        <w:t>.</w:t>
      </w:r>
    </w:p>
    <w:p w:rsidR="00033807" w:rsidRDefault="00033807">
      <w:pPr>
        <w:spacing w:after="0"/>
        <w:jc w:val="both"/>
        <w:rPr>
          <w:sz w:val="4"/>
          <w:szCs w:val="4"/>
        </w:rPr>
      </w:pPr>
    </w:p>
    <w:p w:rsidR="00033807" w:rsidRDefault="00C071AF">
      <w:pPr>
        <w:spacing w:after="0"/>
        <w:jc w:val="both"/>
        <w:rPr>
          <w:rFonts w:cstheme="minorHAnsi"/>
          <w:b/>
        </w:rPr>
      </w:pPr>
      <w:r>
        <w:rPr>
          <w:noProof/>
          <w:lang w:eastAsia="cs-CZ"/>
        </w:rPr>
        <mc:AlternateContent>
          <mc:Choice Requires="wps">
            <w:drawing>
              <wp:anchor distT="3810" distB="2540" distL="3810" distR="2540" simplePos="0" relativeHeight="358" behindDoc="0" locked="0" layoutInCell="0" allowOverlap="1">
                <wp:simplePos x="0" y="0"/>
                <wp:positionH relativeFrom="column">
                  <wp:posOffset>2264</wp:posOffset>
                </wp:positionH>
                <wp:positionV relativeFrom="paragraph">
                  <wp:posOffset>-419</wp:posOffset>
                </wp:positionV>
                <wp:extent cx="6905625" cy="681486"/>
                <wp:effectExtent l="0" t="0" r="9525" b="4445"/>
                <wp:wrapNone/>
                <wp:docPr id="14" name="Rámec6"/>
                <wp:cNvGraphicFramePr/>
                <a:graphic xmlns:a="http://schemas.openxmlformats.org/drawingml/2006/main">
                  <a:graphicData uri="http://schemas.microsoft.com/office/word/2010/wordprocessingShape">
                    <wps:wsp>
                      <wps:cNvSpPr txBox="1"/>
                      <wps:spPr>
                        <a:xfrm>
                          <a:off x="0" y="0"/>
                          <a:ext cx="6905625" cy="681486"/>
                        </a:xfrm>
                        <a:prstGeom prst="rect">
                          <a:avLst/>
                        </a:prstGeom>
                        <a:solidFill>
                          <a:srgbClr val="DEEAF6"/>
                        </a:solidFill>
                        <a:ln w="6350">
                          <a:solidFill>
                            <a:srgbClr val="000000"/>
                          </a:solidFill>
                        </a:ln>
                      </wps:spPr>
                      <wps:txbx>
                        <w:txbxContent>
                          <w:p w:rsidR="009C56BF" w:rsidRDefault="009C56BF" w:rsidP="00360472">
                            <w:pPr>
                              <w:spacing w:after="0"/>
                              <w:jc w:val="both"/>
                              <w:rPr>
                                <w:rFonts w:cstheme="minorHAnsi"/>
                              </w:rPr>
                            </w:pPr>
                            <w:r w:rsidRPr="00360472">
                              <w:rPr>
                                <w:rStyle w:val="Hypertextovodkaz"/>
                                <w:rFonts w:cstheme="minorHAnsi"/>
                                <w:b/>
                                <w:color w:val="auto"/>
                              </w:rPr>
                              <w:t>Aktuálně je III. interní klinikou FN Olomouc</w:t>
                            </w:r>
                            <w:r w:rsidRPr="00360472">
                              <w:rPr>
                                <w:rStyle w:val="Hypertextovodkaz"/>
                                <w:rFonts w:cstheme="minorHAnsi"/>
                                <w:b/>
                                <w:color w:val="auto"/>
                                <w:vertAlign w:val="superscript"/>
                              </w:rPr>
                              <w:t>136</w:t>
                            </w:r>
                            <w:r w:rsidRPr="00360472">
                              <w:rPr>
                                <w:rStyle w:val="Hypertextovodkaz"/>
                                <w:rFonts w:cstheme="minorHAnsi"/>
                                <w:b/>
                                <w:color w:val="auto"/>
                              </w:rPr>
                              <w:t xml:space="preserve"> předpokládaný počet pacientů v daném roce na 10</w:t>
                            </w:r>
                            <w:r>
                              <w:rPr>
                                <w:rStyle w:val="Hypertextovodkaz"/>
                                <w:rFonts w:cstheme="minorHAnsi"/>
                                <w:b/>
                                <w:color w:val="auto"/>
                                <w:u w:val="none"/>
                              </w:rPr>
                              <w:t xml:space="preserve"> – CAVE! klinika ale tehdy (tj. 2. 4. 2024) předpokládala, že LP bude mít v brzké době úhradu ze zdravotního pojištění, k tomu viz podrobněji informace uvedené výše v odstavci </w:t>
                            </w:r>
                            <w:r w:rsidRPr="00360472">
                              <w:rPr>
                                <w:rStyle w:val="Hypertextovodkaz"/>
                                <w:rFonts w:cstheme="minorHAnsi"/>
                                <w:b/>
                                <w:color w:val="auto"/>
                                <w:u w:val="none"/>
                              </w:rPr>
                              <w:t>„</w:t>
                            </w:r>
                            <w:r w:rsidRPr="00360472">
                              <w:rPr>
                                <w:rFonts w:cstheme="minorHAnsi"/>
                                <w:b/>
                                <w:i/>
                              </w:rPr>
                              <w:t>Stav LP v ČR</w:t>
                            </w:r>
                            <w:r w:rsidRPr="00360472">
                              <w:rPr>
                                <w:rFonts w:cstheme="minorHAnsi"/>
                                <w:b/>
                                <w:i/>
                                <w:vertAlign w:val="superscript"/>
                              </w:rPr>
                              <w:t xml:space="preserve"> </w:t>
                            </w:r>
                            <w:r w:rsidRPr="00360472">
                              <w:rPr>
                                <w:rFonts w:cstheme="minorHAnsi"/>
                                <w:b/>
                                <w:i/>
                              </w:rPr>
                              <w:t>k datu 16. 8. 2024</w:t>
                            </w:r>
                            <w:r>
                              <w:rPr>
                                <w:rFonts w:cstheme="minorHAnsi"/>
                                <w:b/>
                              </w:rPr>
                              <w:t>“!</w:t>
                            </w:r>
                            <w:r>
                              <w:rPr>
                                <w:rFonts w:cstheme="minorHAnsi"/>
                              </w:rPr>
                              <w:t xml:space="preserve"> </w:t>
                            </w:r>
                          </w:p>
                          <w:p w:rsidR="009C56BF" w:rsidRDefault="009C56BF">
                            <w:pPr>
                              <w:pStyle w:val="Obsahrmce"/>
                              <w:spacing w:after="0"/>
                              <w:jc w:val="both"/>
                              <w:rPr>
                                <w:rStyle w:val="Hypertextovodkaz"/>
                                <w:rFonts w:cstheme="minorHAnsi"/>
                                <w:b/>
                                <w:color w:val="auto"/>
                                <w:u w:val="none"/>
                              </w:rPr>
                            </w:pPr>
                          </w:p>
                          <w:p w:rsidR="009C56BF" w:rsidRDefault="009C56BF">
                            <w:pPr>
                              <w:pStyle w:val="Obsahrmce"/>
                              <w:rPr>
                                <w:color w:val="000000"/>
                              </w:rPr>
                            </w:pPr>
                          </w:p>
                        </w:txbxContent>
                      </wps:txbx>
                      <wps:bodyPr lIns="91440" tIns="45720" rIns="91440" bIns="45720" anchor="t">
                        <a:noAutofit/>
                      </wps:bodyPr>
                    </wps:wsp>
                  </a:graphicData>
                </a:graphic>
                <wp14:sizeRelV relativeFrom="margin">
                  <wp14:pctHeight>0</wp14:pctHeight>
                </wp14:sizeRelV>
              </wp:anchor>
            </w:drawing>
          </mc:Choice>
          <mc:Fallback>
            <w:pict>
              <v:shape id="_x0000_s1031" type="#_x0000_t202" style="position:absolute;left:0;text-align:left;margin-left:.2pt;margin-top:-.05pt;width:543.75pt;height:53.65pt;z-index:358;visibility:visible;mso-wrap-style:square;mso-height-percent:0;mso-wrap-distance-left:.3pt;mso-wrap-distance-top:.3pt;mso-wrap-distance-right:.2pt;mso-wrap-distance-bottom:.2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" o:allowincell="f" fillcolor="#deeaf6" strokeweight=".5pt">
                <v:textbox>
                  <w:txbxContent>
                    <w:p w:rsidR="009C56BF" w:rsidRDefault="009C56BF" w:rsidP="00360472">
                      <w:pPr>
                        <w:spacing w:after="0"/>
                        <w:jc w:val="both"/>
                        <w:rPr>
                          <w:rFonts w:cstheme="minorHAnsi"/>
                        </w:rPr>
                      </w:pPr>
                      <w:r w:rsidRPr="00360472">
                        <w:rPr>
                          <w:rStyle w:val="Hypertextovodkaz"/>
                          <w:rFonts w:cstheme="minorHAnsi"/>
                          <w:b/>
                          <w:color w:val="auto"/>
                        </w:rPr>
                        <w:t>Aktuálně je III. interní klinikou FN Olomouc</w:t>
                      </w:r>
                      <w:r w:rsidRPr="00360472">
                        <w:rPr>
                          <w:rStyle w:val="Hypertextovodkaz"/>
                          <w:rFonts w:cstheme="minorHAnsi"/>
                          <w:b/>
                          <w:color w:val="auto"/>
                          <w:vertAlign w:val="superscript"/>
                        </w:rPr>
                        <w:t>136</w:t>
                      </w:r>
                      <w:r w:rsidRPr="00360472">
                        <w:rPr>
                          <w:rStyle w:val="Hypertextovodkaz"/>
                          <w:rFonts w:cstheme="minorHAnsi"/>
                          <w:b/>
                          <w:color w:val="auto"/>
                        </w:rPr>
                        <w:t xml:space="preserve"> předpokládaný počet pacientů v daném roce na 10</w:t>
                      </w:r>
                      <w:r>
                        <w:rPr>
                          <w:rStyle w:val="Hypertextovodkaz"/>
                          <w:rFonts w:cstheme="minorHAnsi"/>
                          <w:b/>
                          <w:color w:val="auto"/>
                          <w:u w:val="none"/>
                        </w:rPr>
                        <w:t xml:space="preserve"> – CAVE! klinika ale tehdy (tj. 2. 4. 2024) předpokládala, že LP bude mít v brzké době úhradu ze zdravotního pojištění, k tomu viz podrobněji informace uvedené výše v odstavci </w:t>
                      </w:r>
                      <w:r w:rsidRPr="00360472">
                        <w:rPr>
                          <w:rStyle w:val="Hypertextovodkaz"/>
                          <w:rFonts w:cstheme="minorHAnsi"/>
                          <w:b/>
                          <w:color w:val="auto"/>
                          <w:u w:val="none"/>
                        </w:rPr>
                        <w:t>„</w:t>
                      </w:r>
                      <w:r w:rsidRPr="00360472">
                        <w:rPr>
                          <w:rFonts w:cstheme="minorHAnsi"/>
                          <w:b/>
                          <w:i/>
                        </w:rPr>
                        <w:t>Stav LP v ČR</w:t>
                      </w:r>
                      <w:r w:rsidRPr="00360472">
                        <w:rPr>
                          <w:rFonts w:cstheme="minorHAnsi"/>
                          <w:b/>
                          <w:i/>
                          <w:vertAlign w:val="superscript"/>
                        </w:rPr>
                        <w:t xml:space="preserve"> </w:t>
                      </w:r>
                      <w:r w:rsidRPr="00360472">
                        <w:rPr>
                          <w:rFonts w:cstheme="minorHAnsi"/>
                          <w:b/>
                          <w:i/>
                        </w:rPr>
                        <w:t>k datu 16. 8. 2024</w:t>
                      </w:r>
                      <w:r>
                        <w:rPr>
                          <w:rFonts w:cstheme="minorHAnsi"/>
                          <w:b/>
                        </w:rPr>
                        <w:t>“!</w:t>
                      </w:r>
                      <w:r>
                        <w:rPr>
                          <w:rFonts w:cstheme="minorHAnsi"/>
                        </w:rPr>
                        <w:t xml:space="preserve"> </w:t>
                      </w:r>
                    </w:p>
                    <w:p w:rsidR="009C56BF" w:rsidRDefault="009C56BF">
                      <w:pPr>
                        <w:pStyle w:val="Obsahrmce"/>
                        <w:spacing w:after="0"/>
                        <w:jc w:val="both"/>
                        <w:rPr>
                          <w:rStyle w:val="Hypertextovodkaz"/>
                          <w:rFonts w:cstheme="minorHAnsi"/>
                          <w:b/>
                          <w:color w:val="auto"/>
                          <w:u w:val="none"/>
                        </w:rPr>
                      </w:pPr>
                    </w:p>
                    <w:p w:rsidR="009C56BF" w:rsidRDefault="009C56BF">
                      <w:pPr>
                        <w:pStyle w:val="Obsahrmce"/>
                        <w:rPr>
                          <w:color w:val="000000"/>
                        </w:rPr>
                      </w:pPr>
                    </w:p>
                  </w:txbxContent>
                </v:textbox>
              </v:shape>
            </w:pict>
          </mc:Fallback>
        </mc:AlternateContent>
      </w:r>
    </w:p>
    <w:p w:rsidR="00033807" w:rsidRDefault="00033807">
      <w:pPr>
        <w:spacing w:after="0"/>
        <w:jc w:val="both"/>
        <w:rPr>
          <w:rFonts w:cstheme="minorHAnsi"/>
          <w:b/>
        </w:rPr>
      </w:pPr>
    </w:p>
    <w:p w:rsidR="00033807" w:rsidRDefault="00033807">
      <w:pPr>
        <w:spacing w:after="0"/>
        <w:jc w:val="both"/>
        <w:rPr>
          <w:rFonts w:cstheme="minorHAnsi"/>
          <w:b/>
          <w:sz w:val="10"/>
          <w:szCs w:val="10"/>
        </w:rPr>
      </w:pPr>
    </w:p>
    <w:p w:rsidR="00033807" w:rsidRDefault="00033807">
      <w:pPr>
        <w:spacing w:after="0"/>
        <w:jc w:val="both"/>
        <w:rPr>
          <w:rFonts w:cstheme="minorHAnsi"/>
          <w:b/>
          <w:sz w:val="10"/>
          <w:szCs w:val="10"/>
        </w:rPr>
      </w:pPr>
    </w:p>
    <w:p w:rsidR="00360472" w:rsidRDefault="00360472">
      <w:pPr>
        <w:spacing w:after="0"/>
        <w:jc w:val="both"/>
        <w:rPr>
          <w:rFonts w:cstheme="minorHAnsi"/>
          <w:b/>
          <w:u w:val="single"/>
        </w:rPr>
      </w:pPr>
    </w:p>
    <w:p w:rsidR="00360472" w:rsidRDefault="00360472">
      <w:pPr>
        <w:spacing w:after="0"/>
        <w:jc w:val="both"/>
        <w:rPr>
          <w:rFonts w:cstheme="minorHAnsi"/>
          <w:b/>
          <w:u w:val="single"/>
        </w:rPr>
      </w:pPr>
    </w:p>
    <w:p w:rsidR="00E76255" w:rsidRDefault="00E76255">
      <w:pPr>
        <w:spacing w:after="0"/>
        <w:jc w:val="both"/>
        <w:rPr>
          <w:rFonts w:cstheme="minorHAnsi"/>
          <w:b/>
          <w:u w:val="single"/>
        </w:rPr>
      </w:pPr>
    </w:p>
    <w:p w:rsidR="00010794" w:rsidRDefault="00010794">
      <w:pPr>
        <w:spacing w:after="0"/>
        <w:jc w:val="both"/>
        <w:rPr>
          <w:rFonts w:cstheme="minorHAnsi"/>
          <w:b/>
          <w:u w:val="single"/>
        </w:rPr>
      </w:pPr>
    </w:p>
    <w:p w:rsidR="00033807" w:rsidRDefault="00C071AF">
      <w:pPr>
        <w:spacing w:after="0"/>
        <w:jc w:val="both"/>
        <w:rPr>
          <w:rFonts w:cstheme="minorHAnsi"/>
          <w:u w:val="single"/>
        </w:rPr>
      </w:pPr>
      <w:r>
        <w:rPr>
          <w:rFonts w:cstheme="minorHAnsi"/>
          <w:b/>
          <w:u w:val="single"/>
        </w:rPr>
        <w:t>Specifikace FE analýzy</w:t>
      </w:r>
      <w:r>
        <w:rPr>
          <w:rFonts w:cstheme="minorHAnsi"/>
          <w:u w:val="single"/>
        </w:rPr>
        <w:t>:</w:t>
      </w:r>
    </w:p>
    <w:p w:rsidR="00033807" w:rsidRDefault="00C071AF">
      <w:pPr>
        <w:pStyle w:val="Odstavecseseznamem"/>
        <w:numPr>
          <w:ilvl w:val="0"/>
          <w:numId w:val="2"/>
        </w:numPr>
        <w:spacing w:after="0"/>
        <w:jc w:val="both"/>
        <w:rPr>
          <w:rFonts w:cstheme="minorHAnsi"/>
          <w:sz w:val="20"/>
          <w:szCs w:val="20"/>
        </w:rPr>
      </w:pPr>
      <w:r>
        <w:rPr>
          <w:rFonts w:cstheme="minorHAnsi"/>
          <w:sz w:val="20"/>
          <w:szCs w:val="20"/>
        </w:rPr>
        <w:t xml:space="preserve">Byla provedena analýza nákladové efektivity (tzv. CEA) a analýza dopadu do rozpočtu (tzv. BIA). Z modelace </w:t>
      </w:r>
      <w:r w:rsidR="00E76255">
        <w:rPr>
          <w:rFonts w:cstheme="minorHAnsi"/>
          <w:sz w:val="20"/>
          <w:szCs w:val="20"/>
        </w:rPr>
        <w:t>firmy STADA</w:t>
      </w:r>
      <w:r>
        <w:rPr>
          <w:rFonts w:cstheme="minorHAnsi"/>
          <w:sz w:val="20"/>
          <w:szCs w:val="20"/>
        </w:rPr>
        <w:t xml:space="preserve"> (viz níže pozn. </w:t>
      </w:r>
      <w:r w:rsidR="00E76255">
        <w:rPr>
          <w:rFonts w:cstheme="minorHAnsi"/>
          <w:sz w:val="20"/>
          <w:szCs w:val="20"/>
        </w:rPr>
        <w:t>28</w:t>
      </w:r>
      <w:r>
        <w:rPr>
          <w:rFonts w:cstheme="minorHAnsi"/>
          <w:sz w:val="20"/>
          <w:szCs w:val="20"/>
        </w:rPr>
        <w:t xml:space="preserve"> a 13</w:t>
      </w:r>
      <w:r w:rsidR="00E76255">
        <w:rPr>
          <w:rFonts w:cstheme="minorHAnsi"/>
          <w:sz w:val="20"/>
          <w:szCs w:val="20"/>
        </w:rPr>
        <w:t>3) k LP KINPEYGO</w:t>
      </w:r>
      <w:r>
        <w:rPr>
          <w:rFonts w:cstheme="minorHAnsi"/>
          <w:sz w:val="20"/>
          <w:szCs w:val="20"/>
        </w:rPr>
        <w:t xml:space="preserve"> byly převzaty a využity výsledky analýzy nákladové užitečnosti (tzv. CUA) a také BIA. </w:t>
      </w:r>
    </w:p>
    <w:p w:rsidR="00E76255" w:rsidRDefault="00E76255">
      <w:pPr>
        <w:pStyle w:val="Odstavecseseznamem"/>
        <w:numPr>
          <w:ilvl w:val="0"/>
          <w:numId w:val="2"/>
        </w:numPr>
        <w:spacing w:after="0"/>
        <w:jc w:val="both"/>
        <w:rPr>
          <w:rFonts w:cstheme="minorHAnsi"/>
          <w:sz w:val="20"/>
          <w:szCs w:val="20"/>
        </w:rPr>
      </w:pPr>
      <w:r>
        <w:rPr>
          <w:rFonts w:cstheme="minorHAnsi"/>
          <w:sz w:val="20"/>
          <w:szCs w:val="20"/>
        </w:rPr>
        <w:t xml:space="preserve">Vzhledem k jednorázovému krátkodobému podávání LP KINPEYGO či systémových kortikosteroidů (9-10 měsíců) byla provedena CEA (jako jeden ze scénařů) v tomto časovém období, BIA pak pro 1 rok léčby </w:t>
      </w:r>
      <w:r>
        <w:rPr>
          <w:rFonts w:cstheme="minorHAnsi"/>
          <w:b/>
          <w:sz w:val="20"/>
          <w:szCs w:val="20"/>
        </w:rPr>
        <w:t xml:space="preserve">pro celkem 10 pacientů/rok </w:t>
      </w:r>
      <w:r>
        <w:rPr>
          <w:rFonts w:cstheme="minorHAnsi"/>
          <w:sz w:val="20"/>
          <w:szCs w:val="20"/>
        </w:rPr>
        <w:t>(viz žádost III. IK FN</w:t>
      </w:r>
      <w:r>
        <w:rPr>
          <w:rStyle w:val="Hypertextovodkaz"/>
          <w:rFonts w:cstheme="minorHAnsi"/>
          <w:color w:val="auto"/>
          <w:sz w:val="20"/>
          <w:szCs w:val="20"/>
          <w:u w:val="none"/>
        </w:rPr>
        <w:t xml:space="preserve"> Olomouc o LP KINPEYGO</w:t>
      </w:r>
      <w:r>
        <w:rPr>
          <w:rStyle w:val="Hypertextovodkaz"/>
          <w:rFonts w:cstheme="minorHAnsi"/>
          <w:color w:val="auto"/>
          <w:sz w:val="20"/>
          <w:szCs w:val="20"/>
          <w:u w:val="none"/>
          <w:vertAlign w:val="superscript"/>
        </w:rPr>
        <w:t>136</w:t>
      </w:r>
      <w:r>
        <w:rPr>
          <w:rFonts w:cstheme="minorHAnsi"/>
          <w:sz w:val="20"/>
          <w:szCs w:val="20"/>
        </w:rPr>
        <w:t>)</w:t>
      </w:r>
      <w:r w:rsidR="003F7627">
        <w:rPr>
          <w:rFonts w:cstheme="minorHAnsi"/>
          <w:sz w:val="20"/>
          <w:szCs w:val="20"/>
        </w:rPr>
        <w:t>.</w:t>
      </w:r>
    </w:p>
    <w:p w:rsidR="00E76255" w:rsidRPr="00E76255" w:rsidRDefault="00C071AF">
      <w:pPr>
        <w:pStyle w:val="Odstavecseseznamem"/>
        <w:numPr>
          <w:ilvl w:val="0"/>
          <w:numId w:val="2"/>
        </w:numPr>
        <w:spacing w:after="0"/>
        <w:jc w:val="both"/>
        <w:rPr>
          <w:rFonts w:cstheme="minorHAnsi"/>
          <w:sz w:val="20"/>
          <w:szCs w:val="20"/>
        </w:rPr>
      </w:pPr>
      <w:r>
        <w:rPr>
          <w:rFonts w:cstheme="minorHAnsi"/>
          <w:b/>
          <w:sz w:val="20"/>
          <w:szCs w:val="20"/>
        </w:rPr>
        <w:t>Vzhledem</w:t>
      </w:r>
      <w:r w:rsidR="00E76255">
        <w:rPr>
          <w:rFonts w:cstheme="minorHAnsi"/>
          <w:b/>
          <w:sz w:val="20"/>
          <w:szCs w:val="20"/>
        </w:rPr>
        <w:t xml:space="preserve"> k</w:t>
      </w:r>
      <w:r>
        <w:rPr>
          <w:rFonts w:cstheme="minorHAnsi"/>
          <w:b/>
          <w:sz w:val="20"/>
          <w:szCs w:val="20"/>
        </w:rPr>
        <w:t xml:space="preserve"> relativně dlouhý</w:t>
      </w:r>
      <w:r w:rsidR="00E76255">
        <w:rPr>
          <w:rFonts w:cstheme="minorHAnsi"/>
          <w:b/>
          <w:sz w:val="20"/>
          <w:szCs w:val="20"/>
        </w:rPr>
        <w:t>m</w:t>
      </w:r>
      <w:r>
        <w:rPr>
          <w:rFonts w:cstheme="minorHAnsi"/>
          <w:b/>
          <w:sz w:val="20"/>
          <w:szCs w:val="20"/>
        </w:rPr>
        <w:t xml:space="preserve"> celkový</w:t>
      </w:r>
      <w:r w:rsidR="00E76255">
        <w:rPr>
          <w:rFonts w:cstheme="minorHAnsi"/>
          <w:b/>
          <w:sz w:val="20"/>
          <w:szCs w:val="20"/>
        </w:rPr>
        <w:t>m</w:t>
      </w:r>
      <w:r>
        <w:rPr>
          <w:rFonts w:cstheme="minorHAnsi"/>
          <w:b/>
          <w:sz w:val="20"/>
          <w:szCs w:val="20"/>
        </w:rPr>
        <w:t xml:space="preserve"> přežití</w:t>
      </w:r>
      <w:r w:rsidR="00E76255">
        <w:rPr>
          <w:rFonts w:cstheme="minorHAnsi"/>
          <w:b/>
          <w:sz w:val="20"/>
          <w:szCs w:val="20"/>
        </w:rPr>
        <w:t>m pacientů s onemocněním IgAN</w:t>
      </w:r>
      <w:r>
        <w:rPr>
          <w:rFonts w:cstheme="minorHAnsi"/>
          <w:b/>
          <w:sz w:val="20"/>
          <w:szCs w:val="20"/>
        </w:rPr>
        <w:t xml:space="preserve"> </w:t>
      </w:r>
      <w:r>
        <w:rPr>
          <w:rFonts w:cstheme="minorHAnsi"/>
          <w:sz w:val="20"/>
          <w:szCs w:val="20"/>
        </w:rPr>
        <w:t xml:space="preserve">byla provedena </w:t>
      </w:r>
      <w:r>
        <w:rPr>
          <w:rFonts w:cstheme="minorHAnsi"/>
          <w:b/>
          <w:sz w:val="20"/>
          <w:szCs w:val="20"/>
        </w:rPr>
        <w:t xml:space="preserve">CEA/CUA analýza </w:t>
      </w:r>
      <w:r w:rsidR="00E76255">
        <w:rPr>
          <w:rFonts w:cstheme="minorHAnsi"/>
          <w:b/>
          <w:sz w:val="20"/>
          <w:szCs w:val="20"/>
        </w:rPr>
        <w:t xml:space="preserve">také </w:t>
      </w:r>
      <w:r>
        <w:rPr>
          <w:rFonts w:cstheme="minorHAnsi"/>
          <w:b/>
          <w:sz w:val="20"/>
          <w:szCs w:val="20"/>
        </w:rPr>
        <w:t xml:space="preserve">z celoživotní perspektivy </w:t>
      </w:r>
      <w:r>
        <w:rPr>
          <w:rFonts w:cstheme="minorHAnsi"/>
          <w:sz w:val="20"/>
          <w:szCs w:val="20"/>
        </w:rPr>
        <w:t>(viz další detaily níže v odstavci „</w:t>
      </w:r>
      <w:r>
        <w:rPr>
          <w:rFonts w:cstheme="minorHAnsi"/>
          <w:i/>
          <w:sz w:val="20"/>
          <w:szCs w:val="20"/>
        </w:rPr>
        <w:t>Výsledky CUA/CEA</w:t>
      </w:r>
      <w:r>
        <w:rPr>
          <w:rFonts w:cstheme="minorHAnsi"/>
          <w:sz w:val="20"/>
          <w:szCs w:val="20"/>
        </w:rPr>
        <w:t>“</w:t>
      </w:r>
      <w:r w:rsidR="003F7627">
        <w:rPr>
          <w:rFonts w:cstheme="minorHAnsi"/>
          <w:sz w:val="20"/>
          <w:szCs w:val="20"/>
        </w:rPr>
        <w:t xml:space="preserve"> a v Příloze č. 30</w:t>
      </w:r>
      <w:r>
        <w:rPr>
          <w:rFonts w:cstheme="minorHAnsi"/>
          <w:sz w:val="20"/>
          <w:szCs w:val="20"/>
        </w:rPr>
        <w:t>)</w:t>
      </w:r>
      <w:r>
        <w:rPr>
          <w:rFonts w:cstheme="minorHAnsi"/>
          <w:b/>
          <w:sz w:val="20"/>
          <w:szCs w:val="20"/>
        </w:rPr>
        <w:t xml:space="preserve">. </w:t>
      </w:r>
    </w:p>
    <w:p w:rsidR="00033807" w:rsidRDefault="00C071AF">
      <w:pPr>
        <w:pStyle w:val="Odstavecseseznamem"/>
        <w:numPr>
          <w:ilvl w:val="0"/>
          <w:numId w:val="2"/>
        </w:numPr>
        <w:spacing w:after="0"/>
        <w:jc w:val="both"/>
        <w:rPr>
          <w:rFonts w:cstheme="minorHAnsi"/>
          <w:sz w:val="20"/>
          <w:szCs w:val="20"/>
        </w:rPr>
      </w:pPr>
      <w:r>
        <w:rPr>
          <w:rFonts w:cstheme="minorHAnsi"/>
          <w:sz w:val="20"/>
          <w:szCs w:val="20"/>
        </w:rPr>
        <w:t xml:space="preserve">Při nepřímém srovnání různých </w:t>
      </w:r>
      <w:r w:rsidR="00E76255">
        <w:rPr>
          <w:rFonts w:cstheme="minorHAnsi"/>
          <w:sz w:val="20"/>
          <w:szCs w:val="20"/>
        </w:rPr>
        <w:t>režimů</w:t>
      </w:r>
      <w:r>
        <w:rPr>
          <w:rFonts w:cstheme="minorHAnsi"/>
          <w:sz w:val="20"/>
          <w:szCs w:val="20"/>
        </w:rPr>
        <w:t xml:space="preserve"> byly v CEA použity jen relativní hodnoty</w:t>
      </w:r>
      <w:r w:rsidR="003F7627">
        <w:rPr>
          <w:rFonts w:cstheme="minorHAnsi"/>
          <w:sz w:val="20"/>
          <w:szCs w:val="20"/>
        </w:rPr>
        <w:t xml:space="preserve"> a to v různých scénářích</w:t>
      </w:r>
      <w:r>
        <w:rPr>
          <w:rFonts w:cstheme="minorHAnsi"/>
          <w:sz w:val="20"/>
          <w:szCs w:val="20"/>
        </w:rPr>
        <w:t xml:space="preserve"> (</w:t>
      </w:r>
      <w:r w:rsidR="003F7627">
        <w:rPr>
          <w:rFonts w:cstheme="minorHAnsi"/>
          <w:sz w:val="20"/>
          <w:szCs w:val="20"/>
        </w:rPr>
        <w:t>viz další detaily níže v odstavci „</w:t>
      </w:r>
      <w:r w:rsidR="003F7627">
        <w:rPr>
          <w:rFonts w:cstheme="minorHAnsi"/>
          <w:i/>
          <w:sz w:val="20"/>
          <w:szCs w:val="20"/>
        </w:rPr>
        <w:t>Výsledky CUA/CEA</w:t>
      </w:r>
      <w:r w:rsidR="003F7627">
        <w:rPr>
          <w:rFonts w:cstheme="minorHAnsi"/>
          <w:sz w:val="20"/>
          <w:szCs w:val="20"/>
        </w:rPr>
        <w:t>“ a v Příloze č. 30)</w:t>
      </w:r>
      <w:r>
        <w:rPr>
          <w:rFonts w:cstheme="minorHAnsi"/>
          <w:sz w:val="20"/>
          <w:szCs w:val="20"/>
        </w:rPr>
        <w:t>.</w:t>
      </w:r>
    </w:p>
    <w:p w:rsidR="00E76255" w:rsidRDefault="003F7627">
      <w:pPr>
        <w:pStyle w:val="Odstavecseseznamem"/>
        <w:numPr>
          <w:ilvl w:val="0"/>
          <w:numId w:val="2"/>
        </w:numPr>
        <w:spacing w:after="0"/>
        <w:jc w:val="both"/>
        <w:rPr>
          <w:rFonts w:cstheme="minorHAnsi"/>
          <w:sz w:val="20"/>
          <w:szCs w:val="20"/>
        </w:rPr>
      </w:pPr>
      <w:r>
        <w:rPr>
          <w:rFonts w:cstheme="minorHAnsi"/>
          <w:sz w:val="20"/>
          <w:szCs w:val="20"/>
        </w:rPr>
        <w:t>Jen pro parametr výskytu závažných infekcí po léčbě vyžadujících hospitalizaci byl počítán ICER (viz další detaily níže v odstavci „</w:t>
      </w:r>
      <w:r>
        <w:rPr>
          <w:rFonts w:cstheme="minorHAnsi"/>
          <w:i/>
          <w:sz w:val="20"/>
          <w:szCs w:val="20"/>
        </w:rPr>
        <w:t>Výsledky CUA/CEA</w:t>
      </w:r>
      <w:r>
        <w:rPr>
          <w:rFonts w:cstheme="minorHAnsi"/>
          <w:sz w:val="20"/>
          <w:szCs w:val="20"/>
        </w:rPr>
        <w:t>“)</w:t>
      </w:r>
      <w:r>
        <w:rPr>
          <w:rFonts w:cstheme="minorHAnsi"/>
          <w:b/>
          <w:sz w:val="20"/>
          <w:szCs w:val="20"/>
        </w:rPr>
        <w:t>.</w:t>
      </w:r>
    </w:p>
    <w:p w:rsidR="00033807" w:rsidRPr="003F7627" w:rsidRDefault="00C071AF" w:rsidP="003F7627">
      <w:pPr>
        <w:pStyle w:val="Odstavecseseznamem"/>
        <w:numPr>
          <w:ilvl w:val="0"/>
          <w:numId w:val="2"/>
        </w:numPr>
        <w:spacing w:after="0"/>
        <w:jc w:val="both"/>
        <w:rPr>
          <w:rFonts w:cstheme="minorHAnsi"/>
          <w:b/>
          <w:sz w:val="20"/>
          <w:szCs w:val="20"/>
          <w:u w:val="single"/>
        </w:rPr>
      </w:pPr>
      <w:r w:rsidRPr="003F7627">
        <w:rPr>
          <w:rFonts w:cstheme="minorHAnsi"/>
          <w:sz w:val="20"/>
          <w:szCs w:val="20"/>
        </w:rPr>
        <w:t xml:space="preserve">Analýza byla provedena z perspektivy nemocnice – jako jednotkové ceny byly použity údaje </w:t>
      </w:r>
      <w:r w:rsidRPr="003F7627">
        <w:rPr>
          <w:rFonts w:cstheme="minorHAnsi"/>
          <w:b/>
          <w:sz w:val="20"/>
          <w:szCs w:val="20"/>
        </w:rPr>
        <w:t>z lékárenského SW FN Olomouc k datu 1</w:t>
      </w:r>
      <w:r w:rsidR="003F7627" w:rsidRPr="003F7627">
        <w:rPr>
          <w:rFonts w:cstheme="minorHAnsi"/>
          <w:b/>
          <w:sz w:val="20"/>
          <w:szCs w:val="20"/>
        </w:rPr>
        <w:t>3. 8</w:t>
      </w:r>
      <w:r w:rsidRPr="003F7627">
        <w:rPr>
          <w:rFonts w:cstheme="minorHAnsi"/>
          <w:b/>
          <w:sz w:val="20"/>
          <w:szCs w:val="20"/>
        </w:rPr>
        <w:t xml:space="preserve">. 2024, </w:t>
      </w:r>
      <w:r w:rsidRPr="003F7627">
        <w:rPr>
          <w:rFonts w:cstheme="minorHAnsi"/>
          <w:sz w:val="20"/>
          <w:szCs w:val="20"/>
        </w:rPr>
        <w:t xml:space="preserve">jednotková </w:t>
      </w:r>
      <w:r w:rsidRPr="003F7627">
        <w:rPr>
          <w:rFonts w:cstheme="minorHAnsi"/>
          <w:b/>
          <w:sz w:val="20"/>
          <w:szCs w:val="20"/>
        </w:rPr>
        <w:t xml:space="preserve">cena u LP </w:t>
      </w:r>
      <w:r w:rsidR="003F7627" w:rsidRPr="003F7627">
        <w:rPr>
          <w:rFonts w:cstheme="minorHAnsi"/>
          <w:b/>
          <w:sz w:val="20"/>
          <w:szCs w:val="20"/>
        </w:rPr>
        <w:t>KINPEYGO byla převza</w:t>
      </w:r>
      <w:r w:rsidRPr="003F7627">
        <w:rPr>
          <w:rFonts w:cstheme="minorHAnsi"/>
          <w:b/>
          <w:sz w:val="20"/>
          <w:szCs w:val="20"/>
        </w:rPr>
        <w:t>ta</w:t>
      </w:r>
      <w:r w:rsidR="003F7627" w:rsidRPr="003F7627">
        <w:rPr>
          <w:rFonts w:cstheme="minorHAnsi"/>
          <w:b/>
          <w:sz w:val="20"/>
          <w:szCs w:val="20"/>
        </w:rPr>
        <w:t xml:space="preserve"> ze</w:t>
      </w:r>
      <w:r w:rsidRPr="003F7627">
        <w:rPr>
          <w:rFonts w:cstheme="minorHAnsi"/>
          <w:b/>
          <w:sz w:val="20"/>
          <w:szCs w:val="20"/>
        </w:rPr>
        <w:t xml:space="preserve"> </w:t>
      </w:r>
      <w:r w:rsidR="003F7627" w:rsidRPr="003F7627">
        <w:rPr>
          <w:rFonts w:cstheme="minorHAnsi"/>
          <w:sz w:val="20"/>
          <w:szCs w:val="20"/>
        </w:rPr>
        <w:t>žádosti III. IK FN</w:t>
      </w:r>
      <w:r w:rsidR="003F7627" w:rsidRPr="003F7627">
        <w:rPr>
          <w:rStyle w:val="Hypertextovodkaz"/>
          <w:rFonts w:cstheme="minorHAnsi"/>
          <w:color w:val="auto"/>
          <w:sz w:val="20"/>
          <w:szCs w:val="20"/>
          <w:u w:val="none"/>
        </w:rPr>
        <w:t xml:space="preserve"> Olomouc o LP KINPEYGO</w:t>
      </w:r>
      <w:r w:rsidR="003F7627" w:rsidRPr="003F7627">
        <w:rPr>
          <w:rStyle w:val="Hypertextovodkaz"/>
          <w:rFonts w:cstheme="minorHAnsi"/>
          <w:color w:val="auto"/>
          <w:sz w:val="20"/>
          <w:szCs w:val="20"/>
          <w:u w:val="none"/>
          <w:vertAlign w:val="superscript"/>
        </w:rPr>
        <w:t>136</w:t>
      </w:r>
      <w:r w:rsidR="003F7627">
        <w:rPr>
          <w:rStyle w:val="Hypertextovodkaz"/>
          <w:rFonts w:cstheme="minorHAnsi"/>
          <w:color w:val="auto"/>
          <w:sz w:val="20"/>
          <w:szCs w:val="20"/>
          <w:u w:val="none"/>
          <w:vertAlign w:val="superscript"/>
        </w:rPr>
        <w:t xml:space="preserve"> </w:t>
      </w:r>
      <w:r w:rsidRPr="003F7627">
        <w:rPr>
          <w:rFonts w:cstheme="minorHAnsi"/>
          <w:sz w:val="20"/>
          <w:szCs w:val="20"/>
        </w:rPr>
        <w:t xml:space="preserve">- </w:t>
      </w:r>
      <w:r w:rsidRPr="003F7627">
        <w:rPr>
          <w:rFonts w:cstheme="minorHAnsi"/>
          <w:b/>
          <w:sz w:val="20"/>
          <w:szCs w:val="20"/>
        </w:rPr>
        <w:t xml:space="preserve">viz podrobněji Přílohu č. </w:t>
      </w:r>
      <w:r w:rsidR="003F7627">
        <w:rPr>
          <w:rFonts w:cstheme="minorHAnsi"/>
          <w:b/>
          <w:sz w:val="20"/>
          <w:szCs w:val="20"/>
        </w:rPr>
        <w:t>30</w:t>
      </w:r>
      <w:r w:rsidRPr="003F7627">
        <w:rPr>
          <w:rFonts w:cstheme="minorHAnsi"/>
          <w:b/>
          <w:sz w:val="20"/>
          <w:szCs w:val="20"/>
        </w:rPr>
        <w:t xml:space="preserve"> k jednotkovým cenám LP</w:t>
      </w:r>
      <w:r w:rsidRPr="003F7627">
        <w:rPr>
          <w:rFonts w:cstheme="minorHAnsi"/>
          <w:sz w:val="20"/>
          <w:szCs w:val="20"/>
        </w:rPr>
        <w:t xml:space="preserve">. </w:t>
      </w:r>
      <w:r w:rsidRPr="003F7627">
        <w:rPr>
          <w:rFonts w:cstheme="minorHAnsi"/>
          <w:b/>
          <w:sz w:val="20"/>
          <w:szCs w:val="20"/>
          <w:u w:val="single"/>
        </w:rPr>
        <w:t>Jednotkové ceny jsou všechny bez obratových bonusů!</w:t>
      </w:r>
    </w:p>
    <w:p w:rsidR="003F7627" w:rsidRDefault="00C071AF" w:rsidP="003F7627">
      <w:pPr>
        <w:pStyle w:val="Odstavecseseznamem"/>
        <w:numPr>
          <w:ilvl w:val="0"/>
          <w:numId w:val="2"/>
        </w:numPr>
        <w:spacing w:after="0"/>
        <w:jc w:val="both"/>
        <w:rPr>
          <w:rFonts w:cstheme="minorHAnsi"/>
          <w:sz w:val="20"/>
          <w:szCs w:val="20"/>
        </w:rPr>
      </w:pPr>
      <w:r w:rsidRPr="003F7627">
        <w:rPr>
          <w:rFonts w:cstheme="minorHAnsi"/>
          <w:sz w:val="20"/>
          <w:szCs w:val="20"/>
        </w:rPr>
        <w:t>Náklady za léčbu byly počítány</w:t>
      </w:r>
      <w:r w:rsidR="003F7627" w:rsidRPr="003F7627">
        <w:rPr>
          <w:rFonts w:cstheme="minorHAnsi"/>
          <w:sz w:val="20"/>
          <w:szCs w:val="20"/>
        </w:rPr>
        <w:t xml:space="preserve"> v CEA i BIA dle dávkování v</w:t>
      </w:r>
      <w:r w:rsidRPr="003F7627">
        <w:rPr>
          <w:rFonts w:cstheme="minorHAnsi"/>
          <w:sz w:val="20"/>
          <w:szCs w:val="20"/>
        </w:rPr>
        <w:t xml:space="preserve"> relativních dávkových intenzit</w:t>
      </w:r>
      <w:r w:rsidR="003F7627" w:rsidRPr="003F7627">
        <w:rPr>
          <w:rFonts w:cstheme="minorHAnsi"/>
          <w:sz w:val="20"/>
          <w:szCs w:val="20"/>
        </w:rPr>
        <w:t>ách 100</w:t>
      </w:r>
      <w:r w:rsidR="003F7627">
        <w:rPr>
          <w:rFonts w:cstheme="minorHAnsi"/>
          <w:sz w:val="20"/>
          <w:szCs w:val="20"/>
        </w:rPr>
        <w:t>%.</w:t>
      </w:r>
    </w:p>
    <w:p w:rsidR="00033807" w:rsidRPr="003F7627" w:rsidRDefault="00C071AF" w:rsidP="003F7627">
      <w:pPr>
        <w:pStyle w:val="Odstavecseseznamem"/>
        <w:numPr>
          <w:ilvl w:val="0"/>
          <w:numId w:val="2"/>
        </w:numPr>
        <w:spacing w:after="0"/>
        <w:jc w:val="both"/>
        <w:rPr>
          <w:rStyle w:val="Hypertextovodkaz"/>
          <w:rFonts w:cstheme="minorHAnsi"/>
          <w:color w:val="auto"/>
          <w:sz w:val="20"/>
          <w:szCs w:val="20"/>
          <w:u w:val="none"/>
        </w:rPr>
      </w:pPr>
      <w:r w:rsidRPr="003F7627">
        <w:rPr>
          <w:rStyle w:val="Hypertextovodkaz"/>
          <w:rFonts w:cstheme="minorHAnsi"/>
          <w:b/>
          <w:color w:val="auto"/>
          <w:sz w:val="20"/>
          <w:szCs w:val="20"/>
          <w:u w:val="none"/>
        </w:rPr>
        <w:t>Do nákladů za léčbu byly také započítány další zdravotnické náklady - viz podrobněji níže pozn. 13</w:t>
      </w:r>
      <w:r w:rsidR="003F7627">
        <w:rPr>
          <w:rStyle w:val="Hypertextovodkaz"/>
          <w:rFonts w:cstheme="minorHAnsi"/>
          <w:b/>
          <w:color w:val="auto"/>
          <w:sz w:val="20"/>
          <w:szCs w:val="20"/>
          <w:u w:val="none"/>
        </w:rPr>
        <w:t>4</w:t>
      </w:r>
      <w:r w:rsidRPr="003F7627">
        <w:rPr>
          <w:rStyle w:val="Hypertextovodkaz"/>
          <w:rFonts w:cstheme="minorHAnsi"/>
          <w:b/>
          <w:color w:val="auto"/>
          <w:sz w:val="20"/>
          <w:szCs w:val="20"/>
          <w:u w:val="none"/>
        </w:rPr>
        <w:t xml:space="preserve">. </w:t>
      </w:r>
    </w:p>
    <w:p w:rsidR="00033807" w:rsidRDefault="00C071AF">
      <w:pPr>
        <w:pStyle w:val="Odstavecseseznamem"/>
        <w:numPr>
          <w:ilvl w:val="0"/>
          <w:numId w:val="2"/>
        </w:numPr>
        <w:spacing w:after="0"/>
        <w:jc w:val="both"/>
        <w:rPr>
          <w:rFonts w:cstheme="minorHAnsi"/>
          <w:sz w:val="20"/>
          <w:szCs w:val="20"/>
        </w:rPr>
      </w:pPr>
      <w:r>
        <w:rPr>
          <w:rFonts w:cstheme="minorHAnsi"/>
          <w:sz w:val="20"/>
          <w:szCs w:val="20"/>
        </w:rPr>
        <w:t>Byla prováděna diskontace nákladů ve výši 3 % za rok.</w:t>
      </w:r>
    </w:p>
    <w:p w:rsidR="00033807" w:rsidRDefault="00033807">
      <w:pPr>
        <w:spacing w:after="0"/>
        <w:jc w:val="both"/>
        <w:rPr>
          <w:rFonts w:cstheme="minorHAnsi"/>
          <w:sz w:val="20"/>
          <w:szCs w:val="20"/>
        </w:rPr>
      </w:pPr>
    </w:p>
    <w:p w:rsidR="00033807" w:rsidRDefault="00033807">
      <w:pPr>
        <w:spacing w:after="0"/>
        <w:jc w:val="both"/>
        <w:rPr>
          <w:rFonts w:cstheme="minorHAnsi"/>
          <w:b/>
          <w:highlight w:val="yellow"/>
          <w:shd w:val="clear" w:color="auto" w:fill="FFFFFF"/>
        </w:rPr>
      </w:pPr>
    </w:p>
    <w:p w:rsidR="00033807" w:rsidRDefault="00033807">
      <w:pPr>
        <w:spacing w:after="0"/>
        <w:jc w:val="both"/>
        <w:rPr>
          <w:rFonts w:cstheme="minorHAnsi"/>
          <w:b/>
          <w:highlight w:val="yellow"/>
          <w:shd w:val="clear" w:color="auto" w:fill="FFFFFF"/>
        </w:rPr>
      </w:pPr>
    </w:p>
    <w:p w:rsidR="00033807" w:rsidRDefault="00033807">
      <w:pPr>
        <w:spacing w:after="0"/>
        <w:jc w:val="both"/>
        <w:rPr>
          <w:rFonts w:cstheme="minorHAnsi"/>
          <w:b/>
          <w:highlight w:val="yellow"/>
          <w:shd w:val="clear" w:color="auto" w:fill="FFFFFF"/>
        </w:rPr>
      </w:pPr>
    </w:p>
    <w:p w:rsidR="008E00F6" w:rsidRDefault="008E00F6">
      <w:pPr>
        <w:spacing w:after="0"/>
        <w:jc w:val="both"/>
        <w:rPr>
          <w:rFonts w:cstheme="minorHAnsi"/>
          <w:b/>
          <w:highlight w:val="yellow"/>
          <w:shd w:val="clear" w:color="auto" w:fill="FFFFFF"/>
        </w:rPr>
      </w:pPr>
    </w:p>
    <w:p w:rsidR="008E00F6" w:rsidRDefault="008E00F6">
      <w:pPr>
        <w:spacing w:after="0"/>
        <w:jc w:val="both"/>
        <w:rPr>
          <w:rFonts w:cstheme="minorHAnsi"/>
          <w:b/>
          <w:highlight w:val="yellow"/>
          <w:shd w:val="clear" w:color="auto" w:fill="FFFFFF"/>
        </w:rPr>
      </w:pPr>
    </w:p>
    <w:p w:rsidR="000A78F0" w:rsidRPr="000A78F0" w:rsidRDefault="000A78F0">
      <w:pPr>
        <w:spacing w:after="0"/>
        <w:jc w:val="both"/>
        <w:rPr>
          <w:rFonts w:cstheme="minorHAnsi"/>
          <w:b/>
          <w:sz w:val="20"/>
          <w:szCs w:val="20"/>
          <w:u w:val="single"/>
        </w:rPr>
      </w:pPr>
    </w:p>
    <w:p w:rsidR="00033807" w:rsidRDefault="00C071AF">
      <w:pPr>
        <w:spacing w:after="0"/>
        <w:jc w:val="both"/>
        <w:rPr>
          <w:rFonts w:cstheme="minorHAnsi"/>
          <w:b/>
          <w:sz w:val="32"/>
          <w:szCs w:val="32"/>
          <w:u w:val="single"/>
        </w:rPr>
      </w:pPr>
      <w:r>
        <w:rPr>
          <w:rFonts w:cstheme="minorHAnsi"/>
          <w:b/>
          <w:sz w:val="32"/>
          <w:szCs w:val="32"/>
          <w:u w:val="single"/>
        </w:rPr>
        <w:t xml:space="preserve">Výsledky </w:t>
      </w:r>
      <w:r w:rsidR="008E00F6">
        <w:rPr>
          <w:rFonts w:cstheme="minorHAnsi"/>
          <w:b/>
          <w:sz w:val="32"/>
          <w:szCs w:val="32"/>
          <w:u w:val="single"/>
        </w:rPr>
        <w:t>C</w:t>
      </w:r>
      <w:r>
        <w:rPr>
          <w:rFonts w:cstheme="minorHAnsi"/>
          <w:b/>
          <w:sz w:val="32"/>
          <w:szCs w:val="32"/>
          <w:u w:val="single"/>
        </w:rPr>
        <w:t xml:space="preserve">EA: </w:t>
      </w:r>
    </w:p>
    <w:p w:rsidR="008E00F6" w:rsidRPr="008E00F6" w:rsidRDefault="008E00F6">
      <w:pPr>
        <w:spacing w:after="0"/>
        <w:jc w:val="both"/>
        <w:rPr>
          <w:rFonts w:cstheme="minorHAnsi"/>
          <w:b/>
          <w:sz w:val="20"/>
          <w:szCs w:val="20"/>
          <w:u w:val="single"/>
        </w:rPr>
      </w:pPr>
    </w:p>
    <w:p w:rsidR="008E00F6" w:rsidRPr="00176963" w:rsidRDefault="008E00F6">
      <w:pPr>
        <w:spacing w:after="0"/>
        <w:jc w:val="both"/>
        <w:rPr>
          <w:rFonts w:cstheme="minorHAnsi"/>
          <w:b/>
          <w:sz w:val="24"/>
          <w:szCs w:val="24"/>
        </w:rPr>
      </w:pPr>
      <w:r w:rsidRPr="00176963">
        <w:rPr>
          <w:rFonts w:cstheme="minorHAnsi"/>
          <w:b/>
          <w:sz w:val="24"/>
          <w:szCs w:val="24"/>
        </w:rPr>
        <w:t xml:space="preserve">Z perspektivy 1 léčebného cyklu (tj. </w:t>
      </w:r>
      <w:proofErr w:type="gramStart"/>
      <w:r w:rsidRPr="00176963">
        <w:rPr>
          <w:rFonts w:cstheme="minorHAnsi"/>
          <w:b/>
          <w:sz w:val="24"/>
          <w:szCs w:val="24"/>
        </w:rPr>
        <w:t>9</w:t>
      </w:r>
      <w:r w:rsidR="00E03EF7">
        <w:rPr>
          <w:rFonts w:cstheme="minorHAnsi"/>
          <w:b/>
          <w:sz w:val="24"/>
          <w:szCs w:val="24"/>
        </w:rPr>
        <w:t xml:space="preserve"> </w:t>
      </w:r>
      <w:r w:rsidRPr="00176963">
        <w:rPr>
          <w:rFonts w:cstheme="minorHAnsi"/>
          <w:b/>
          <w:sz w:val="24"/>
          <w:szCs w:val="24"/>
        </w:rPr>
        <w:t>-</w:t>
      </w:r>
      <w:r w:rsidR="00E03EF7">
        <w:rPr>
          <w:rFonts w:cstheme="minorHAnsi"/>
          <w:b/>
          <w:sz w:val="24"/>
          <w:szCs w:val="24"/>
        </w:rPr>
        <w:t xml:space="preserve"> </w:t>
      </w:r>
      <w:r w:rsidRPr="00176963">
        <w:rPr>
          <w:rFonts w:cstheme="minorHAnsi"/>
          <w:b/>
          <w:sz w:val="24"/>
          <w:szCs w:val="24"/>
        </w:rPr>
        <w:t>10</w:t>
      </w:r>
      <w:proofErr w:type="gramEnd"/>
      <w:r w:rsidRPr="00176963">
        <w:rPr>
          <w:rFonts w:cstheme="minorHAnsi"/>
          <w:b/>
          <w:sz w:val="24"/>
          <w:szCs w:val="24"/>
        </w:rPr>
        <w:t xml:space="preserve"> měs</w:t>
      </w:r>
      <w:r w:rsidR="00E03EF7">
        <w:rPr>
          <w:rFonts w:cstheme="minorHAnsi"/>
          <w:b/>
          <w:sz w:val="24"/>
          <w:szCs w:val="24"/>
        </w:rPr>
        <w:t>.</w:t>
      </w:r>
      <w:r w:rsidRPr="00176963">
        <w:rPr>
          <w:rFonts w:cstheme="minorHAnsi"/>
          <w:b/>
          <w:sz w:val="24"/>
          <w:szCs w:val="24"/>
        </w:rPr>
        <w:t xml:space="preserve"> aktivní léčby</w:t>
      </w:r>
      <w:r w:rsidR="00E03EF7">
        <w:rPr>
          <w:rFonts w:cstheme="minorHAnsi"/>
          <w:b/>
          <w:sz w:val="24"/>
          <w:szCs w:val="24"/>
        </w:rPr>
        <w:t xml:space="preserve">, při použití </w:t>
      </w:r>
      <w:r w:rsidR="00066E94">
        <w:rPr>
          <w:rFonts w:cstheme="minorHAnsi"/>
          <w:b/>
          <w:sz w:val="24"/>
          <w:szCs w:val="24"/>
        </w:rPr>
        <w:t xml:space="preserve">dané profylaktické medikace a </w:t>
      </w:r>
      <w:r w:rsidR="00E03EF7">
        <w:rPr>
          <w:rFonts w:cstheme="minorHAnsi"/>
          <w:b/>
          <w:sz w:val="24"/>
          <w:szCs w:val="24"/>
        </w:rPr>
        <w:t>jednotkových cen dle Přílohy č. 30</w:t>
      </w:r>
      <w:r w:rsidRPr="00176963">
        <w:rPr>
          <w:rFonts w:cstheme="minorHAnsi"/>
          <w:b/>
          <w:sz w:val="24"/>
          <w:szCs w:val="24"/>
        </w:rPr>
        <w:t>):</w:t>
      </w:r>
    </w:p>
    <w:p w:rsidR="00176963" w:rsidRDefault="00176963" w:rsidP="00176963">
      <w:pPr>
        <w:spacing w:after="0"/>
        <w:jc w:val="both"/>
        <w:rPr>
          <w:rFonts w:cstheme="minorHAnsi"/>
          <w:sz w:val="21"/>
          <w:szCs w:val="21"/>
        </w:rPr>
      </w:pPr>
      <w:r>
        <w:rPr>
          <w:rFonts w:cstheme="minorHAnsi"/>
          <w:b/>
          <w:bCs/>
          <w:color w:val="FF0000"/>
          <w:sz w:val="18"/>
          <w:szCs w:val="18"/>
          <w:u w:val="single"/>
        </w:rPr>
        <w:t>(Červeným orámováním jsou autorem této FE analýzy vyznačeny informace týkající se hodnoceného LP KINPEYGO</w:t>
      </w:r>
      <w:r>
        <w:rPr>
          <w:rFonts w:cstheme="minorHAnsi"/>
          <w:b/>
          <w:bCs/>
          <w:color w:val="FF0000"/>
          <w:sz w:val="18"/>
          <w:szCs w:val="18"/>
        </w:rPr>
        <w:t>!)</w:t>
      </w:r>
    </w:p>
    <w:p w:rsidR="008E00F6" w:rsidRPr="008E00F6" w:rsidRDefault="008E00F6">
      <w:pPr>
        <w:spacing w:after="0"/>
        <w:jc w:val="both"/>
        <w:rPr>
          <w:rFonts w:cstheme="minorHAnsi"/>
          <w:b/>
          <w:sz w:val="6"/>
          <w:szCs w:val="6"/>
          <w:u w:val="single"/>
        </w:rPr>
      </w:pPr>
    </w:p>
    <w:p w:rsidR="008E00F6" w:rsidRDefault="00FB71D2">
      <w:pPr>
        <w:spacing w:after="0"/>
        <w:jc w:val="both"/>
        <w:rPr>
          <w:rFonts w:cstheme="minorHAnsi"/>
          <w:b/>
          <w:sz w:val="32"/>
          <w:szCs w:val="32"/>
          <w:u w:val="single"/>
        </w:rPr>
      </w:pPr>
      <w:r>
        <w:rPr>
          <w:rFonts w:cstheme="minorHAnsi"/>
          <w:b/>
          <w:noProof/>
          <w:sz w:val="32"/>
          <w:szCs w:val="32"/>
          <w:u w:val="single"/>
          <w:lang w:eastAsia="cs-CZ"/>
        </w:rPr>
        <mc:AlternateContent>
          <mc:Choice Requires="wps">
            <w:drawing>
              <wp:anchor distT="0" distB="0" distL="114300" distR="114300" simplePos="0" relativeHeight="251681792" behindDoc="0" locked="0" layoutInCell="0" allowOverlap="1">
                <wp:simplePos x="0" y="0"/>
                <wp:positionH relativeFrom="column">
                  <wp:posOffset>71755</wp:posOffset>
                </wp:positionH>
                <wp:positionV relativeFrom="paragraph">
                  <wp:posOffset>897890</wp:posOffset>
                </wp:positionV>
                <wp:extent cx="4511040" cy="525145"/>
                <wp:effectExtent l="0" t="0" r="3810" b="8255"/>
                <wp:wrapNone/>
                <wp:docPr id="261"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1040" cy="525145"/>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1F1C277F" id="Obdélník 77" o:spid="_x0000_s1026" style="position:absolute;margin-left:5.65pt;margin-top:70.7pt;width:355.2pt;height:4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" o:allowincell="f" fillcolor="red" strokecolor="red" strokeweight=".71mm">
                <v:fill opacity="8481f"/>
                <v:stroke joinstyle="round"/>
                <v:path arrowok="t"/>
              </v:rect>
            </w:pict>
          </mc:Fallback>
        </mc:AlternateContent>
      </w:r>
      <w:r w:rsidR="008E00F6">
        <w:rPr>
          <w:rFonts w:cstheme="minorHAnsi"/>
          <w:b/>
          <w:noProof/>
          <w:sz w:val="32"/>
          <w:szCs w:val="32"/>
          <w:u w:val="single"/>
          <w:lang w:eastAsia="cs-CZ"/>
        </w:rPr>
        <w:drawing>
          <wp:inline distT="0" distB="0" distL="0" distR="0">
            <wp:extent cx="6840748" cy="2622430"/>
            <wp:effectExtent l="0" t="0" r="0" b="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855" cy="2622471"/>
                    </a:xfrm>
                    <a:prstGeom prst="rect">
                      <a:avLst/>
                    </a:prstGeom>
                    <a:noFill/>
                    <a:ln>
                      <a:noFill/>
                    </a:ln>
                  </pic:spPr>
                </pic:pic>
              </a:graphicData>
            </a:graphic>
          </wp:inline>
        </w:drawing>
      </w:r>
    </w:p>
    <w:p w:rsidR="008E00F6" w:rsidRDefault="009F4040">
      <w:pPr>
        <w:spacing w:after="0"/>
        <w:jc w:val="both"/>
        <w:rPr>
          <w:rFonts w:cstheme="minorHAnsi"/>
          <w:b/>
          <w:sz w:val="32"/>
          <w:szCs w:val="32"/>
          <w:u w:val="single"/>
        </w:rPr>
      </w:pPr>
      <w:r>
        <w:rPr>
          <w:rFonts w:cstheme="minorHAnsi"/>
          <w:b/>
          <w:noProof/>
          <w:sz w:val="32"/>
          <w:szCs w:val="32"/>
          <w:u w:val="single"/>
          <w:lang w:eastAsia="cs-CZ"/>
        </w:rPr>
        <w:drawing>
          <wp:inline distT="0" distB="0" distL="0" distR="0">
            <wp:extent cx="6832121" cy="198408"/>
            <wp:effectExtent l="0" t="0" r="0"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1965" cy="198403"/>
                    </a:xfrm>
                    <a:prstGeom prst="rect">
                      <a:avLst/>
                    </a:prstGeom>
                    <a:noFill/>
                    <a:ln>
                      <a:noFill/>
                    </a:ln>
                  </pic:spPr>
                </pic:pic>
              </a:graphicData>
            </a:graphic>
          </wp:inline>
        </w:drawing>
      </w:r>
    </w:p>
    <w:p w:rsidR="008E00F6" w:rsidRDefault="008E00F6">
      <w:pPr>
        <w:spacing w:after="0"/>
        <w:jc w:val="both"/>
        <w:rPr>
          <w:rFonts w:cstheme="minorHAnsi"/>
          <w:b/>
          <w:sz w:val="32"/>
          <w:szCs w:val="32"/>
          <w:u w:val="single"/>
        </w:rPr>
      </w:pPr>
    </w:p>
    <w:p w:rsidR="00176963" w:rsidRDefault="00176963">
      <w:pPr>
        <w:spacing w:after="0"/>
        <w:jc w:val="both"/>
        <w:rPr>
          <w:rFonts w:cstheme="minorHAnsi"/>
          <w:b/>
          <w:sz w:val="32"/>
          <w:szCs w:val="32"/>
          <w:u w:val="single"/>
        </w:rPr>
      </w:pPr>
    </w:p>
    <w:p w:rsidR="00176963" w:rsidRPr="00176963" w:rsidRDefault="00176963" w:rsidP="00176963">
      <w:pPr>
        <w:spacing w:after="0"/>
        <w:jc w:val="both"/>
        <w:rPr>
          <w:rFonts w:cstheme="minorHAnsi"/>
          <w:b/>
          <w:sz w:val="24"/>
          <w:szCs w:val="24"/>
        </w:rPr>
      </w:pPr>
      <w:r w:rsidRPr="00176963">
        <w:rPr>
          <w:rFonts w:cstheme="minorHAnsi"/>
          <w:b/>
          <w:sz w:val="24"/>
          <w:szCs w:val="24"/>
        </w:rPr>
        <w:t>Z</w:t>
      </w:r>
      <w:r>
        <w:rPr>
          <w:rFonts w:cstheme="minorHAnsi"/>
          <w:b/>
          <w:sz w:val="24"/>
          <w:szCs w:val="24"/>
        </w:rPr>
        <w:t xml:space="preserve"> celoživotní </w:t>
      </w:r>
      <w:r w:rsidRPr="00176963">
        <w:rPr>
          <w:rFonts w:cstheme="minorHAnsi"/>
          <w:b/>
          <w:sz w:val="24"/>
          <w:szCs w:val="24"/>
        </w:rPr>
        <w:t>perspektivy (</w:t>
      </w:r>
      <w:r>
        <w:rPr>
          <w:rFonts w:cstheme="minorHAnsi"/>
          <w:b/>
          <w:sz w:val="24"/>
          <w:szCs w:val="24"/>
        </w:rPr>
        <w:t>včetně dalších zdravotnických nákladů</w:t>
      </w:r>
      <w:r w:rsidR="00E03EF7">
        <w:rPr>
          <w:rFonts w:cstheme="minorHAnsi"/>
          <w:b/>
          <w:sz w:val="24"/>
          <w:szCs w:val="24"/>
        </w:rPr>
        <w:t xml:space="preserve">, při diskontaci </w:t>
      </w:r>
      <w:r w:rsidR="00AB0476">
        <w:rPr>
          <w:rFonts w:cstheme="minorHAnsi"/>
          <w:b/>
          <w:sz w:val="24"/>
          <w:szCs w:val="24"/>
        </w:rPr>
        <w:t xml:space="preserve">nákladů </w:t>
      </w:r>
      <w:r w:rsidR="00E03EF7">
        <w:rPr>
          <w:rFonts w:cstheme="minorHAnsi"/>
          <w:b/>
          <w:sz w:val="24"/>
          <w:szCs w:val="24"/>
        </w:rPr>
        <w:t>3</w:t>
      </w:r>
      <w:r w:rsidR="000A78F0">
        <w:rPr>
          <w:rFonts w:cstheme="minorHAnsi"/>
          <w:b/>
          <w:sz w:val="24"/>
          <w:szCs w:val="24"/>
        </w:rPr>
        <w:t xml:space="preserve"> </w:t>
      </w:r>
      <w:r w:rsidR="00E03EF7">
        <w:rPr>
          <w:rFonts w:cstheme="minorHAnsi"/>
          <w:b/>
          <w:sz w:val="24"/>
          <w:szCs w:val="24"/>
        </w:rPr>
        <w:t>%</w:t>
      </w:r>
      <w:r w:rsidR="000A78F0">
        <w:rPr>
          <w:rFonts w:cstheme="minorHAnsi"/>
          <w:b/>
          <w:sz w:val="24"/>
          <w:szCs w:val="24"/>
        </w:rPr>
        <w:t xml:space="preserve"> za</w:t>
      </w:r>
      <w:r w:rsidR="00E03EF7">
        <w:rPr>
          <w:rFonts w:cstheme="minorHAnsi"/>
          <w:b/>
          <w:sz w:val="24"/>
          <w:szCs w:val="24"/>
        </w:rPr>
        <w:t xml:space="preserve"> rok, při použití jednotkových cen LP podávaných v úvodním jen 1 léčebném cyklu v délce 9 – 10 měsíců (dle příslušného LP) podle Přílohy č. 30 a v různých scénářích</w:t>
      </w:r>
      <w:r>
        <w:rPr>
          <w:rFonts w:cstheme="minorHAnsi"/>
          <w:b/>
          <w:sz w:val="24"/>
          <w:szCs w:val="24"/>
        </w:rPr>
        <w:t xml:space="preserve"> – viz podrobněji pozn. 134</w:t>
      </w:r>
      <w:r w:rsidR="000A78F0">
        <w:rPr>
          <w:rFonts w:cstheme="minorHAnsi"/>
          <w:b/>
          <w:sz w:val="24"/>
          <w:szCs w:val="24"/>
        </w:rPr>
        <w:t xml:space="preserve"> a 135</w:t>
      </w:r>
      <w:r w:rsidRPr="00176963">
        <w:rPr>
          <w:rFonts w:cstheme="minorHAnsi"/>
          <w:b/>
          <w:sz w:val="24"/>
          <w:szCs w:val="24"/>
        </w:rPr>
        <w:t>):</w:t>
      </w:r>
    </w:p>
    <w:p w:rsidR="00176963" w:rsidRDefault="00176963" w:rsidP="00176963">
      <w:pPr>
        <w:spacing w:after="0"/>
        <w:jc w:val="both"/>
        <w:rPr>
          <w:rFonts w:cstheme="minorHAnsi"/>
          <w:sz w:val="21"/>
          <w:szCs w:val="21"/>
        </w:rPr>
      </w:pPr>
      <w:r>
        <w:rPr>
          <w:rFonts w:cstheme="minorHAnsi"/>
          <w:b/>
          <w:bCs/>
          <w:color w:val="FF0000"/>
          <w:sz w:val="18"/>
          <w:szCs w:val="18"/>
          <w:u w:val="single"/>
        </w:rPr>
        <w:t>(Červeným orámováním jsou autorem této FE analýzy vyznačeny informace týkající se hodnoceného LP KINPEYGO</w:t>
      </w:r>
      <w:r>
        <w:rPr>
          <w:rFonts w:cstheme="minorHAnsi"/>
          <w:b/>
          <w:bCs/>
          <w:color w:val="FF0000"/>
          <w:sz w:val="18"/>
          <w:szCs w:val="18"/>
        </w:rPr>
        <w:t>!)</w:t>
      </w:r>
    </w:p>
    <w:p w:rsidR="00176963" w:rsidRPr="008E00F6" w:rsidRDefault="00176963" w:rsidP="00176963">
      <w:pPr>
        <w:spacing w:after="0"/>
        <w:jc w:val="both"/>
        <w:rPr>
          <w:rFonts w:cstheme="minorHAnsi"/>
          <w:b/>
          <w:sz w:val="6"/>
          <w:szCs w:val="6"/>
          <w:u w:val="single"/>
        </w:rPr>
      </w:pPr>
    </w:p>
    <w:p w:rsidR="009F4040" w:rsidRDefault="00FB71D2">
      <w:pPr>
        <w:spacing w:after="0"/>
        <w:jc w:val="both"/>
        <w:rPr>
          <w:rFonts w:cstheme="minorHAnsi"/>
          <w:b/>
          <w:sz w:val="32"/>
          <w:szCs w:val="32"/>
          <w:u w:val="single"/>
        </w:rPr>
      </w:pPr>
      <w:r>
        <w:rPr>
          <w:rFonts w:cstheme="minorHAnsi"/>
          <w:b/>
          <w:noProof/>
          <w:sz w:val="32"/>
          <w:szCs w:val="32"/>
          <w:u w:val="single"/>
          <w:lang w:eastAsia="cs-CZ"/>
        </w:rPr>
        <mc:AlternateContent>
          <mc:Choice Requires="wps">
            <w:drawing>
              <wp:anchor distT="0" distB="0" distL="114300" distR="114300" simplePos="0" relativeHeight="251682816" behindDoc="0" locked="0" layoutInCell="0" allowOverlap="1">
                <wp:simplePos x="0" y="0"/>
                <wp:positionH relativeFrom="column">
                  <wp:posOffset>8255</wp:posOffset>
                </wp:positionH>
                <wp:positionV relativeFrom="paragraph">
                  <wp:posOffset>826770</wp:posOffset>
                </wp:positionV>
                <wp:extent cx="5014595" cy="560705"/>
                <wp:effectExtent l="0" t="0" r="0" b="0"/>
                <wp:wrapNone/>
                <wp:docPr id="260"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4595" cy="560705"/>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79304F9E" id="Obdélník 77" o:spid="_x0000_s1026" style="position:absolute;margin-left:.65pt;margin-top:65.1pt;width:394.85pt;height:4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" o:allowincell="f" fillcolor="red" strokecolor="red" strokeweight=".71mm">
                <v:fill opacity="8481f"/>
                <v:stroke joinstyle="round"/>
                <v:path arrowok="t"/>
              </v:rect>
            </w:pict>
          </mc:Fallback>
        </mc:AlternateContent>
      </w:r>
      <w:r w:rsidR="009F4040">
        <w:rPr>
          <w:rFonts w:cstheme="minorHAnsi"/>
          <w:b/>
          <w:noProof/>
          <w:sz w:val="32"/>
          <w:szCs w:val="32"/>
          <w:u w:val="single"/>
          <w:lang w:eastAsia="cs-CZ"/>
        </w:rPr>
        <w:drawing>
          <wp:inline distT="0" distB="0" distL="0" distR="0">
            <wp:extent cx="6832121" cy="3735237"/>
            <wp:effectExtent l="0" t="0" r="0"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1965" cy="3735152"/>
                    </a:xfrm>
                    <a:prstGeom prst="rect">
                      <a:avLst/>
                    </a:prstGeom>
                    <a:noFill/>
                    <a:ln>
                      <a:noFill/>
                    </a:ln>
                  </pic:spPr>
                </pic:pic>
              </a:graphicData>
            </a:graphic>
          </wp:inline>
        </w:drawing>
      </w:r>
    </w:p>
    <w:p w:rsidR="009F4040" w:rsidRDefault="009F4040">
      <w:pPr>
        <w:spacing w:after="0"/>
        <w:jc w:val="both"/>
        <w:rPr>
          <w:rFonts w:cstheme="minorHAnsi"/>
          <w:b/>
          <w:sz w:val="32"/>
          <w:szCs w:val="32"/>
          <w:u w:val="single"/>
        </w:rPr>
      </w:pPr>
    </w:p>
    <w:p w:rsidR="00AB1F8A" w:rsidRPr="00AB1F8A" w:rsidRDefault="00AB1F8A" w:rsidP="008E00F6">
      <w:pPr>
        <w:spacing w:after="0"/>
        <w:jc w:val="both"/>
        <w:rPr>
          <w:rFonts w:cstheme="minorHAnsi"/>
          <w:b/>
          <w:sz w:val="20"/>
          <w:szCs w:val="20"/>
          <w:u w:val="single"/>
        </w:rPr>
      </w:pPr>
    </w:p>
    <w:p w:rsidR="00AB0476" w:rsidRDefault="00AB0476" w:rsidP="008E00F6">
      <w:pPr>
        <w:spacing w:after="0"/>
        <w:jc w:val="both"/>
        <w:rPr>
          <w:rFonts w:cstheme="minorHAnsi"/>
          <w:b/>
          <w:sz w:val="32"/>
          <w:szCs w:val="32"/>
          <w:u w:val="single"/>
        </w:rPr>
      </w:pPr>
    </w:p>
    <w:p w:rsidR="008E00F6" w:rsidRDefault="008E00F6" w:rsidP="008E00F6">
      <w:pPr>
        <w:spacing w:after="0"/>
        <w:jc w:val="both"/>
        <w:rPr>
          <w:rFonts w:cstheme="minorHAnsi"/>
          <w:b/>
          <w:sz w:val="32"/>
          <w:szCs w:val="32"/>
          <w:u w:val="single"/>
        </w:rPr>
      </w:pPr>
      <w:r>
        <w:rPr>
          <w:rFonts w:cstheme="minorHAnsi"/>
          <w:b/>
          <w:sz w:val="32"/>
          <w:szCs w:val="32"/>
          <w:u w:val="single"/>
        </w:rPr>
        <w:t>Výsledky CUA</w:t>
      </w:r>
      <w:r w:rsidR="009F4040">
        <w:rPr>
          <w:rFonts w:cstheme="minorHAnsi"/>
          <w:b/>
          <w:sz w:val="32"/>
          <w:szCs w:val="32"/>
          <w:u w:val="single"/>
        </w:rPr>
        <w:t xml:space="preserve"> </w:t>
      </w:r>
      <w:r w:rsidR="009F4040" w:rsidRPr="000A78F0">
        <w:rPr>
          <w:rFonts w:cstheme="minorHAnsi"/>
          <w:b/>
          <w:sz w:val="30"/>
          <w:szCs w:val="30"/>
        </w:rPr>
        <w:t>(celoživotní perspektiva</w:t>
      </w:r>
      <w:r w:rsidR="00176963" w:rsidRPr="000A78F0">
        <w:rPr>
          <w:rFonts w:cstheme="minorHAnsi"/>
          <w:b/>
          <w:sz w:val="30"/>
          <w:szCs w:val="30"/>
        </w:rPr>
        <w:t xml:space="preserve"> – </w:t>
      </w:r>
      <w:r w:rsidR="000A78F0" w:rsidRPr="000A78F0">
        <w:rPr>
          <w:rFonts w:cstheme="minorHAnsi"/>
          <w:b/>
          <w:sz w:val="30"/>
          <w:szCs w:val="30"/>
          <w:highlight w:val="yellow"/>
        </w:rPr>
        <w:t xml:space="preserve">CAVE! </w:t>
      </w:r>
      <w:r w:rsidR="00176963" w:rsidRPr="000A78F0">
        <w:rPr>
          <w:rFonts w:cstheme="minorHAnsi"/>
          <w:b/>
          <w:sz w:val="30"/>
          <w:szCs w:val="30"/>
          <w:highlight w:val="yellow"/>
        </w:rPr>
        <w:t>dle správního řízení SUKLu</w:t>
      </w:r>
      <w:r w:rsidR="000A78F0" w:rsidRPr="000A78F0">
        <w:rPr>
          <w:rFonts w:cstheme="minorHAnsi"/>
          <w:b/>
          <w:sz w:val="30"/>
          <w:szCs w:val="30"/>
          <w:highlight w:val="yellow"/>
        </w:rPr>
        <w:t xml:space="preserve"> a za předpokladů modelace dle žadatele o úhradu (tj. STADA) uvedených níže v pozn.</w:t>
      </w:r>
      <w:r w:rsidR="00AB1F8A">
        <w:rPr>
          <w:rFonts w:cstheme="minorHAnsi"/>
          <w:b/>
          <w:sz w:val="30"/>
          <w:szCs w:val="30"/>
          <w:highlight w:val="yellow"/>
        </w:rPr>
        <w:t xml:space="preserve"> *</w:t>
      </w:r>
      <w:r w:rsidR="009F4040" w:rsidRPr="000A78F0">
        <w:rPr>
          <w:rFonts w:cstheme="minorHAnsi"/>
          <w:b/>
          <w:sz w:val="30"/>
          <w:szCs w:val="30"/>
        </w:rPr>
        <w:t>)</w:t>
      </w:r>
      <w:r w:rsidRPr="000A78F0">
        <w:rPr>
          <w:rFonts w:cstheme="minorHAnsi"/>
          <w:b/>
          <w:sz w:val="30"/>
          <w:szCs w:val="30"/>
        </w:rPr>
        <w:t>:</w:t>
      </w:r>
      <w:r>
        <w:rPr>
          <w:rFonts w:cstheme="minorHAnsi"/>
          <w:b/>
          <w:sz w:val="32"/>
          <w:szCs w:val="32"/>
          <w:u w:val="single"/>
        </w:rPr>
        <w:t xml:space="preserve"> </w:t>
      </w:r>
    </w:p>
    <w:p w:rsidR="00E03EF7" w:rsidRDefault="00E03EF7" w:rsidP="00E03EF7">
      <w:pPr>
        <w:spacing w:after="0"/>
        <w:jc w:val="both"/>
        <w:rPr>
          <w:rFonts w:cstheme="minorHAnsi"/>
          <w:sz w:val="21"/>
          <w:szCs w:val="21"/>
        </w:rPr>
      </w:pPr>
      <w:r>
        <w:rPr>
          <w:rFonts w:cstheme="minorHAnsi"/>
          <w:b/>
          <w:bCs/>
          <w:color w:val="FF0000"/>
          <w:sz w:val="18"/>
          <w:szCs w:val="18"/>
          <w:u w:val="single"/>
        </w:rPr>
        <w:t>(Červeným orámováním jsou autorem této FE analýzy vyznačeny informace týkající se hodnoceného LP KINPEYGO</w:t>
      </w:r>
      <w:r>
        <w:rPr>
          <w:rFonts w:cstheme="minorHAnsi"/>
          <w:b/>
          <w:bCs/>
          <w:color w:val="FF0000"/>
          <w:sz w:val="18"/>
          <w:szCs w:val="18"/>
        </w:rPr>
        <w:t>!)</w:t>
      </w:r>
    </w:p>
    <w:p w:rsidR="00033807" w:rsidRPr="00E03EF7" w:rsidRDefault="00033807">
      <w:pPr>
        <w:spacing w:after="0"/>
        <w:jc w:val="both"/>
        <w:rPr>
          <w:rFonts w:cstheme="minorHAnsi"/>
          <w:b/>
          <w:sz w:val="16"/>
          <w:szCs w:val="16"/>
        </w:rPr>
      </w:pPr>
    </w:p>
    <w:p w:rsidR="00033807" w:rsidRPr="005D152C" w:rsidRDefault="00C071AF">
      <w:pPr>
        <w:spacing w:after="0"/>
        <w:jc w:val="both"/>
        <w:rPr>
          <w:rFonts w:cstheme="minorHAnsi"/>
          <w:sz w:val="21"/>
          <w:szCs w:val="21"/>
        </w:rPr>
      </w:pPr>
      <w:r w:rsidRPr="005D152C">
        <w:rPr>
          <w:rFonts w:cstheme="minorHAnsi"/>
          <w:b/>
          <w:sz w:val="21"/>
          <w:szCs w:val="21"/>
          <w:highlight w:val="cyan"/>
          <w:u w:val="single"/>
        </w:rPr>
        <w:t>K výsledku CUA analýzy ve SŘ SUKL uvádí</w:t>
      </w:r>
      <w:r w:rsidRPr="005D152C">
        <w:rPr>
          <w:rFonts w:cstheme="minorHAnsi"/>
          <w:sz w:val="21"/>
          <w:szCs w:val="21"/>
          <w:highlight w:val="cyan"/>
        </w:rPr>
        <w:t xml:space="preserve">, že na základě modelace v celoživotním 56letém horizontu </w:t>
      </w:r>
      <w:r w:rsidRPr="008008CE">
        <w:rPr>
          <w:rFonts w:cstheme="minorHAnsi"/>
          <w:sz w:val="21"/>
          <w:szCs w:val="21"/>
          <w:highlight w:val="cyan"/>
          <w:u w:val="single"/>
        </w:rPr>
        <w:t xml:space="preserve">v základním scénáři se inkrementální benefit </w:t>
      </w:r>
      <w:r w:rsidRPr="008008CE">
        <w:rPr>
          <w:rFonts w:cstheme="minorHAnsi"/>
          <w:b/>
          <w:sz w:val="21"/>
          <w:szCs w:val="21"/>
          <w:highlight w:val="cyan"/>
          <w:u w:val="single"/>
        </w:rPr>
        <w:t>LP KINPEYGO společně se SoC</w:t>
      </w:r>
      <w:r w:rsidRPr="005D152C">
        <w:rPr>
          <w:rFonts w:cstheme="minorHAnsi"/>
          <w:sz w:val="21"/>
          <w:szCs w:val="21"/>
          <w:highlight w:val="cyan"/>
        </w:rPr>
        <w:t xml:space="preserve"> (tj. optimalizo</w:t>
      </w:r>
      <w:r w:rsidR="005D152C" w:rsidRPr="005D152C">
        <w:rPr>
          <w:rFonts w:cstheme="minorHAnsi"/>
          <w:sz w:val="21"/>
          <w:szCs w:val="21"/>
          <w:highlight w:val="cyan"/>
        </w:rPr>
        <w:t>vaná podpůrná léčba zahrnující RAASi</w:t>
      </w:r>
      <w:r w:rsidRPr="005D152C">
        <w:rPr>
          <w:rFonts w:cstheme="minorHAnsi"/>
          <w:sz w:val="21"/>
          <w:szCs w:val="21"/>
          <w:highlight w:val="cyan"/>
        </w:rPr>
        <w:t xml:space="preserve"> (</w:t>
      </w:r>
      <w:r w:rsidR="005D152C" w:rsidRPr="005D152C">
        <w:rPr>
          <w:rFonts w:cstheme="minorHAnsi"/>
          <w:sz w:val="21"/>
          <w:szCs w:val="21"/>
          <w:highlight w:val="cyan"/>
        </w:rPr>
        <w:t>viz níže pozn. 92</w:t>
      </w:r>
      <w:r w:rsidRPr="005D152C">
        <w:rPr>
          <w:rFonts w:cstheme="minorHAnsi"/>
          <w:sz w:val="21"/>
          <w:szCs w:val="21"/>
          <w:highlight w:val="cyan"/>
        </w:rPr>
        <w:t>) ± dapagliflozin</w:t>
      </w:r>
      <w:r w:rsidR="005D152C" w:rsidRPr="005D152C">
        <w:rPr>
          <w:rFonts w:cstheme="minorHAnsi"/>
          <w:sz w:val="21"/>
          <w:szCs w:val="21"/>
          <w:highlight w:val="cyan"/>
        </w:rPr>
        <w:t xml:space="preserve"> (viz níže pozn. 93</w:t>
      </w:r>
      <w:r w:rsidRPr="005D152C">
        <w:rPr>
          <w:rFonts w:cstheme="minorHAnsi"/>
          <w:sz w:val="21"/>
          <w:szCs w:val="21"/>
          <w:highlight w:val="cyan"/>
        </w:rPr>
        <w:t>)</w:t>
      </w:r>
      <w:r w:rsidR="005D152C" w:rsidRPr="005D152C">
        <w:rPr>
          <w:rFonts w:cstheme="minorHAnsi"/>
          <w:sz w:val="21"/>
          <w:szCs w:val="21"/>
          <w:highlight w:val="cyan"/>
        </w:rPr>
        <w:t>)</w:t>
      </w:r>
      <w:r w:rsidRPr="005D152C">
        <w:rPr>
          <w:rFonts w:cstheme="minorHAnsi"/>
          <w:sz w:val="21"/>
          <w:szCs w:val="21"/>
          <w:highlight w:val="cyan"/>
        </w:rPr>
        <w:t xml:space="preserve"> </w:t>
      </w:r>
      <w:r w:rsidRPr="008008CE">
        <w:rPr>
          <w:rFonts w:cstheme="minorHAnsi"/>
          <w:sz w:val="21"/>
          <w:szCs w:val="21"/>
          <w:highlight w:val="cyan"/>
          <w:u w:val="single"/>
        </w:rPr>
        <w:t>jeví ve výši 0,250 QALY</w:t>
      </w:r>
      <w:r w:rsidR="008008CE" w:rsidRPr="008008CE">
        <w:rPr>
          <w:rFonts w:cstheme="minorHAnsi"/>
          <w:sz w:val="21"/>
          <w:szCs w:val="21"/>
          <w:highlight w:val="cyan"/>
          <w:u w:val="single"/>
        </w:rPr>
        <w:t xml:space="preserve"> (z inkrementálních přínosů je zřejmé, že vlivem aktivní léčby IgAN jsou generovány významně zisky v oblasti spojené s progresí onemocnění, pacienti setrvávají déle v nižších stádiích CKD, což souvisí i s vyšší kvalitou jejich života – viz podrobněji Přílohu č. 28</w:t>
      </w:r>
      <w:r w:rsidR="008008CE">
        <w:rPr>
          <w:rFonts w:cstheme="minorHAnsi"/>
          <w:sz w:val="21"/>
          <w:szCs w:val="21"/>
          <w:highlight w:val="cyan"/>
        </w:rPr>
        <w:t>)</w:t>
      </w:r>
      <w:r w:rsidRPr="008008CE">
        <w:rPr>
          <w:rFonts w:cstheme="minorHAnsi"/>
          <w:sz w:val="21"/>
          <w:szCs w:val="21"/>
          <w:highlight w:val="cyan"/>
        </w:rPr>
        <w:t xml:space="preserve"> a 0,081 LYG a</w:t>
      </w:r>
      <w:r w:rsidRPr="005D152C">
        <w:rPr>
          <w:rFonts w:cstheme="minorHAnsi"/>
          <w:sz w:val="21"/>
          <w:szCs w:val="21"/>
          <w:highlight w:val="cyan"/>
        </w:rPr>
        <w:t xml:space="preserve"> inkrementální náklady 1 261 998 Kč </w:t>
      </w:r>
      <w:r w:rsidRPr="008008CE">
        <w:rPr>
          <w:rFonts w:cstheme="minorHAnsi"/>
          <w:b/>
          <w:sz w:val="21"/>
          <w:szCs w:val="21"/>
          <w:highlight w:val="cyan"/>
          <w:u w:val="single"/>
        </w:rPr>
        <w:t>ve srovnání s placebo + SoC</w:t>
      </w:r>
      <w:r w:rsidRPr="005D152C">
        <w:rPr>
          <w:rFonts w:cstheme="minorHAnsi"/>
          <w:sz w:val="21"/>
          <w:szCs w:val="21"/>
          <w:highlight w:val="cyan"/>
        </w:rPr>
        <w:t xml:space="preserve"> (tj. optimalizovaná podpůrná léčba zahrnující </w:t>
      </w:r>
      <w:r w:rsidR="005D152C" w:rsidRPr="005D152C">
        <w:rPr>
          <w:rFonts w:cstheme="minorHAnsi"/>
          <w:sz w:val="21"/>
          <w:szCs w:val="21"/>
          <w:highlight w:val="cyan"/>
        </w:rPr>
        <w:t>RAASi</w:t>
      </w:r>
      <w:r w:rsidRPr="005D152C">
        <w:rPr>
          <w:rFonts w:cstheme="minorHAnsi"/>
          <w:sz w:val="21"/>
          <w:szCs w:val="21"/>
          <w:highlight w:val="cyan"/>
        </w:rPr>
        <w:t xml:space="preserve"> ± dapagliflozin), </w:t>
      </w:r>
      <w:r w:rsidRPr="005D152C">
        <w:rPr>
          <w:rFonts w:cstheme="minorHAnsi"/>
          <w:b/>
          <w:sz w:val="21"/>
          <w:szCs w:val="21"/>
          <w:highlight w:val="cyan"/>
        </w:rPr>
        <w:t>tedy inkrementální poměr nákladů a přínosů (ICER) je ve výši 5 040 094 Kč/QALY</w:t>
      </w:r>
      <w:r w:rsidR="00176963">
        <w:rPr>
          <w:rFonts w:cstheme="minorHAnsi"/>
          <w:b/>
          <w:sz w:val="21"/>
          <w:szCs w:val="21"/>
          <w:highlight w:val="cyan"/>
        </w:rPr>
        <w:t xml:space="preserve"> (</w:t>
      </w:r>
      <w:r w:rsidR="00176963" w:rsidRPr="00E03EF7">
        <w:rPr>
          <w:rFonts w:cstheme="minorHAnsi"/>
          <w:b/>
          <w:sz w:val="21"/>
          <w:szCs w:val="21"/>
          <w:highlight w:val="yellow"/>
        </w:rPr>
        <w:t xml:space="preserve">CAVE! jednotkové náklady za LP KINPEYGO použité ve scénaři veřejně publikovaném na webových stránkách SUKLu jsou ve výši 172.732,10 Kč, což je </w:t>
      </w:r>
      <w:r w:rsidR="00E03EF7" w:rsidRPr="00E03EF7">
        <w:rPr>
          <w:rFonts w:cstheme="minorHAnsi"/>
          <w:b/>
          <w:sz w:val="21"/>
          <w:szCs w:val="21"/>
          <w:highlight w:val="yellow"/>
        </w:rPr>
        <w:t>cca o 15% více nez bylo pro použito v CEA a BIA z perspektivy FN Olomouc – viz Přílohu č. 30!</w:t>
      </w:r>
      <w:r w:rsidR="00E03EF7">
        <w:rPr>
          <w:rFonts w:cstheme="minorHAnsi"/>
          <w:b/>
          <w:sz w:val="21"/>
          <w:szCs w:val="21"/>
          <w:highlight w:val="cyan"/>
        </w:rPr>
        <w:t>)</w:t>
      </w:r>
      <w:r w:rsidRPr="005D152C">
        <w:rPr>
          <w:rFonts w:cstheme="minorHAnsi"/>
          <w:b/>
          <w:sz w:val="21"/>
          <w:szCs w:val="21"/>
          <w:highlight w:val="cyan"/>
        </w:rPr>
        <w:t>.</w:t>
      </w:r>
      <w:r w:rsidRPr="005D152C">
        <w:rPr>
          <w:rFonts w:cstheme="minorHAnsi"/>
          <w:sz w:val="21"/>
          <w:szCs w:val="21"/>
          <w:highlight w:val="cyan"/>
        </w:rPr>
        <w:t xml:space="preserve"> K výsledkům analýzy nákladové efektivity KINPEYGA + SoC oproti prednisonu + SoC SUKL uvádí, že s ohledem na limitace nepřímého srovnání pomocí síťové meta-analýzy (dále jen „NMA“), kdy na základě předložených důkazů se nelze vyjádřit ke komparativní účinnosti LP KINPEYGA oproti systémovým kortikosteroidům u cílové skupiny pacientů, nepovažuje SUKL tento scénář za relevantní (</w:t>
      </w:r>
      <w:r w:rsidRPr="005D152C">
        <w:rPr>
          <w:rFonts w:cstheme="minorHAnsi"/>
          <w:sz w:val="21"/>
          <w:szCs w:val="21"/>
          <w:highlight w:val="cyan"/>
          <w:u w:val="single"/>
        </w:rPr>
        <w:t>CAVE! žadatel předložil v režimu obchodního tajemství nepřímé srovnání účinnosti KINPEYGA a systémových kortikosteroidů provedené pomocí NMA, do analýzy byly zahrnuty studie NefIgArd (pouze výsledky části A, výsledky části B ještě nebyly v době provedení meta-analýzy dostupné), NEFIGAN a STOP-IgAN, studie TESTING do analýzy zařazena nebyla s odůvodněním, že zahrnovala primárně pacienty asijského původu a dále, že methylprednisolon použitý v této studii se v české klinické praxi nepoužívá!) - viz pro srovnání Přílohy č. 21</w:t>
      </w:r>
      <w:r w:rsidR="00E03EF7">
        <w:rPr>
          <w:rFonts w:cstheme="minorHAnsi"/>
          <w:sz w:val="21"/>
          <w:szCs w:val="21"/>
          <w:highlight w:val="cyan"/>
          <w:u w:val="single"/>
        </w:rPr>
        <w:t xml:space="preserve">, </w:t>
      </w:r>
      <w:r w:rsidRPr="005D152C">
        <w:rPr>
          <w:rFonts w:cstheme="minorHAnsi"/>
          <w:sz w:val="21"/>
          <w:szCs w:val="21"/>
          <w:highlight w:val="cyan"/>
          <w:u w:val="single"/>
        </w:rPr>
        <w:t>24</w:t>
      </w:r>
      <w:r w:rsidR="00E03EF7">
        <w:rPr>
          <w:rFonts w:cstheme="minorHAnsi"/>
          <w:sz w:val="21"/>
          <w:szCs w:val="21"/>
          <w:highlight w:val="cyan"/>
          <w:u w:val="single"/>
        </w:rPr>
        <w:t xml:space="preserve"> a 29</w:t>
      </w:r>
      <w:r w:rsidRPr="005D152C">
        <w:rPr>
          <w:rFonts w:cstheme="minorHAnsi"/>
          <w:sz w:val="21"/>
          <w:szCs w:val="21"/>
          <w:highlight w:val="cyan"/>
        </w:rPr>
        <w:t>. V případě celospolečenské perspektivy analýzy ukazují inkrementální přínosy ve výši 0,250 a inkrementální náklady ve výši 951 039 Kč oproti placebo + SoC (ICER 3,8 milionů Kč/QALY). V případě vládní perspektivy jsou inkrementální přínosy 0,250 a inkrementální náklady jsou 1 210 745 Kč ve srovnání s SoC (ICER 4,84 milionů Kč/QALY).</w:t>
      </w:r>
      <w:r w:rsidRPr="005D152C">
        <w:rPr>
          <w:rFonts w:cstheme="minorHAnsi"/>
          <w:sz w:val="21"/>
          <w:szCs w:val="21"/>
        </w:rPr>
        <w:t xml:space="preserve"> </w:t>
      </w:r>
      <w:r w:rsidRPr="00E03EF7">
        <w:rPr>
          <w:rFonts w:cstheme="minorHAnsi"/>
          <w:b/>
          <w:sz w:val="21"/>
          <w:szCs w:val="21"/>
          <w:highlight w:val="yellow"/>
          <w:u w:val="single"/>
        </w:rPr>
        <w:t>CAVE! výše uvedené výsledky nezohledňují uzavřené finanční ujednání žadatele!</w:t>
      </w:r>
      <w:r w:rsidRPr="005D152C">
        <w:rPr>
          <w:rFonts w:cstheme="minorHAnsi"/>
          <w:sz w:val="21"/>
          <w:szCs w:val="21"/>
          <w:highlight w:val="cyan"/>
          <w:vertAlign w:val="superscript"/>
        </w:rPr>
        <w:t>28</w:t>
      </w:r>
    </w:p>
    <w:p w:rsidR="00033807" w:rsidRDefault="00FB71D2">
      <w:pPr>
        <w:spacing w:after="0"/>
        <w:ind w:left="397"/>
        <w:jc w:val="both"/>
        <w:rPr>
          <w:rFonts w:cstheme="minorHAnsi"/>
        </w:rPr>
      </w:pPr>
      <w:r>
        <w:rPr>
          <w:noProof/>
          <w:lang w:eastAsia="cs-CZ"/>
        </w:rPr>
        <mc:AlternateContent>
          <mc:Choice Requires="wps">
            <w:drawing>
              <wp:anchor distT="0" distB="0" distL="114300" distR="114300" simplePos="0" relativeHeight="251683840" behindDoc="0" locked="0" layoutInCell="0" allowOverlap="1">
                <wp:simplePos x="0" y="0"/>
                <wp:positionH relativeFrom="column">
                  <wp:posOffset>2814320</wp:posOffset>
                </wp:positionH>
                <wp:positionV relativeFrom="paragraph">
                  <wp:posOffset>2352040</wp:posOffset>
                </wp:positionV>
                <wp:extent cx="1147445" cy="902335"/>
                <wp:effectExtent l="0" t="0" r="0" b="0"/>
                <wp:wrapNone/>
                <wp:docPr id="259"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902335"/>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2E2F089B" id="Obdélník 77" o:spid="_x0000_s1026" style="position:absolute;margin-left:221.6pt;margin-top:185.2pt;width:90.35pt;height:7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" o:allowincell="f" fillcolor="red" strokecolor="red" strokeweight=".71mm">
                <v:fill opacity="8481f"/>
                <v:stroke joinstyle="round"/>
                <v:path arrowok="t"/>
              </v:rect>
            </w:pict>
          </mc:Fallback>
        </mc:AlternateContent>
      </w:r>
      <w:r>
        <w:rPr>
          <w:noProof/>
          <w:lang w:eastAsia="cs-CZ"/>
        </w:rPr>
        <mc:AlternateContent>
          <mc:Choice Requires="wps">
            <w:drawing>
              <wp:anchor distT="0" distB="0" distL="114300" distR="114300" simplePos="0" relativeHeight="251684864" behindDoc="0" locked="0" layoutInCell="0" allowOverlap="1">
                <wp:simplePos x="0" y="0"/>
                <wp:positionH relativeFrom="column">
                  <wp:posOffset>2814320</wp:posOffset>
                </wp:positionH>
                <wp:positionV relativeFrom="paragraph">
                  <wp:posOffset>485140</wp:posOffset>
                </wp:positionV>
                <wp:extent cx="1104265" cy="1043940"/>
                <wp:effectExtent l="0" t="0" r="635" b="3810"/>
                <wp:wrapNone/>
                <wp:docPr id="258"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265" cy="1043940"/>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5B7FB8C4" id="Obdélník 77" o:spid="_x0000_s1026" style="position:absolute;margin-left:221.6pt;margin-top:38.2pt;width:86.95pt;height:8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" o:allowincell="f" fillcolor="red" strokecolor="red" strokeweight=".71mm">
                <v:fill opacity="8481f"/>
                <v:stroke joinstyle="round"/>
                <v:path arrowok="t"/>
              </v:rect>
            </w:pict>
          </mc:Fallback>
        </mc:AlternateContent>
      </w:r>
      <w:r w:rsidR="00C071AF">
        <w:rPr>
          <w:noProof/>
          <w:lang w:eastAsia="cs-CZ"/>
        </w:rPr>
        <w:drawing>
          <wp:inline distT="0" distB="0" distL="0" distR="0">
            <wp:extent cx="6228272" cy="3476446"/>
            <wp:effectExtent l="0" t="0" r="0" b="0"/>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
                    <pic:cNvPicPr>
                      <a:picLocks noChangeAspect="1" noChangeArrowheads="1"/>
                    </pic:cNvPicPr>
                  </pic:nvPicPr>
                  <pic:blipFill>
                    <a:blip r:embed="rId17"/>
                    <a:stretch>
                      <a:fillRect/>
                    </a:stretch>
                  </pic:blipFill>
                  <pic:spPr bwMode="auto">
                    <a:xfrm>
                      <a:off x="0" y="0"/>
                      <a:ext cx="6228272" cy="3476446"/>
                    </a:xfrm>
                    <a:prstGeom prst="rect">
                      <a:avLst/>
                    </a:prstGeom>
                  </pic:spPr>
                </pic:pic>
              </a:graphicData>
            </a:graphic>
          </wp:inline>
        </w:drawing>
      </w:r>
    </w:p>
    <w:p w:rsidR="00F556EB" w:rsidRPr="00F556EB" w:rsidRDefault="00F556EB">
      <w:pPr>
        <w:spacing w:after="0"/>
        <w:ind w:left="397"/>
        <w:jc w:val="both"/>
        <w:rPr>
          <w:rFonts w:cstheme="minorHAnsi"/>
          <w:b/>
          <w:sz w:val="6"/>
          <w:szCs w:val="6"/>
          <w:shd w:val="clear" w:color="auto" w:fill="FFFF00"/>
        </w:rPr>
      </w:pPr>
    </w:p>
    <w:p w:rsidR="00033807" w:rsidRDefault="00F556EB" w:rsidP="00952357">
      <w:pPr>
        <w:spacing w:after="0"/>
        <w:ind w:left="170" w:right="510"/>
        <w:jc w:val="both"/>
        <w:rPr>
          <w:rFonts w:cstheme="minorHAnsi"/>
          <w:b/>
          <w:shd w:val="clear" w:color="auto" w:fill="FFFF00"/>
        </w:rPr>
      </w:pPr>
      <w:r w:rsidRPr="005D152C">
        <w:rPr>
          <w:rFonts w:cstheme="minorHAnsi"/>
          <w:b/>
          <w:u w:val="single"/>
          <w:shd w:val="clear" w:color="auto" w:fill="FFFF00"/>
        </w:rPr>
        <w:t xml:space="preserve">POMĚRY PŘÍNOSŮ (PODLE QALY) A NÁKLADŮ KINPEYGO+SOC vs SOC ČINÍ DLE VÝŠE UVEDENÉ MODELACE </w:t>
      </w:r>
      <w:r w:rsidR="00EF58A5" w:rsidRPr="005D152C">
        <w:rPr>
          <w:rFonts w:cstheme="minorHAnsi"/>
          <w:b/>
          <w:u w:val="single"/>
          <w:shd w:val="clear" w:color="auto" w:fill="FFFF00"/>
        </w:rPr>
        <w:t xml:space="preserve">ZÁKLADNÍHO SCÉNÁŘE* </w:t>
      </w:r>
      <w:r w:rsidRPr="005D152C">
        <w:rPr>
          <w:rFonts w:cstheme="minorHAnsi"/>
          <w:b/>
          <w:u w:val="single"/>
          <w:shd w:val="clear" w:color="auto" w:fill="FFFF00"/>
        </w:rPr>
        <w:t xml:space="preserve">PŘI DISKONTACI 3%/ROK </w:t>
      </w:r>
      <w:r w:rsidR="00F445EA" w:rsidRPr="005D152C">
        <w:rPr>
          <w:rFonts w:cstheme="minorHAnsi"/>
          <w:b/>
          <w:u w:val="single"/>
          <w:shd w:val="clear" w:color="auto" w:fill="FFFF00"/>
        </w:rPr>
        <w:t>1.03 a</w:t>
      </w:r>
      <w:r w:rsidRPr="005D152C">
        <w:rPr>
          <w:rFonts w:cstheme="minorHAnsi"/>
          <w:b/>
          <w:u w:val="single"/>
          <w:shd w:val="clear" w:color="auto" w:fill="FFFF00"/>
        </w:rPr>
        <w:t xml:space="preserve"> </w:t>
      </w:r>
      <w:r w:rsidR="008A1240" w:rsidRPr="005D152C">
        <w:rPr>
          <w:rFonts w:cstheme="minorHAnsi"/>
          <w:b/>
          <w:u w:val="single"/>
          <w:shd w:val="clear" w:color="auto" w:fill="FFFF00"/>
        </w:rPr>
        <w:t xml:space="preserve">1.22, </w:t>
      </w:r>
      <w:r w:rsidR="004C2E29" w:rsidRPr="005D152C">
        <w:rPr>
          <w:rFonts w:cstheme="minorHAnsi"/>
          <w:b/>
          <w:u w:val="single"/>
          <w:shd w:val="clear" w:color="auto" w:fill="FFFF00"/>
        </w:rPr>
        <w:t>PŘI SROVNÁNÍ KINPEYGO+SOC vs PREDNISON+SOC PAK</w:t>
      </w:r>
      <w:r w:rsidR="00F445EA" w:rsidRPr="005D152C">
        <w:rPr>
          <w:rFonts w:cstheme="minorHAnsi"/>
          <w:b/>
          <w:u w:val="single"/>
          <w:shd w:val="clear" w:color="auto" w:fill="FFFF00"/>
        </w:rPr>
        <w:t xml:space="preserve"> POMĚRY PŘÍNOSŮ (PODLE QALY) A NÁKLADŮ</w:t>
      </w:r>
      <w:r w:rsidR="004C2E29" w:rsidRPr="005D152C">
        <w:rPr>
          <w:rFonts w:cstheme="minorHAnsi"/>
          <w:b/>
          <w:u w:val="single"/>
          <w:shd w:val="clear" w:color="auto" w:fill="FFFF00"/>
        </w:rPr>
        <w:t xml:space="preserve"> </w:t>
      </w:r>
      <w:r w:rsidR="00F445EA" w:rsidRPr="005D152C">
        <w:rPr>
          <w:rFonts w:cstheme="minorHAnsi"/>
          <w:b/>
          <w:u w:val="single"/>
          <w:shd w:val="clear" w:color="auto" w:fill="FFFF00"/>
        </w:rPr>
        <w:t xml:space="preserve">ČINÍ </w:t>
      </w:r>
      <w:r w:rsidR="00EF58A5" w:rsidRPr="005D152C">
        <w:rPr>
          <w:rFonts w:cstheme="minorHAnsi"/>
          <w:b/>
          <w:u w:val="single"/>
          <w:shd w:val="clear" w:color="auto" w:fill="FFFF00"/>
        </w:rPr>
        <w:t>1.03 a 1.23</w:t>
      </w:r>
      <w:r w:rsidR="005D152C">
        <w:rPr>
          <w:rFonts w:cstheme="minorHAnsi"/>
          <w:b/>
          <w:shd w:val="clear" w:color="auto" w:fill="FFFF00"/>
        </w:rPr>
        <w:t>.</w:t>
      </w:r>
      <w:r w:rsidR="00EF58A5">
        <w:rPr>
          <w:rFonts w:cstheme="minorHAnsi"/>
          <w:b/>
          <w:shd w:val="clear" w:color="auto" w:fill="FFFF00"/>
        </w:rPr>
        <w:t xml:space="preserve"> </w:t>
      </w:r>
    </w:p>
    <w:p w:rsidR="00EF58A5" w:rsidRPr="00EF58A5" w:rsidRDefault="00EF58A5" w:rsidP="00952357">
      <w:pPr>
        <w:spacing w:after="0"/>
        <w:ind w:left="170" w:right="510"/>
        <w:jc w:val="both"/>
        <w:rPr>
          <w:rFonts w:cstheme="minorHAnsi"/>
          <w:b/>
          <w:sz w:val="18"/>
          <w:szCs w:val="18"/>
          <w:shd w:val="clear" w:color="auto" w:fill="FFFF00"/>
        </w:rPr>
      </w:pPr>
      <w:r>
        <w:rPr>
          <w:rFonts w:cstheme="minorHAnsi"/>
          <w:b/>
          <w:bCs/>
          <w:sz w:val="18"/>
          <w:szCs w:val="18"/>
          <w:highlight w:val="yellow"/>
          <w:shd w:val="clear" w:color="auto" w:fill="DEE6EF"/>
        </w:rPr>
        <w:t xml:space="preserve">* </w:t>
      </w:r>
      <w:r w:rsidRPr="00EF58A5">
        <w:rPr>
          <w:rFonts w:cstheme="minorHAnsi"/>
          <w:b/>
          <w:bCs/>
          <w:sz w:val="18"/>
          <w:szCs w:val="18"/>
          <w:highlight w:val="yellow"/>
          <w:shd w:val="clear" w:color="auto" w:fill="DEE6EF"/>
        </w:rPr>
        <w:t>P</w:t>
      </w:r>
      <w:r w:rsidRPr="00EF58A5">
        <w:rPr>
          <w:rFonts w:cs="Calibri"/>
          <w:b/>
          <w:bCs/>
          <w:color w:val="000000"/>
          <w:sz w:val="18"/>
          <w:szCs w:val="18"/>
          <w:highlight w:val="yellow"/>
          <w:shd w:val="clear" w:color="auto" w:fill="DEE6EF"/>
        </w:rPr>
        <w:t xml:space="preserve">ro </w:t>
      </w:r>
      <w:r w:rsidRPr="00EF58A5">
        <w:rPr>
          <w:b/>
          <w:bCs/>
          <w:color w:val="000000"/>
          <w:sz w:val="18"/>
          <w:szCs w:val="18"/>
          <w:highlight w:val="yellow"/>
          <w:shd w:val="clear" w:color="auto" w:fill="DEE6EF"/>
        </w:rPr>
        <w:t xml:space="preserve">účely modelace STADA konzervativně předpokládá V ZÁKLADNÍM SCÉNÁŘI, že efekt léčby LP KINPEYGO přetrvává pouze po dobu 1. a 2. modelovaného roku </w:t>
      </w:r>
      <w:r w:rsidRPr="00EF58A5">
        <w:rPr>
          <w:rFonts w:cstheme="minorHAnsi"/>
          <w:b/>
          <w:bCs/>
          <w:color w:val="000000"/>
          <w:sz w:val="18"/>
          <w:szCs w:val="18"/>
          <w:highlight w:val="yellow"/>
          <w:shd w:val="clear" w:color="auto" w:fill="DEE6EF"/>
        </w:rPr>
        <w:t xml:space="preserve">(uvedeno v prvotní modelaci STADy </w:t>
      </w:r>
      <w:r>
        <w:rPr>
          <w:rFonts w:cstheme="minorHAnsi"/>
          <w:b/>
          <w:bCs/>
          <w:color w:val="000000"/>
          <w:sz w:val="18"/>
          <w:szCs w:val="18"/>
          <w:highlight w:val="yellow"/>
          <w:shd w:val="clear" w:color="auto" w:fill="DEE6EF"/>
        </w:rPr>
        <w:t>uvedené níže</w:t>
      </w:r>
      <w:r w:rsidRPr="00EF58A5">
        <w:rPr>
          <w:rFonts w:cstheme="minorHAnsi"/>
          <w:b/>
          <w:bCs/>
          <w:color w:val="000000"/>
          <w:sz w:val="18"/>
          <w:szCs w:val="18"/>
          <w:highlight w:val="yellow"/>
          <w:shd w:val="clear" w:color="auto" w:fill="DEE6EF"/>
        </w:rPr>
        <w:t xml:space="preserve"> pod pozn. 5) + bez retreatmentu KINPEYGEM,  </w:t>
      </w:r>
      <w:r w:rsidRPr="00EF58A5">
        <w:rPr>
          <w:b/>
          <w:bCs/>
          <w:color w:val="000000"/>
          <w:sz w:val="18"/>
          <w:szCs w:val="18"/>
          <w:highlight w:val="yellow"/>
          <w:shd w:val="clear" w:color="auto" w:fill="DEE6EF"/>
        </w:rPr>
        <w:t>a přechodové pravděpodobnosti určující progresi pacientů mezi stádii CKD ve  2. roce a následných letech od zahájení léčby v případě systémových kortikosteroidů STADA předpokládá shodné s placebem, resp. optimálně nastavenou podpůrnou léčbou (tzn. efekt systémových kortikosteroidů, dle STADy, nepřesahuje 1 rok</w:t>
      </w:r>
      <w:r w:rsidRPr="00EF58A5">
        <w:rPr>
          <w:b/>
          <w:bCs/>
          <w:color w:val="000000"/>
          <w:sz w:val="18"/>
          <w:szCs w:val="18"/>
          <w:highlight w:val="yellow"/>
          <w:shd w:val="clear" w:color="auto" w:fill="DEE6EF"/>
          <w:vertAlign w:val="superscript"/>
        </w:rPr>
        <w:t xml:space="preserve">133 </w:t>
      </w:r>
      <w:r w:rsidRPr="00EF58A5">
        <w:rPr>
          <w:b/>
          <w:bCs/>
          <w:color w:val="000000"/>
          <w:sz w:val="18"/>
          <w:szCs w:val="18"/>
          <w:highlight w:val="yellow"/>
          <w:shd w:val="clear" w:color="auto" w:fill="DEE6EF"/>
        </w:rPr>
        <w:t>–</w:t>
      </w:r>
      <w:r w:rsidRPr="00EF58A5">
        <w:rPr>
          <w:color w:val="000000"/>
          <w:sz w:val="18"/>
          <w:szCs w:val="18"/>
          <w:highlight w:val="yellow"/>
          <w:u w:val="single"/>
          <w:shd w:val="clear" w:color="auto" w:fill="DEE6EF"/>
        </w:rPr>
        <w:t xml:space="preserve"> </w:t>
      </w:r>
      <w:r w:rsidRPr="00EF58A5">
        <w:rPr>
          <w:b/>
          <w:bCs/>
          <w:color w:val="C9211E"/>
          <w:sz w:val="18"/>
          <w:szCs w:val="18"/>
          <w:highlight w:val="yellow"/>
          <w:u w:val="single"/>
          <w:shd w:val="clear" w:color="auto" w:fill="DEE6EF"/>
        </w:rPr>
        <w:t xml:space="preserve">CAVE! srovnej ale rozdílné výsledky studie TESTING publikované v roce 2024 (viz </w:t>
      </w:r>
      <w:r>
        <w:rPr>
          <w:b/>
          <w:bCs/>
          <w:color w:val="C9211E"/>
          <w:sz w:val="18"/>
          <w:szCs w:val="18"/>
          <w:highlight w:val="yellow"/>
          <w:u w:val="single"/>
          <w:shd w:val="clear" w:color="auto" w:fill="DEE6EF"/>
        </w:rPr>
        <w:t>níže</w:t>
      </w:r>
      <w:r w:rsidRPr="00EF58A5">
        <w:rPr>
          <w:b/>
          <w:bCs/>
          <w:color w:val="C9211E"/>
          <w:sz w:val="18"/>
          <w:szCs w:val="18"/>
          <w:highlight w:val="yellow"/>
          <w:u w:val="single"/>
          <w:shd w:val="clear" w:color="auto" w:fill="DEE6EF"/>
        </w:rPr>
        <w:t xml:space="preserve"> pozn. 130), podle nichž  by bylo možné předpokládat přetrvávající efekt léčby syst. kortikoidů také po dobu 1. a 2. roku (viz Přílohu č. 24), jak předpokládá konzervativně STADA u LP KINPEYGO</w:t>
      </w:r>
      <w:r w:rsidRPr="00EF58A5">
        <w:rPr>
          <w:b/>
          <w:bCs/>
          <w:color w:val="C9211E"/>
          <w:sz w:val="18"/>
          <w:szCs w:val="18"/>
          <w:highlight w:val="yellow"/>
        </w:rPr>
        <w:t>!</w:t>
      </w:r>
    </w:p>
    <w:p w:rsidR="00EF58A5" w:rsidRPr="005D152C" w:rsidRDefault="00EF58A5" w:rsidP="00952357">
      <w:pPr>
        <w:spacing w:after="0"/>
        <w:ind w:left="170" w:right="510"/>
        <w:jc w:val="both"/>
        <w:rPr>
          <w:rFonts w:cstheme="minorHAnsi"/>
          <w:b/>
          <w:sz w:val="4"/>
          <w:szCs w:val="4"/>
          <w:shd w:val="clear" w:color="auto" w:fill="FFFF00"/>
        </w:rPr>
      </w:pPr>
    </w:p>
    <w:p w:rsidR="00033807" w:rsidRDefault="00DC1D2D" w:rsidP="00092DEC">
      <w:pPr>
        <w:spacing w:after="0"/>
        <w:ind w:left="567"/>
        <w:jc w:val="both"/>
        <w:rPr>
          <w:rFonts w:cstheme="minorHAnsi"/>
        </w:rPr>
      </w:pPr>
      <w:r>
        <w:rPr>
          <w:rFonts w:cstheme="minorHAnsi"/>
          <w:noProof/>
          <w:lang w:eastAsia="cs-CZ"/>
        </w:rPr>
        <w:drawing>
          <wp:inline distT="0" distB="0" distL="0" distR="0">
            <wp:extent cx="6142008" cy="99203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7161" cy="994484"/>
                    </a:xfrm>
                    <a:prstGeom prst="rect">
                      <a:avLst/>
                    </a:prstGeom>
                    <a:noFill/>
                    <a:ln>
                      <a:noFill/>
                    </a:ln>
                  </pic:spPr>
                </pic:pic>
              </a:graphicData>
            </a:graphic>
          </wp:inline>
        </w:drawing>
      </w:r>
    </w:p>
    <w:p w:rsidR="00033807" w:rsidRDefault="00033807">
      <w:pPr>
        <w:spacing w:after="0"/>
        <w:jc w:val="both"/>
        <w:rPr>
          <w:rFonts w:cstheme="minorHAnsi"/>
          <w:sz w:val="6"/>
          <w:szCs w:val="6"/>
        </w:rPr>
      </w:pPr>
    </w:p>
    <w:p w:rsidR="00033807" w:rsidRPr="00AB1F8A" w:rsidRDefault="00C071AF">
      <w:pPr>
        <w:spacing w:after="0"/>
        <w:jc w:val="both"/>
        <w:rPr>
          <w:rFonts w:cstheme="minorHAnsi"/>
          <w:b/>
          <w:sz w:val="21"/>
          <w:szCs w:val="21"/>
          <w:highlight w:val="cyan"/>
          <w:u w:val="single"/>
        </w:rPr>
      </w:pPr>
      <w:r w:rsidRPr="00AB1F8A">
        <w:rPr>
          <w:sz w:val="21"/>
          <w:szCs w:val="21"/>
          <w:highlight w:val="cyan"/>
        </w:rPr>
        <w:t>V základním scénáři analýzy nákladové efektivity z celospolečenské perspektivy* představuje LP KINPEYGO snížení nákladů na ztrátu produktivity o 310 959 Kč v celoživotním časovém horizontu, což představuje úsporu investovaných prostředků spojených s léčbou KINPEYGEM zhruba o 1,3 %</w:t>
      </w:r>
      <w:r w:rsidRPr="00AB1F8A">
        <w:rPr>
          <w:sz w:val="21"/>
          <w:szCs w:val="21"/>
          <w:highlight w:val="cyan"/>
          <w:vertAlign w:val="superscript"/>
        </w:rPr>
        <w:t>28</w:t>
      </w:r>
      <w:r w:rsidRPr="00AB1F8A">
        <w:rPr>
          <w:sz w:val="21"/>
          <w:szCs w:val="21"/>
          <w:highlight w:val="cyan"/>
        </w:rPr>
        <w:t>. Dle výsledků základního scénáře analýzy nákladové efektivity z vládní perspektivy** pak představuje LP KINPEYGO snížení nákladů systému sociálního zabezpečení o 51 253 Kč v celoživotním čas</w:t>
      </w:r>
      <w:r w:rsidR="00092DEC">
        <w:rPr>
          <w:sz w:val="21"/>
          <w:szCs w:val="21"/>
          <w:highlight w:val="cyan"/>
        </w:rPr>
        <w:t>.</w:t>
      </w:r>
      <w:r w:rsidRPr="00AB1F8A">
        <w:rPr>
          <w:sz w:val="21"/>
          <w:szCs w:val="21"/>
          <w:highlight w:val="cyan"/>
        </w:rPr>
        <w:t xml:space="preserve"> horizontu, což představuje úsporu investovaných prostředků spojených s léčbou hodnocené intervence ve výši 0,7 %</w:t>
      </w:r>
      <w:r w:rsidRPr="00AB1F8A">
        <w:rPr>
          <w:sz w:val="21"/>
          <w:szCs w:val="21"/>
          <w:highlight w:val="cyan"/>
          <w:vertAlign w:val="superscript"/>
        </w:rPr>
        <w:t>28</w:t>
      </w:r>
      <w:r w:rsidRPr="00AB1F8A">
        <w:rPr>
          <w:sz w:val="21"/>
          <w:szCs w:val="21"/>
          <w:highlight w:val="cyan"/>
        </w:rPr>
        <w:t>.</w:t>
      </w:r>
    </w:p>
    <w:p w:rsidR="00033807" w:rsidRDefault="00C071AF">
      <w:pPr>
        <w:spacing w:after="0"/>
        <w:jc w:val="both"/>
        <w:rPr>
          <w:sz w:val="18"/>
          <w:szCs w:val="18"/>
          <w:highlight w:val="cyan"/>
        </w:rPr>
      </w:pPr>
      <w:r>
        <w:rPr>
          <w:rFonts w:cstheme="minorHAnsi"/>
          <w:b/>
          <w:sz w:val="18"/>
          <w:szCs w:val="18"/>
          <w:highlight w:val="cyan"/>
        </w:rPr>
        <w:t xml:space="preserve">* </w:t>
      </w:r>
      <w:r>
        <w:rPr>
          <w:sz w:val="18"/>
          <w:szCs w:val="18"/>
          <w:highlight w:val="cyan"/>
        </w:rPr>
        <w:t>V analýze z celospolečenské perspektivy byly použity náklady na celkovou ztrátu pracovní produktivity pacientů (kombinace absenteismu a prezenteismu). Zdrojem pro určení nákladů bylo žadatelem provedené dotazníkové šetření zkoumající socioekonomický dopad onemocnění na samotné pacienty, příp. jejich pečovatele. Ztráta pracovní produktivity byla měřena pomocí dotazníku WPAI (</w:t>
      </w:r>
      <w:r>
        <w:rPr>
          <w:i/>
          <w:iCs/>
          <w:sz w:val="18"/>
          <w:szCs w:val="18"/>
          <w:highlight w:val="cyan"/>
        </w:rPr>
        <w:t>Work Productivity and Activity Impairment</w:t>
      </w:r>
      <w:r>
        <w:rPr>
          <w:sz w:val="18"/>
          <w:szCs w:val="18"/>
          <w:highlight w:val="cyan"/>
        </w:rPr>
        <w:t>) a byla monetizována metodou HCA (</w:t>
      </w:r>
      <w:r>
        <w:rPr>
          <w:i/>
          <w:iCs/>
          <w:sz w:val="18"/>
          <w:szCs w:val="18"/>
          <w:highlight w:val="cyan"/>
        </w:rPr>
        <w:t>human capital approach</w:t>
      </w:r>
      <w:r>
        <w:rPr>
          <w:sz w:val="18"/>
          <w:szCs w:val="18"/>
          <w:highlight w:val="cyan"/>
        </w:rPr>
        <w:t>).</w:t>
      </w:r>
      <w:r>
        <w:rPr>
          <w:sz w:val="18"/>
          <w:szCs w:val="18"/>
          <w:highlight w:val="cyan"/>
          <w:vertAlign w:val="superscript"/>
        </w:rPr>
        <w:t>28</w:t>
      </w:r>
    </w:p>
    <w:p w:rsidR="00033807" w:rsidRDefault="00C071AF">
      <w:pPr>
        <w:spacing w:after="0"/>
        <w:jc w:val="both"/>
        <w:rPr>
          <w:rFonts w:cstheme="minorHAnsi"/>
          <w:b/>
          <w:sz w:val="18"/>
          <w:szCs w:val="18"/>
          <w:u w:val="single"/>
        </w:rPr>
      </w:pPr>
      <w:r>
        <w:rPr>
          <w:sz w:val="18"/>
          <w:szCs w:val="18"/>
          <w:highlight w:val="cyan"/>
        </w:rPr>
        <w:t>**</w:t>
      </w:r>
      <w:r>
        <w:rPr>
          <w:highlight w:val="cyan"/>
        </w:rPr>
        <w:t xml:space="preserve"> </w:t>
      </w:r>
      <w:r>
        <w:rPr>
          <w:sz w:val="18"/>
          <w:szCs w:val="18"/>
          <w:highlight w:val="cyan"/>
        </w:rPr>
        <w:t xml:space="preserve">Z vládní perspektivy byly uvažovány jednak medicínské náklady ve stejném rozsahu jako uplatněné v analýze z perspektivy plátce, dále výdaje na invalidní důchody, nemocenské dávky, krátko/dlouhodobé ošetřovné, dávky státní sociální podpory (přídavek na dítě, příspěvek na bydlení), výdaje na jiné nepojistné dávky (tj. dávky pomoci v hmotné nouzi, dávky pro osoby se zdravotním postižením - příspěvek na mobilitu a příspěvek na zvláštní pomůcku a příspěvek na péči). Zdrojem pro určení nákladů na systém sociálního zabezpečení bylo dotazníkové šetření (32 respondentů) předložené žadatelem, zkoumající socioekonomický dopad onemocnění na samotné pacienty, příp. jejich pečovatele. Relevantní náklady z vládní perspektivy jsou v rámci modelace kalkulovány pouze </w:t>
      </w:r>
      <w:r w:rsidRPr="00092DEC">
        <w:rPr>
          <w:sz w:val="18"/>
          <w:szCs w:val="18"/>
          <w:highlight w:val="cyan"/>
        </w:rPr>
        <w:t>po dobu, dobu odchodu do starobního důchodu (65 let). Jakmile žijící pacient dosáhne starobního důchodu, jsou uvažované vládní náklady nulové.</w:t>
      </w:r>
      <w:r w:rsidRPr="00092DEC">
        <w:rPr>
          <w:sz w:val="18"/>
          <w:szCs w:val="18"/>
          <w:highlight w:val="cyan"/>
          <w:vertAlign w:val="superscript"/>
        </w:rPr>
        <w:t>2</w:t>
      </w:r>
      <w:r>
        <w:rPr>
          <w:sz w:val="18"/>
          <w:szCs w:val="18"/>
          <w:vertAlign w:val="superscript"/>
        </w:rPr>
        <w:t>8</w:t>
      </w:r>
    </w:p>
    <w:p w:rsidR="00033807" w:rsidRDefault="00033807">
      <w:pPr>
        <w:spacing w:after="0"/>
        <w:jc w:val="both"/>
        <w:rPr>
          <w:rFonts w:cstheme="minorHAnsi"/>
          <w:b/>
          <w:sz w:val="6"/>
          <w:szCs w:val="6"/>
          <w:u w:val="single"/>
        </w:rPr>
      </w:pPr>
    </w:p>
    <w:p w:rsidR="00033807" w:rsidRPr="00092DEC" w:rsidRDefault="00C071AF">
      <w:pPr>
        <w:spacing w:after="0"/>
        <w:jc w:val="both"/>
        <w:rPr>
          <w:rFonts w:cstheme="minorHAnsi"/>
          <w:sz w:val="21"/>
          <w:szCs w:val="21"/>
        </w:rPr>
      </w:pPr>
      <w:r w:rsidRPr="00092DEC">
        <w:rPr>
          <w:rFonts w:cstheme="minorHAnsi"/>
          <w:b/>
          <w:sz w:val="21"/>
          <w:szCs w:val="21"/>
          <w:u w:val="single"/>
        </w:rPr>
        <w:t>Z modelace použité pro analýzu nákladové efektivity (předložené</w:t>
      </w:r>
      <w:r w:rsidR="00092DEC">
        <w:rPr>
          <w:rFonts w:cstheme="minorHAnsi"/>
          <w:b/>
          <w:sz w:val="21"/>
          <w:szCs w:val="21"/>
          <w:u w:val="single"/>
        </w:rPr>
        <w:t xml:space="preserve"> STADou</w:t>
      </w:r>
      <w:r w:rsidRPr="00092DEC">
        <w:rPr>
          <w:rFonts w:cstheme="minorHAnsi"/>
          <w:b/>
          <w:sz w:val="21"/>
          <w:szCs w:val="21"/>
          <w:u w:val="single"/>
        </w:rPr>
        <w:t xml:space="preserve"> SUKLu v rámci SŘ) vyplývá, že léčba KINPEYGEM v kombinaci s podpůrnou léčbou oddálí progresi do ESRD o 1 rok oproti podpůrné léčbě samotné </w:t>
      </w:r>
      <w:r w:rsidRPr="00092DEC">
        <w:rPr>
          <w:rFonts w:cstheme="minorHAnsi"/>
          <w:b/>
          <w:sz w:val="21"/>
          <w:szCs w:val="21"/>
        </w:rPr>
        <w:t>(dle</w:t>
      </w:r>
      <w:r w:rsidRPr="00092DEC">
        <w:rPr>
          <w:sz w:val="21"/>
          <w:szCs w:val="21"/>
        </w:rPr>
        <w:t xml:space="preserve"> </w:t>
      </w:r>
      <w:r w:rsidRPr="00092DEC">
        <w:rPr>
          <w:b/>
          <w:sz w:val="21"/>
          <w:szCs w:val="21"/>
        </w:rPr>
        <w:t>modelu nákladové efektivity je průměrná doba progrese do ledvinného selhání u pacientů dříve léčených KINPEYEGEM 8,2 roků (SoC 7,2 roků))</w:t>
      </w:r>
      <w:r w:rsidRPr="00092DEC">
        <w:rPr>
          <w:rFonts w:cstheme="minorHAnsi"/>
          <w:sz w:val="21"/>
          <w:szCs w:val="21"/>
        </w:rPr>
        <w:t xml:space="preserve"> - medián doby do progrese do ESRD je u pacientů dříve léčených KINPEYGEM 7,5 let</w:t>
      </w:r>
      <w:r w:rsidRPr="00092DEC">
        <w:rPr>
          <w:rFonts w:cstheme="minorHAnsi"/>
          <w:sz w:val="21"/>
          <w:szCs w:val="21"/>
          <w:vertAlign w:val="superscript"/>
        </w:rPr>
        <w:t>28</w:t>
      </w:r>
      <w:r w:rsidRPr="00092DEC">
        <w:rPr>
          <w:rFonts w:cstheme="minorHAnsi"/>
          <w:sz w:val="21"/>
          <w:szCs w:val="21"/>
        </w:rPr>
        <w:t>. Po 5, 10, resp. 20 letech progreduje do ESRD 23,1 %, 68,6 % a 87,9 % pacientů léčených pomocí LP KINPEYGA v kombinaci s podpůrnou léčbou</w:t>
      </w:r>
      <w:r w:rsidRPr="00092DEC">
        <w:rPr>
          <w:rFonts w:cstheme="minorHAnsi"/>
          <w:sz w:val="21"/>
          <w:szCs w:val="21"/>
          <w:vertAlign w:val="superscript"/>
        </w:rPr>
        <w:t>28</w:t>
      </w:r>
      <w:r w:rsidRPr="00092DEC">
        <w:rPr>
          <w:rFonts w:cstheme="minorHAnsi"/>
          <w:sz w:val="21"/>
          <w:szCs w:val="21"/>
        </w:rPr>
        <w:t>.</w:t>
      </w:r>
    </w:p>
    <w:p w:rsidR="00033807" w:rsidRPr="002728FC" w:rsidRDefault="002728FC">
      <w:pPr>
        <w:spacing w:after="0"/>
        <w:jc w:val="both"/>
        <w:rPr>
          <w:rFonts w:cstheme="minorHAnsi"/>
          <w:sz w:val="18"/>
          <w:szCs w:val="18"/>
        </w:rPr>
      </w:pPr>
      <w:r w:rsidRPr="002728FC">
        <w:rPr>
          <w:sz w:val="18"/>
          <w:szCs w:val="18"/>
        </w:rPr>
        <w:t xml:space="preserve">Pozn. </w:t>
      </w:r>
      <w:r w:rsidR="00C071AF" w:rsidRPr="002728FC">
        <w:rPr>
          <w:sz w:val="18"/>
          <w:szCs w:val="18"/>
        </w:rPr>
        <w:t>Dle hodnocení NICE v delším horizontu povolení opakované léčby by v klinické praxi nemělo vést k významnému rozdílu v nákladově efektivitě - důvodem bylo to, že pacienti díky opakování léčby zůstávali déle v nižších zdravotních stavech CKD, takže se vyhnuli přechodu do vyšších zdravotních stavů CKD, které jsou spojeny s mnohem vyššími náklady na léčbu kvůli rostoucí četnosti dialýzy a transplantací ledvin</w:t>
      </w:r>
      <w:r w:rsidR="00C071AF" w:rsidRPr="002728FC">
        <w:rPr>
          <w:sz w:val="18"/>
          <w:szCs w:val="18"/>
          <w:vertAlign w:val="superscript"/>
        </w:rPr>
        <w:t>28</w:t>
      </w:r>
      <w:r w:rsidR="00C071AF" w:rsidRPr="002728FC">
        <w:rPr>
          <w:sz w:val="18"/>
          <w:szCs w:val="18"/>
        </w:rPr>
        <w:t>. Z vyjádření ČNS ze dne 21. 9. 2023 vyplývá, že opakování léčebných cyklů LP KINPEYGO se při relapsu onemocnění předpokládá, nicméně v tuto chvíli nelze s jistotou říct, kdy a za jakých přesně stanovených podmínek bude moci být zahájena - dle žadatele LP KINPEYGO o úhradu by tento předpoklad měl být zřejmý po skončení studie NefIgard-OLE (NCT04541043), u které je předpokládáno ukončení 30. 6. 2024</w:t>
      </w:r>
      <w:r w:rsidR="00C071AF" w:rsidRPr="002728FC">
        <w:rPr>
          <w:sz w:val="18"/>
          <w:szCs w:val="18"/>
          <w:vertAlign w:val="superscript"/>
        </w:rPr>
        <w:t>28</w:t>
      </w:r>
      <w:r w:rsidR="00C071AF" w:rsidRPr="002728FC">
        <w:rPr>
          <w:sz w:val="18"/>
          <w:szCs w:val="18"/>
        </w:rPr>
        <w:t>.</w:t>
      </w:r>
    </w:p>
    <w:p w:rsidR="00033807" w:rsidRPr="00010794" w:rsidRDefault="00033807">
      <w:pPr>
        <w:spacing w:after="0"/>
        <w:jc w:val="both"/>
        <w:rPr>
          <w:b/>
          <w:sz w:val="36"/>
          <w:szCs w:val="36"/>
        </w:rPr>
      </w:pPr>
    </w:p>
    <w:p w:rsidR="00033807" w:rsidRPr="002728FC" w:rsidRDefault="00C071AF">
      <w:pPr>
        <w:spacing w:after="0"/>
        <w:jc w:val="both"/>
        <w:rPr>
          <w:rFonts w:cstheme="minorHAnsi"/>
          <w:b/>
          <w:sz w:val="30"/>
          <w:szCs w:val="30"/>
        </w:rPr>
      </w:pPr>
      <w:r>
        <w:rPr>
          <w:rFonts w:cstheme="minorHAnsi"/>
          <w:b/>
          <w:sz w:val="32"/>
          <w:szCs w:val="32"/>
          <w:u w:val="single"/>
        </w:rPr>
        <w:t xml:space="preserve">Výsledky BIA </w:t>
      </w:r>
      <w:r w:rsidRPr="00010794">
        <w:rPr>
          <w:rFonts w:cstheme="minorHAnsi"/>
          <w:b/>
          <w:sz w:val="28"/>
          <w:szCs w:val="28"/>
        </w:rPr>
        <w:t>pro</w:t>
      </w:r>
      <w:r w:rsidR="002728FC" w:rsidRPr="00010794">
        <w:rPr>
          <w:rFonts w:cstheme="minorHAnsi"/>
          <w:b/>
          <w:sz w:val="28"/>
          <w:szCs w:val="28"/>
        </w:rPr>
        <w:t xml:space="preserve"> 10 pac. za 1 rok**, i v alternativních scénářích modelujících nižší počet pac. indikovaných k LP KINPEYGO a vyšším zastoupení pac. na systémových kortikoidech***</w:t>
      </w:r>
      <w:r w:rsidRPr="00010794">
        <w:rPr>
          <w:rFonts w:cstheme="minorHAnsi"/>
          <w:b/>
          <w:sz w:val="28"/>
          <w:szCs w:val="28"/>
        </w:rPr>
        <w:t>:</w:t>
      </w:r>
    </w:p>
    <w:p w:rsidR="00033807" w:rsidRDefault="00AB1F8A">
      <w:pPr>
        <w:spacing w:after="0"/>
        <w:jc w:val="both"/>
        <w:rPr>
          <w:rFonts w:cstheme="minorHAnsi"/>
          <w:b/>
          <w:sz w:val="32"/>
          <w:szCs w:val="32"/>
          <w:u w:val="single"/>
        </w:rPr>
      </w:pPr>
      <w:r>
        <w:rPr>
          <w:rFonts w:cstheme="minorHAnsi"/>
          <w:b/>
          <w:noProof/>
          <w:sz w:val="32"/>
          <w:szCs w:val="32"/>
          <w:u w:val="single"/>
          <w:lang w:eastAsia="cs-CZ"/>
        </w:rPr>
        <w:drawing>
          <wp:inline distT="0" distB="0" distL="0" distR="0">
            <wp:extent cx="6804895" cy="2424023"/>
            <wp:effectExtent l="0" t="0" r="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04895" cy="2424023"/>
                    </a:xfrm>
                    <a:prstGeom prst="rect">
                      <a:avLst/>
                    </a:prstGeom>
                    <a:noFill/>
                    <a:ln>
                      <a:noFill/>
                    </a:ln>
                  </pic:spPr>
                </pic:pic>
              </a:graphicData>
            </a:graphic>
          </wp:inline>
        </w:drawing>
      </w:r>
    </w:p>
    <w:p w:rsidR="00010794" w:rsidRPr="00010794" w:rsidRDefault="00010794" w:rsidP="00010794">
      <w:pPr>
        <w:spacing w:after="0"/>
        <w:jc w:val="both"/>
        <w:rPr>
          <w:rFonts w:cstheme="minorHAnsi"/>
          <w:sz w:val="18"/>
          <w:szCs w:val="18"/>
        </w:rPr>
      </w:pPr>
      <w:r>
        <w:rPr>
          <w:sz w:val="18"/>
          <w:szCs w:val="18"/>
        </w:rPr>
        <w:t xml:space="preserve">** </w:t>
      </w:r>
      <w:r w:rsidRPr="00010794">
        <w:rPr>
          <w:rStyle w:val="Hypertextovodkaz"/>
          <w:rFonts w:cstheme="minorHAnsi"/>
          <w:color w:val="auto"/>
          <w:sz w:val="18"/>
          <w:szCs w:val="18"/>
        </w:rPr>
        <w:t>Aktuálně je III. interní klinikou FN Olomouc</w:t>
      </w:r>
      <w:r w:rsidRPr="00010794">
        <w:rPr>
          <w:rStyle w:val="Hypertextovodkaz"/>
          <w:rFonts w:cstheme="minorHAnsi"/>
          <w:color w:val="auto"/>
          <w:sz w:val="18"/>
          <w:szCs w:val="18"/>
          <w:vertAlign w:val="superscript"/>
        </w:rPr>
        <w:t>136</w:t>
      </w:r>
      <w:r w:rsidRPr="00010794">
        <w:rPr>
          <w:rStyle w:val="Hypertextovodkaz"/>
          <w:rFonts w:cstheme="minorHAnsi"/>
          <w:color w:val="auto"/>
          <w:sz w:val="18"/>
          <w:szCs w:val="18"/>
        </w:rPr>
        <w:t xml:space="preserve"> předpokládaný počet pac</w:t>
      </w:r>
      <w:r>
        <w:rPr>
          <w:rStyle w:val="Hypertextovodkaz"/>
          <w:rFonts w:cstheme="minorHAnsi"/>
          <w:color w:val="auto"/>
          <w:sz w:val="18"/>
          <w:szCs w:val="18"/>
        </w:rPr>
        <w:t>.</w:t>
      </w:r>
      <w:r w:rsidRPr="00010794">
        <w:rPr>
          <w:rStyle w:val="Hypertextovodkaz"/>
          <w:rFonts w:cstheme="minorHAnsi"/>
          <w:color w:val="auto"/>
          <w:sz w:val="18"/>
          <w:szCs w:val="18"/>
        </w:rPr>
        <w:t xml:space="preserve"> v daném roce na 10</w:t>
      </w:r>
      <w:r w:rsidRPr="00010794">
        <w:rPr>
          <w:rStyle w:val="Hypertextovodkaz"/>
          <w:rFonts w:cstheme="minorHAnsi"/>
          <w:color w:val="auto"/>
          <w:sz w:val="18"/>
          <w:szCs w:val="18"/>
          <w:u w:val="none"/>
        </w:rPr>
        <w:t xml:space="preserve"> – CAVE! klinika ale tehdy (tj. 2. 4. 2024) předpokládala, že LP bude mít v brzké době úhradu </w:t>
      </w:r>
      <w:proofErr w:type="gramStart"/>
      <w:r w:rsidRPr="00010794">
        <w:rPr>
          <w:rStyle w:val="Hypertextovodkaz"/>
          <w:rFonts w:cstheme="minorHAnsi"/>
          <w:color w:val="auto"/>
          <w:sz w:val="18"/>
          <w:szCs w:val="18"/>
          <w:u w:val="none"/>
        </w:rPr>
        <w:t>ze</w:t>
      </w:r>
      <w:proofErr w:type="gramEnd"/>
      <w:r w:rsidRPr="00010794">
        <w:rPr>
          <w:rStyle w:val="Hypertextovodkaz"/>
          <w:rFonts w:cstheme="minorHAnsi"/>
          <w:color w:val="auto"/>
          <w:sz w:val="18"/>
          <w:szCs w:val="18"/>
          <w:u w:val="none"/>
        </w:rPr>
        <w:t xml:space="preserve"> zdrav</w:t>
      </w:r>
      <w:r>
        <w:rPr>
          <w:rStyle w:val="Hypertextovodkaz"/>
          <w:rFonts w:cstheme="minorHAnsi"/>
          <w:color w:val="auto"/>
          <w:sz w:val="18"/>
          <w:szCs w:val="18"/>
          <w:u w:val="none"/>
        </w:rPr>
        <w:t>.</w:t>
      </w:r>
      <w:r w:rsidRPr="00010794">
        <w:rPr>
          <w:rStyle w:val="Hypertextovodkaz"/>
          <w:rFonts w:cstheme="minorHAnsi"/>
          <w:color w:val="auto"/>
          <w:sz w:val="18"/>
          <w:szCs w:val="18"/>
          <w:u w:val="none"/>
        </w:rPr>
        <w:t xml:space="preserve"> pojištění, k tomu viz podrobněji výše v odstavci „</w:t>
      </w:r>
      <w:r w:rsidRPr="00010794">
        <w:rPr>
          <w:rFonts w:cstheme="minorHAnsi"/>
          <w:i/>
          <w:sz w:val="18"/>
          <w:szCs w:val="18"/>
        </w:rPr>
        <w:t>Stav LP v ČR</w:t>
      </w:r>
      <w:r w:rsidRPr="00010794">
        <w:rPr>
          <w:rFonts w:cstheme="minorHAnsi"/>
          <w:i/>
          <w:sz w:val="18"/>
          <w:szCs w:val="18"/>
          <w:vertAlign w:val="superscript"/>
        </w:rPr>
        <w:t xml:space="preserve"> </w:t>
      </w:r>
      <w:r w:rsidRPr="00010794">
        <w:rPr>
          <w:rFonts w:cstheme="minorHAnsi"/>
          <w:i/>
          <w:sz w:val="18"/>
          <w:szCs w:val="18"/>
        </w:rPr>
        <w:t>k datu 16. 8. 2024</w:t>
      </w:r>
      <w:r w:rsidRPr="00010794">
        <w:rPr>
          <w:rFonts w:cstheme="minorHAnsi"/>
          <w:sz w:val="18"/>
          <w:szCs w:val="18"/>
        </w:rPr>
        <w:t xml:space="preserve">“! </w:t>
      </w:r>
    </w:p>
    <w:p w:rsidR="00033807" w:rsidRPr="00010794" w:rsidRDefault="00010794">
      <w:pPr>
        <w:spacing w:after="0"/>
        <w:jc w:val="both"/>
        <w:rPr>
          <w:rFonts w:cstheme="minorHAnsi"/>
          <w:sz w:val="18"/>
          <w:szCs w:val="18"/>
          <w:u w:val="single"/>
        </w:rPr>
      </w:pPr>
      <w:r w:rsidRPr="00010794">
        <w:rPr>
          <w:sz w:val="18"/>
          <w:szCs w:val="18"/>
        </w:rPr>
        <w:t>***</w:t>
      </w:r>
      <w:r>
        <w:rPr>
          <w:sz w:val="18"/>
          <w:szCs w:val="18"/>
        </w:rPr>
        <w:t xml:space="preserve"> </w:t>
      </w:r>
      <w:r w:rsidR="002728FC" w:rsidRPr="00010794">
        <w:rPr>
          <w:sz w:val="18"/>
          <w:szCs w:val="18"/>
        </w:rPr>
        <w:t>Dle údajů uvedených ve SŘ k LP KINPEYGO vyplývá, že prednisonem je v české klinické praxi léčeno jen 6 % pacientů (dle vyjádření ČNS), neboť vzhledem k toxicitě systémové léčby kortikosteroidy je před zahájením léčby prednisonem nezbytné posoudit, zda lze u konkrétního pacienta očekávat příznivý poměr riziko/benefit či nikoli - oproti léčbě prednisonem je preferována experimentální léčba (účast v klinické studii), jak vyplývá také z doporučení KDIGO 2021</w:t>
      </w:r>
      <w:r w:rsidR="002728FC" w:rsidRPr="00010794">
        <w:rPr>
          <w:sz w:val="18"/>
          <w:szCs w:val="18"/>
          <w:vertAlign w:val="superscript"/>
        </w:rPr>
        <w:t>28</w:t>
      </w:r>
      <w:r w:rsidR="002728FC" w:rsidRPr="00010794">
        <w:rPr>
          <w:sz w:val="18"/>
          <w:szCs w:val="18"/>
        </w:rPr>
        <w:t>.</w:t>
      </w:r>
    </w:p>
    <w:p w:rsidR="00033807" w:rsidRDefault="00C071AF">
      <w:pPr>
        <w:spacing w:after="0"/>
        <w:jc w:val="both"/>
        <w:rPr>
          <w:rFonts w:cstheme="minorHAnsi"/>
          <w:b/>
          <w:sz w:val="32"/>
          <w:szCs w:val="32"/>
          <w:u w:val="single"/>
        </w:rPr>
      </w:pPr>
      <w:r>
        <w:rPr>
          <w:noProof/>
          <w:lang w:eastAsia="cs-CZ"/>
        </w:rPr>
        <mc:AlternateContent>
          <mc:Choice Requires="wps">
            <w:drawing>
              <wp:anchor distT="19050" distB="19050" distL="19050" distR="19050" simplePos="0" relativeHeight="357" behindDoc="0" locked="0" layoutInCell="0" allowOverlap="1">
                <wp:simplePos x="0" y="0"/>
                <wp:positionH relativeFrom="margin">
                  <wp:posOffset>28144</wp:posOffset>
                </wp:positionH>
                <wp:positionV relativeFrom="paragraph">
                  <wp:posOffset>220669</wp:posOffset>
                </wp:positionV>
                <wp:extent cx="6869430" cy="9592574"/>
                <wp:effectExtent l="19050" t="19050" r="7620" b="8890"/>
                <wp:wrapNone/>
                <wp:docPr id="17" name="Rámec7"/>
                <wp:cNvGraphicFramePr/>
                <a:graphic xmlns:a="http://schemas.openxmlformats.org/drawingml/2006/main">
                  <a:graphicData uri="http://schemas.microsoft.com/office/word/2010/wordprocessingShape">
                    <wps:wsp>
                      <wps:cNvSpPr txBox="1"/>
                      <wps:spPr>
                        <a:xfrm>
                          <a:off x="0" y="0"/>
                          <a:ext cx="6869430" cy="9592574"/>
                        </a:xfrm>
                        <a:prstGeom prst="rect">
                          <a:avLst/>
                        </a:prstGeom>
                        <a:solidFill>
                          <a:srgbClr val="FFFFFF"/>
                        </a:solidFill>
                        <a:ln w="38100">
                          <a:solidFill>
                            <a:srgbClr val="000000"/>
                          </a:solidFill>
                        </a:ln>
                      </wps:spPr>
                      <wps:txbx>
                        <w:txbxContent>
                          <w:p w:rsidR="009C56BF" w:rsidRDefault="009C56BF">
                            <w:pPr>
                              <w:pStyle w:val="Obsahrmce"/>
                              <w:spacing w:after="0"/>
                              <w:jc w:val="both"/>
                              <w:rPr>
                                <w:b/>
                                <w:sz w:val="28"/>
                                <w:szCs w:val="28"/>
                                <w:u w:val="single"/>
                              </w:rPr>
                            </w:pPr>
                            <w:r>
                              <w:rPr>
                                <w:b/>
                                <w:color w:val="000000"/>
                                <w:sz w:val="28"/>
                                <w:szCs w:val="28"/>
                                <w:u w:val="single"/>
                              </w:rPr>
                              <w:t>Závěr:</w:t>
                            </w:r>
                          </w:p>
                          <w:p w:rsidR="009C56BF" w:rsidRPr="00CC4798" w:rsidRDefault="009C56BF" w:rsidP="00CC4798">
                            <w:pPr>
                              <w:spacing w:after="0"/>
                              <w:jc w:val="both"/>
                              <w:rPr>
                                <w:rFonts w:cstheme="minorHAnsi"/>
                                <w:b/>
                                <w:sz w:val="23"/>
                                <w:szCs w:val="23"/>
                              </w:rPr>
                            </w:pPr>
                            <w:r w:rsidRPr="00CC4798">
                              <w:rPr>
                                <w:rFonts w:cstheme="minorHAnsi"/>
                                <w:b/>
                                <w:sz w:val="23"/>
                                <w:szCs w:val="23"/>
                                <w:u w:val="single"/>
                              </w:rPr>
                              <w:t>Léčivý přípravek KINPEYGO 4mg cps dur mrl jsou perorální tvrdé tobolky s řízeným uvolňováním obsahující budesonid</w:t>
                            </w:r>
                            <w:r w:rsidRPr="00CC4798">
                              <w:rPr>
                                <w:rFonts w:cstheme="minorHAnsi"/>
                                <w:b/>
                                <w:sz w:val="23"/>
                                <w:szCs w:val="23"/>
                              </w:rPr>
                              <w:t>, které kombinují opožděný rozpad tobolky s prodlouženým uvolňováním léčivé látky budesonidu v ileu (viz podrobněji níže pozn. 13), místní farmakologický účinek se předpokládá cílením uvolňování budesonidu do ilea (viz Přílohu č. 1), kde se hustě vyskytují Peyerovy plaky (viz níže pozn. 18). Držitelem registrace je STADA.</w:t>
                            </w:r>
                            <w:r>
                              <w:rPr>
                                <w:rFonts w:cstheme="minorHAnsi"/>
                                <w:b/>
                                <w:sz w:val="23"/>
                                <w:szCs w:val="23"/>
                              </w:rPr>
                              <w:t xml:space="preserve"> </w:t>
                            </w:r>
                          </w:p>
                          <w:p w:rsidR="009C56BF" w:rsidRPr="00CC4798" w:rsidRDefault="009C56BF" w:rsidP="00CC4798">
                            <w:pPr>
                              <w:spacing w:after="0"/>
                              <w:jc w:val="both"/>
                              <w:rPr>
                                <w:rFonts w:cstheme="minorHAnsi"/>
                                <w:b/>
                                <w:sz w:val="23"/>
                                <w:szCs w:val="23"/>
                              </w:rPr>
                            </w:pPr>
                            <w:r w:rsidRPr="00CC4798">
                              <w:rPr>
                                <w:rFonts w:cstheme="minorHAnsi"/>
                                <w:b/>
                                <w:sz w:val="23"/>
                                <w:szCs w:val="23"/>
                                <w:u w:val="single"/>
                              </w:rPr>
                              <w:t>Indikací (platnou od 30. 7. 2024 - CAVE! viz níže pozn. 6!) dle SPC</w:t>
                            </w:r>
                            <w:r w:rsidRPr="00CC4798">
                              <w:rPr>
                                <w:rFonts w:cstheme="minorHAnsi"/>
                                <w:b/>
                                <w:sz w:val="23"/>
                                <w:szCs w:val="23"/>
                                <w:u w:val="single"/>
                                <w:vertAlign w:val="superscript"/>
                              </w:rPr>
                              <w:t>1</w:t>
                            </w:r>
                            <w:r w:rsidRPr="00CC4798">
                              <w:rPr>
                                <w:rFonts w:cstheme="minorHAnsi"/>
                                <w:b/>
                                <w:sz w:val="23"/>
                                <w:szCs w:val="23"/>
                                <w:u w:val="single"/>
                              </w:rPr>
                              <w:t xml:space="preserve"> je „</w:t>
                            </w:r>
                            <w:r w:rsidRPr="00CC4798">
                              <w:rPr>
                                <w:b/>
                                <w:i/>
                                <w:sz w:val="23"/>
                                <w:szCs w:val="23"/>
                                <w:u w:val="single"/>
                              </w:rPr>
                              <w:t>léčba dospělých s primární imunoglobulin A nefropatií</w:t>
                            </w:r>
                            <w:r w:rsidRPr="00CC4798">
                              <w:rPr>
                                <w:b/>
                                <w:i/>
                                <w:sz w:val="23"/>
                                <w:szCs w:val="23"/>
                              </w:rPr>
                              <w:t xml:space="preserve"> (IgAN</w:t>
                            </w:r>
                            <w:r w:rsidRPr="00CC4798">
                              <w:rPr>
                                <w:b/>
                                <w:sz w:val="23"/>
                                <w:szCs w:val="23"/>
                              </w:rPr>
                              <w:t xml:space="preserve"> </w:t>
                            </w:r>
                            <w:r w:rsidRPr="00CC4798">
                              <w:rPr>
                                <w:rFonts w:cstheme="minorHAnsi"/>
                                <w:b/>
                                <w:i/>
                                <w:sz w:val="23"/>
                                <w:szCs w:val="23"/>
                              </w:rPr>
                              <w:t xml:space="preserve">- </w:t>
                            </w:r>
                            <w:r w:rsidRPr="00CC4798">
                              <w:rPr>
                                <w:rFonts w:cstheme="minorHAnsi"/>
                                <w:b/>
                                <w:sz w:val="23"/>
                                <w:szCs w:val="23"/>
                              </w:rPr>
                              <w:t>pozn. autora této FE analýzy: viz podrobněji níže také pozn. 24</w:t>
                            </w:r>
                            <w:r w:rsidRPr="00CC4798">
                              <w:rPr>
                                <w:b/>
                                <w:sz w:val="23"/>
                                <w:szCs w:val="23"/>
                              </w:rPr>
                              <w:t xml:space="preserve">) </w:t>
                            </w:r>
                            <w:r w:rsidRPr="00CC4798">
                              <w:rPr>
                                <w:b/>
                                <w:i/>
                                <w:sz w:val="23"/>
                                <w:szCs w:val="23"/>
                                <w:u w:val="single"/>
                              </w:rPr>
                              <w:t>s exkrecí proteinu ≥ 1,0 g/den (nebo poměrem proteinu a kreatininu v moči ≥ 0,8 g/g</w:t>
                            </w:r>
                            <w:r w:rsidRPr="00CC4798">
                              <w:rPr>
                                <w:b/>
                                <w:i/>
                                <w:sz w:val="23"/>
                                <w:szCs w:val="23"/>
                              </w:rPr>
                              <w:t xml:space="preserve"> - </w:t>
                            </w:r>
                            <w:r w:rsidRPr="00CC4798">
                              <w:rPr>
                                <w:rFonts w:cstheme="minorHAnsi"/>
                                <w:b/>
                                <w:sz w:val="23"/>
                                <w:szCs w:val="23"/>
                              </w:rPr>
                              <w:t>pozn. autora této FE analýzy: viz podrobněji níže pozn. 9, 10 a 54</w:t>
                            </w:r>
                            <w:r w:rsidRPr="00CC4798">
                              <w:rPr>
                                <w:b/>
                                <w:sz w:val="23"/>
                                <w:szCs w:val="23"/>
                              </w:rPr>
                              <w:t>)“.</w:t>
                            </w:r>
                            <w:r w:rsidRPr="00CC4798">
                              <w:rPr>
                                <w:rFonts w:cstheme="minorHAnsi"/>
                                <w:b/>
                                <w:sz w:val="23"/>
                                <w:szCs w:val="23"/>
                              </w:rPr>
                              <w:t xml:space="preserve"> </w:t>
                            </w:r>
                            <w:r w:rsidRPr="00BA6134">
                              <w:rPr>
                                <w:rFonts w:cstheme="minorHAnsi"/>
                                <w:b/>
                                <w:sz w:val="23"/>
                                <w:szCs w:val="23"/>
                                <w:u w:val="single"/>
                              </w:rPr>
                              <w:t>Doporučená dávka LP je 16 mg 1x denně ráno</w:t>
                            </w:r>
                            <w:r w:rsidRPr="00CC4798">
                              <w:rPr>
                                <w:rFonts w:cstheme="minorHAnsi"/>
                                <w:b/>
                                <w:sz w:val="23"/>
                                <w:szCs w:val="23"/>
                              </w:rPr>
                              <w:t xml:space="preserve">, nejméně jednu hodinu před jídlem (polykají se celé), </w:t>
                            </w:r>
                            <w:r w:rsidRPr="00BA6134">
                              <w:rPr>
                                <w:rFonts w:cstheme="minorHAnsi"/>
                                <w:b/>
                                <w:sz w:val="23"/>
                                <w:szCs w:val="23"/>
                                <w:u w:val="single"/>
                              </w:rPr>
                              <w:t>po počáteční dobu 9 měsíců</w:t>
                            </w:r>
                            <w:r w:rsidRPr="00CC4798">
                              <w:rPr>
                                <w:rFonts w:cstheme="minorHAnsi"/>
                                <w:b/>
                                <w:sz w:val="23"/>
                                <w:szCs w:val="23"/>
                              </w:rPr>
                              <w:t>. Pokud má být léčba přerušena, měla by být dávka snížena na 8 mg 1x denně po dobu 2 týdnů léčby. Dle uvážení ošetřujícího lékaře může být dávka snížena na 4 mg 1x denně po dobu dalších 2 týdnů. Opakovanou léčbu lze zvážit dle posouzení ošetřujícího lékaře - bezpečnost a účinnost léčby v následných cyklech nebyla u LP stanovena</w:t>
                            </w:r>
                            <w:r w:rsidRPr="00CC4798">
                              <w:rPr>
                                <w:rFonts w:cstheme="minorHAnsi"/>
                                <w:b/>
                                <w:sz w:val="23"/>
                                <w:szCs w:val="23"/>
                                <w:vertAlign w:val="superscript"/>
                              </w:rPr>
                              <w:t>2</w:t>
                            </w:r>
                            <w:r w:rsidRPr="00CC4798">
                              <w:rPr>
                                <w:rFonts w:cstheme="minorHAnsi"/>
                                <w:b/>
                                <w:sz w:val="23"/>
                                <w:szCs w:val="23"/>
                              </w:rPr>
                              <w:t>.</w:t>
                            </w:r>
                          </w:p>
                          <w:p w:rsidR="009C56BF" w:rsidRPr="00CC4798" w:rsidRDefault="009C56BF" w:rsidP="00CC4798">
                            <w:pPr>
                              <w:spacing w:after="0"/>
                              <w:jc w:val="both"/>
                              <w:rPr>
                                <w:rFonts w:cstheme="minorHAnsi"/>
                                <w:b/>
                                <w:sz w:val="23"/>
                                <w:szCs w:val="23"/>
                              </w:rPr>
                            </w:pPr>
                            <w:r w:rsidRPr="00CC4798">
                              <w:rPr>
                                <w:rFonts w:cstheme="minorHAnsi"/>
                                <w:b/>
                                <w:sz w:val="23"/>
                                <w:szCs w:val="23"/>
                              </w:rPr>
                              <w:t>LP KINPEYGO byl registrován</w:t>
                            </w:r>
                            <w:r w:rsidRPr="00CC4798">
                              <w:rPr>
                                <w:rFonts w:cstheme="minorHAnsi"/>
                                <w:b/>
                                <w:sz w:val="23"/>
                                <w:szCs w:val="23"/>
                                <w:vertAlign w:val="superscript"/>
                              </w:rPr>
                              <w:t xml:space="preserve">1 </w:t>
                            </w:r>
                            <w:r w:rsidRPr="00CC4798">
                              <w:rPr>
                                <w:rFonts w:cstheme="minorHAnsi"/>
                                <w:b/>
                                <w:sz w:val="23"/>
                                <w:szCs w:val="23"/>
                              </w:rPr>
                              <w:t xml:space="preserve">(centralizovaným postupem EMA pro EU) dne 15. 7. 2022 jako lék pro vzácná onemocnění (tzv. „orphan“ – viz níže podrobněji pozn. 11) a získal původně podmíněnou registraci, </w:t>
                            </w:r>
                            <w:r w:rsidRPr="00BA6134">
                              <w:rPr>
                                <w:b/>
                                <w:sz w:val="23"/>
                                <w:szCs w:val="23"/>
                                <w:u w:val="single"/>
                              </w:rPr>
                              <w:t xml:space="preserve">od 30. 7. 2024 má ale LP již standardní (řádnou, resp. trvalou) registraci, v </w:t>
                            </w:r>
                            <w:proofErr w:type="gramStart"/>
                            <w:r w:rsidRPr="00BA6134">
                              <w:rPr>
                                <w:b/>
                                <w:sz w:val="23"/>
                                <w:szCs w:val="23"/>
                                <w:u w:val="single"/>
                              </w:rPr>
                              <w:t>rámci</w:t>
                            </w:r>
                            <w:proofErr w:type="gramEnd"/>
                            <w:r w:rsidRPr="00BA6134">
                              <w:rPr>
                                <w:b/>
                                <w:sz w:val="23"/>
                                <w:szCs w:val="23"/>
                                <w:u w:val="single"/>
                              </w:rPr>
                              <w:t xml:space="preserve"> které došlo i k rozšíření terapeutické indikace přípravku KINPEYGO</w:t>
                            </w:r>
                            <w:r w:rsidRPr="00BA6134">
                              <w:rPr>
                                <w:rFonts w:cstheme="minorHAnsi"/>
                                <w:b/>
                                <w:sz w:val="23"/>
                                <w:szCs w:val="23"/>
                                <w:u w:val="single"/>
                              </w:rPr>
                              <w:t xml:space="preserve"> - CAVE! viz podrobněji níže pozn. 6</w:t>
                            </w:r>
                            <w:r w:rsidRPr="00CC4798">
                              <w:rPr>
                                <w:rFonts w:cstheme="minorHAnsi"/>
                                <w:b/>
                                <w:sz w:val="23"/>
                                <w:szCs w:val="23"/>
                              </w:rPr>
                              <w:t>!  LP KINPEYGO je tzv. „hybridní lék“, tj. podobá se „referenčnímu léčivému přípravku“ obsahujícímu stejnou účinnou látku (tj. budesonid), ale používá se na jiné onemocnění a podává se jiným způsobem</w:t>
                            </w:r>
                            <w:r w:rsidRPr="00CC4798">
                              <w:rPr>
                                <w:rFonts w:cstheme="minorHAnsi"/>
                                <w:b/>
                                <w:sz w:val="23"/>
                                <w:szCs w:val="23"/>
                                <w:vertAlign w:val="superscript"/>
                              </w:rPr>
                              <w:t>1</w:t>
                            </w:r>
                            <w:r w:rsidRPr="00CC4798">
                              <w:rPr>
                                <w:rFonts w:cstheme="minorHAnsi"/>
                                <w:b/>
                                <w:sz w:val="23"/>
                                <w:szCs w:val="23"/>
                              </w:rPr>
                              <w:t xml:space="preserve"> - viz podrobněji Přílohu č. 1. Referenčním lékem pro LP Kinpeygo je Entocort</w:t>
                            </w:r>
                            <w:r w:rsidRPr="00CC4798">
                              <w:rPr>
                                <w:rFonts w:cstheme="minorHAnsi"/>
                                <w:b/>
                                <w:sz w:val="23"/>
                                <w:szCs w:val="23"/>
                                <w:vertAlign w:val="superscript"/>
                              </w:rPr>
                              <w:t>1</w:t>
                            </w:r>
                            <w:r w:rsidRPr="00CC4798">
                              <w:rPr>
                                <w:rFonts w:cstheme="minorHAnsi"/>
                                <w:b/>
                                <w:sz w:val="23"/>
                                <w:szCs w:val="23"/>
                              </w:rPr>
                              <w:t>.</w:t>
                            </w:r>
                          </w:p>
                          <w:p w:rsidR="009C56BF" w:rsidRPr="00CC4798" w:rsidRDefault="009C56BF" w:rsidP="00CC4798">
                            <w:pPr>
                              <w:spacing w:after="0"/>
                              <w:jc w:val="both"/>
                              <w:rPr>
                                <w:rFonts w:cstheme="minorHAnsi"/>
                                <w:b/>
                                <w:sz w:val="23"/>
                                <w:szCs w:val="23"/>
                              </w:rPr>
                            </w:pPr>
                            <w:r w:rsidRPr="00BA6134">
                              <w:rPr>
                                <w:rFonts w:cstheme="minorHAnsi"/>
                                <w:b/>
                                <w:sz w:val="23"/>
                                <w:szCs w:val="23"/>
                                <w:highlight w:val="cyan"/>
                                <w:u w:val="single"/>
                              </w:rPr>
                              <w:t>K datu 16. 8. 2024 nemá LP KINPEYGO úhradu ze zdravotního pojištění</w:t>
                            </w:r>
                            <w:r w:rsidRPr="00CC4798">
                              <w:rPr>
                                <w:rFonts w:cstheme="minorHAnsi"/>
                                <w:b/>
                                <w:sz w:val="23"/>
                                <w:szCs w:val="23"/>
                              </w:rPr>
                              <w:t>. Dne 28. 7. 2023 bylo SUKLem zahájeno správní řízení o stanovení maximální ceny a výše a podmínek úhrady léčivého přípravku KINPEYGO určeného k léčbě vzácných onemocnění (dále jen „LPVO“) pod sp. zn. SUKLS181711/2023</w:t>
                            </w:r>
                            <w:r w:rsidRPr="00CC4798">
                              <w:rPr>
                                <w:rFonts w:cstheme="minorHAnsi"/>
                                <w:b/>
                                <w:sz w:val="23"/>
                                <w:szCs w:val="23"/>
                                <w:vertAlign w:val="superscript"/>
                              </w:rPr>
                              <w:t>5</w:t>
                            </w:r>
                            <w:r w:rsidRPr="00CC4798">
                              <w:rPr>
                                <w:rFonts w:cstheme="minorHAnsi"/>
                                <w:b/>
                                <w:sz w:val="23"/>
                                <w:szCs w:val="23"/>
                              </w:rPr>
                              <w:t>. Dne 15. 3. 2024 obdržel SUKL podání účastníka VZP, který potvrdil, že se žadatelem uzavřel smluvní ujednání snižující náklady na léčbu LP KINPEYGO. Dne 9. 4. 2024 SUKL předal Ministerstvu zdravotnictví ČR (dále jen „MZ“) upravenou hodnotící zprávu</w:t>
                            </w:r>
                            <w:r w:rsidRPr="00CC4798">
                              <w:rPr>
                                <w:rFonts w:cstheme="minorHAnsi"/>
                                <w:b/>
                                <w:sz w:val="23"/>
                                <w:szCs w:val="23"/>
                                <w:vertAlign w:val="superscript"/>
                              </w:rPr>
                              <w:t>28</w:t>
                            </w:r>
                            <w:r w:rsidRPr="00CC4798">
                              <w:rPr>
                                <w:rFonts w:cstheme="minorHAnsi"/>
                                <w:b/>
                                <w:sz w:val="23"/>
                                <w:szCs w:val="23"/>
                              </w:rPr>
                              <w:t xml:space="preserve"> a další podklady k vydání závazného stanoviska postupem dle ustanovení § 39da odst. 5 zákona o veřejném zdravotním pojištění (nutné u LPVO!). Dne 20. 6. 2024 vydalo MZ závazné stanovisko</w:t>
                            </w:r>
                            <w:r w:rsidRPr="00CC4798">
                              <w:rPr>
                                <w:rFonts w:cstheme="minorHAnsi"/>
                                <w:b/>
                                <w:sz w:val="23"/>
                                <w:szCs w:val="23"/>
                                <w:vertAlign w:val="superscript"/>
                              </w:rPr>
                              <w:t>138</w:t>
                            </w:r>
                            <w:r w:rsidRPr="00CC4798">
                              <w:rPr>
                                <w:rFonts w:cstheme="minorHAnsi"/>
                                <w:b/>
                                <w:sz w:val="23"/>
                                <w:szCs w:val="23"/>
                              </w:rPr>
                              <w:t xml:space="preserve">, kterým vyslovilo nesouhlas se stanovením úhrady předmětnému léčivému přípravku z prostředků zdravotního pojištění. Dne 10. 7. 2024 obdržel SUKL podání účastníka STADA, který uvádí, že nesouhlasí se závazným stanoviskem a považuje jej za nezákonné. Žadatel namítá, že odchýlení se od závěru poradního orgánu je možné pouze v případě neakceptovatelného dopadu do rozpočtu. Neakceptovatelný dopad do rozpočtu přitom nebyl v závazném stanovisku tvrzen ani prokázán. MZ v závazném stanovisku jako důvod odchýlení se od závěru poradního orgánu uvádí několik (dle názoru žadatele nesprávných a nezákonných) argumentů. Ani jeden z nich se však netýká neakceptovatelnosti dopadu do rozpočtu. </w:t>
                            </w:r>
                            <w:r w:rsidRPr="00CC4798">
                              <w:rPr>
                                <w:rFonts w:cstheme="minorHAnsi"/>
                                <w:b/>
                                <w:sz w:val="23"/>
                                <w:szCs w:val="23"/>
                                <w:highlight w:val="cyan"/>
                              </w:rPr>
                              <w:t>Dne 17. 7. 2024 SUKL obdržel podání žadatele (tj. STADA) obsahující podnět na přezkum</w:t>
                            </w:r>
                            <w:r w:rsidRPr="00CC4798">
                              <w:rPr>
                                <w:rFonts w:cstheme="minorHAnsi"/>
                                <w:b/>
                                <w:sz w:val="23"/>
                                <w:szCs w:val="23"/>
                                <w:highlight w:val="cyan"/>
                                <w:vertAlign w:val="superscript"/>
                              </w:rPr>
                              <w:t>139</w:t>
                            </w:r>
                            <w:r w:rsidRPr="00CC4798">
                              <w:rPr>
                                <w:rFonts w:cstheme="minorHAnsi"/>
                                <w:b/>
                                <w:sz w:val="23"/>
                                <w:szCs w:val="23"/>
                                <w:highlight w:val="cyan"/>
                              </w:rPr>
                              <w:t xml:space="preserve"> závazného stanoviska MZ (v něm žadatel žádá o nápravu uvedených vad závazného stanoviska a vydání souhlasného stanoviska podle § 39da odst. 6 písm. a) dle závěrů Upravené hodnotící zprávy SUKLu, v případě, že nebudou vytýkané vady závazného stanoviska napraveny prostřednictvím přezkumného řízení, STADA uvádí, že řízení by muselo skončit negativním rozhodnutím SUKLu, proti kterému by se musel žadatel odvolat a pokusit se docílit nápravy vadného postupu a stanovení úhrady touto cestou - v obou případech (tj. odvolání i podání nové žádosti) dojde, dle STADy, ke zpoždění přístupu pacientů k léčbě o několik, resp. 6 (viz § 39da odst. 9) a více měsíců) - podnět byl adresován rovněž MZ.</w:t>
                            </w:r>
                            <w:r w:rsidRPr="00CC4798">
                              <w:rPr>
                                <w:rFonts w:cstheme="minorHAnsi"/>
                                <w:b/>
                                <w:sz w:val="23"/>
                                <w:szCs w:val="23"/>
                              </w:rPr>
                              <w:t xml:space="preserve"> Dne 25. 7. 2024 obdržel SUKL podání účastníka STADA, který žádá o vydání meritorního rozhodnutí v předmětném správním řízení – dne 8. 8. 2024 bylo tedy vydáno </w:t>
                            </w:r>
                            <w:r w:rsidRPr="00CC4798">
                              <w:rPr>
                                <w:b/>
                                <w:color w:val="000000"/>
                                <w:sz w:val="23"/>
                                <w:szCs w:val="23"/>
                              </w:rPr>
                              <w:t>Rozhodnutí SUKLu o nepřiznání úhrady LP KINPEYGO ze zdravotního pojištění</w:t>
                            </w:r>
                            <w:r w:rsidRPr="00CC4798">
                              <w:rPr>
                                <w:b/>
                                <w:color w:val="000000"/>
                                <w:sz w:val="23"/>
                                <w:szCs w:val="23"/>
                                <w:vertAlign w:val="superscript"/>
                              </w:rPr>
                              <w:t>137</w:t>
                            </w:r>
                            <w:r w:rsidRPr="00CC4798">
                              <w:rPr>
                                <w:b/>
                                <w:color w:val="000000"/>
                                <w:sz w:val="23"/>
                                <w:szCs w:val="23"/>
                              </w:rPr>
                              <w:t xml:space="preserve">. </w:t>
                            </w:r>
                            <w:r w:rsidRPr="00BA6134">
                              <w:rPr>
                                <w:b/>
                                <w:sz w:val="23"/>
                                <w:szCs w:val="23"/>
                                <w:highlight w:val="cyan"/>
                                <w:u w:val="single"/>
                              </w:rPr>
                              <w:t>Tzn. aktuálně by byla u LP požadována mimořádná úhrada ze zdravotního pojištění dle ustanovení § 16 zákona č. 48/1997 Sb. o veřejném zdravotním pojištění. Lze také velmi pravděpodobně očekávat</w:t>
                            </w:r>
                            <w:r w:rsidRPr="00CC4798">
                              <w:rPr>
                                <w:b/>
                                <w:sz w:val="23"/>
                                <w:szCs w:val="23"/>
                                <w:highlight w:val="cyan"/>
                              </w:rPr>
                              <w:t xml:space="preserve"> (i k vzhledem k nově schváleným indikačním podmínkám platným od 30. 7. 2024 – viz výše odstavec „</w:t>
                            </w:r>
                            <w:r w:rsidRPr="00CC4798">
                              <w:rPr>
                                <w:b/>
                                <w:i/>
                                <w:sz w:val="23"/>
                                <w:szCs w:val="23"/>
                                <w:highlight w:val="cyan"/>
                              </w:rPr>
                              <w:t>Indikace dle SPC</w:t>
                            </w:r>
                            <w:r w:rsidRPr="00CC4798">
                              <w:rPr>
                                <w:b/>
                                <w:sz w:val="23"/>
                                <w:szCs w:val="23"/>
                                <w:highlight w:val="cyan"/>
                              </w:rPr>
                              <w:t xml:space="preserve">“), </w:t>
                            </w:r>
                            <w:r w:rsidRPr="00BA6134">
                              <w:rPr>
                                <w:b/>
                                <w:sz w:val="23"/>
                                <w:szCs w:val="23"/>
                                <w:highlight w:val="cyan"/>
                                <w:u w:val="single"/>
                              </w:rPr>
                              <w:t>že STADA podá novou žádost o úhradě s rozšířeným spektrem pacientů v podmínkách úhrady</w:t>
                            </w:r>
                            <w:r w:rsidRPr="00CC4798">
                              <w:rPr>
                                <w:b/>
                                <w:sz w:val="23"/>
                                <w:szCs w:val="23"/>
                                <w:highlight w:val="cyan"/>
                              </w:rPr>
                              <w:t>!</w:t>
                            </w:r>
                          </w:p>
                          <w:p w:rsidR="009C56BF" w:rsidRDefault="009C56BF" w:rsidP="00CC4798">
                            <w:pPr>
                              <w:pStyle w:val="Obsahrmce"/>
                              <w:spacing w:after="0"/>
                              <w:jc w:val="both"/>
                              <w:rPr>
                                <w:rFonts w:cstheme="minorHAnsi"/>
                                <w:sz w:val="16"/>
                                <w:szCs w:val="16"/>
                              </w:rPr>
                            </w:pPr>
                          </w:p>
                          <w:p w:rsidR="009C56BF" w:rsidRPr="00CC4798" w:rsidRDefault="009C56BF" w:rsidP="00CC4798">
                            <w:pPr>
                              <w:spacing w:after="0"/>
                              <w:jc w:val="both"/>
                              <w:rPr>
                                <w:rFonts w:cstheme="minorHAnsi"/>
                                <w:b/>
                                <w:sz w:val="23"/>
                                <w:szCs w:val="23"/>
                              </w:rPr>
                            </w:pPr>
                          </w:p>
                          <w:p w:rsidR="009C56BF" w:rsidRPr="00CC4798" w:rsidRDefault="009C56BF">
                            <w:pPr>
                              <w:pStyle w:val="Obsahrmce"/>
                              <w:spacing w:after="0"/>
                              <w:jc w:val="both"/>
                              <w:rPr>
                                <w:b/>
                                <w:sz w:val="23"/>
                                <w:szCs w:val="23"/>
                              </w:rPr>
                            </w:pPr>
                          </w:p>
                          <w:p w:rsidR="009C56BF" w:rsidRPr="00CC4798" w:rsidRDefault="009C56BF">
                            <w:pPr>
                              <w:pStyle w:val="Obsahrmce"/>
                              <w:spacing w:after="0"/>
                              <w:jc w:val="both"/>
                              <w:rPr>
                                <w:b/>
                                <w:sz w:val="23"/>
                                <w:szCs w:val="23"/>
                              </w:rPr>
                            </w:pPr>
                          </w:p>
                          <w:p w:rsidR="009C56BF" w:rsidRDefault="009C56BF">
                            <w:pPr>
                              <w:pStyle w:val="Obsahrmce"/>
                              <w:spacing w:after="0"/>
                              <w:jc w:val="both"/>
                              <w:rPr>
                                <w:b/>
                                <w:sz w:val="23"/>
                                <w:szCs w:val="23"/>
                              </w:rPr>
                            </w:pPr>
                          </w:p>
                        </w:txbxContent>
                      </wps:txbx>
                      <wps:bodyPr lIns="91440" tIns="45720" rIns="91440" bIns="45720" anchor="t">
                        <a:noAutofit/>
                      </wps:bodyPr>
                    </wps:wsp>
                  </a:graphicData>
                </a:graphic>
                <wp14:sizeRelV relativeFrom="margin">
                  <wp14:pctHeight>0</wp14:pctHeight>
                </wp14:sizeRelV>
              </wp:anchor>
            </w:drawing>
          </mc:Choice>
          <mc:Fallback>
            <w:pict>
              <v:shape id="Rámec7" o:spid="_x0000_s1032" type="#_x0000_t202" style="position:absolute;left:0;text-align:left;margin-left:2.2pt;margin-top:17.4pt;width:540.9pt;height:755.3pt;z-index:357;visibility:visible;mso-wrap-style:square;mso-height-percent:0;mso-wrap-distance-left:1.5pt;mso-wrap-distance-top:1.5pt;mso-wrap-distance-right:1.5pt;mso-wrap-distance-bottom:1.5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" o:allowincell="f" strokeweight="3pt">
                <v:textbox>
                  <w:txbxContent>
                    <w:p w:rsidR="009C56BF" w:rsidRDefault="009C56BF">
                      <w:pPr>
                        <w:pStyle w:val="Obsahrmce"/>
                        <w:spacing w:after="0"/>
                        <w:jc w:val="both"/>
                        <w:rPr>
                          <w:b/>
                          <w:sz w:val="28"/>
                          <w:szCs w:val="28"/>
                          <w:u w:val="single"/>
                        </w:rPr>
                      </w:pPr>
                      <w:r>
                        <w:rPr>
                          <w:b/>
                          <w:color w:val="000000"/>
                          <w:sz w:val="28"/>
                          <w:szCs w:val="28"/>
                          <w:u w:val="single"/>
                        </w:rPr>
                        <w:t>Závěr:</w:t>
                      </w:r>
                    </w:p>
                    <w:p w:rsidR="009C56BF" w:rsidRPr="00CC4798" w:rsidRDefault="009C56BF" w:rsidP="00CC4798">
                      <w:pPr>
                        <w:spacing w:after="0"/>
                        <w:jc w:val="both"/>
                        <w:rPr>
                          <w:rFonts w:cstheme="minorHAnsi"/>
                          <w:b/>
                          <w:sz w:val="23"/>
                          <w:szCs w:val="23"/>
                        </w:rPr>
                      </w:pPr>
                      <w:r w:rsidRPr="00CC4798">
                        <w:rPr>
                          <w:rFonts w:cstheme="minorHAnsi"/>
                          <w:b/>
                          <w:sz w:val="23"/>
                          <w:szCs w:val="23"/>
                          <w:u w:val="single"/>
                        </w:rPr>
                        <w:t>Léčivý přípravek KINPEYGO 4mg cps dur mrl jsou perorální tvrdé tobolky s řízeným uvolňováním obsahující budesonid</w:t>
                      </w:r>
                      <w:r w:rsidRPr="00CC4798">
                        <w:rPr>
                          <w:rFonts w:cstheme="minorHAnsi"/>
                          <w:b/>
                          <w:sz w:val="23"/>
                          <w:szCs w:val="23"/>
                        </w:rPr>
                        <w:t>, které kombinují opožděný rozpad tobolky s prodlouženým uvolňováním léčivé látky budesonidu v ileu (viz podrobněji níže pozn. 13), místní farmakologický účinek se předpokládá cílením uvolňování budesonidu do ilea (viz Přílohu č. 1), kde se hustě vyskytují Peyerovy plaky (viz níže pozn. 18). Držitelem registrace je STADA.</w:t>
                      </w:r>
                      <w:r>
                        <w:rPr>
                          <w:rFonts w:cstheme="minorHAnsi"/>
                          <w:b/>
                          <w:sz w:val="23"/>
                          <w:szCs w:val="23"/>
                        </w:rPr>
                        <w:t xml:space="preserve"> </w:t>
                      </w:r>
                    </w:p>
                    <w:p w:rsidR="009C56BF" w:rsidRPr="00CC4798" w:rsidRDefault="009C56BF" w:rsidP="00CC4798">
                      <w:pPr>
                        <w:spacing w:after="0"/>
                        <w:jc w:val="both"/>
                        <w:rPr>
                          <w:rFonts w:cstheme="minorHAnsi"/>
                          <w:b/>
                          <w:sz w:val="23"/>
                          <w:szCs w:val="23"/>
                        </w:rPr>
                      </w:pPr>
                      <w:r w:rsidRPr="00CC4798">
                        <w:rPr>
                          <w:rFonts w:cstheme="minorHAnsi"/>
                          <w:b/>
                          <w:sz w:val="23"/>
                          <w:szCs w:val="23"/>
                          <w:u w:val="single"/>
                        </w:rPr>
                        <w:t>Indikací (platnou od 30. 7. 2024 - CAVE! viz níže pozn. 6!) dle SPC</w:t>
                      </w:r>
                      <w:r w:rsidRPr="00CC4798">
                        <w:rPr>
                          <w:rFonts w:cstheme="minorHAnsi"/>
                          <w:b/>
                          <w:sz w:val="23"/>
                          <w:szCs w:val="23"/>
                          <w:u w:val="single"/>
                          <w:vertAlign w:val="superscript"/>
                        </w:rPr>
                        <w:t>1</w:t>
                      </w:r>
                      <w:r w:rsidRPr="00CC4798">
                        <w:rPr>
                          <w:rFonts w:cstheme="minorHAnsi"/>
                          <w:b/>
                          <w:sz w:val="23"/>
                          <w:szCs w:val="23"/>
                          <w:u w:val="single"/>
                        </w:rPr>
                        <w:t xml:space="preserve"> je „</w:t>
                      </w:r>
                      <w:r w:rsidRPr="00CC4798">
                        <w:rPr>
                          <w:b/>
                          <w:i/>
                          <w:sz w:val="23"/>
                          <w:szCs w:val="23"/>
                          <w:u w:val="single"/>
                        </w:rPr>
                        <w:t>léčba dospělých s primární imunoglobulin A nefropatií</w:t>
                      </w:r>
                      <w:r w:rsidRPr="00CC4798">
                        <w:rPr>
                          <w:b/>
                          <w:i/>
                          <w:sz w:val="23"/>
                          <w:szCs w:val="23"/>
                        </w:rPr>
                        <w:t xml:space="preserve"> (IgAN</w:t>
                      </w:r>
                      <w:r w:rsidRPr="00CC4798">
                        <w:rPr>
                          <w:b/>
                          <w:sz w:val="23"/>
                          <w:szCs w:val="23"/>
                        </w:rPr>
                        <w:t xml:space="preserve"> </w:t>
                      </w:r>
                      <w:r w:rsidRPr="00CC4798">
                        <w:rPr>
                          <w:rFonts w:cstheme="minorHAnsi"/>
                          <w:b/>
                          <w:i/>
                          <w:sz w:val="23"/>
                          <w:szCs w:val="23"/>
                        </w:rPr>
                        <w:t xml:space="preserve">- </w:t>
                      </w:r>
                      <w:r w:rsidRPr="00CC4798">
                        <w:rPr>
                          <w:rFonts w:cstheme="minorHAnsi"/>
                          <w:b/>
                          <w:sz w:val="23"/>
                          <w:szCs w:val="23"/>
                        </w:rPr>
                        <w:t>pozn. autora této FE analýzy: viz podrobněji níže také pozn. 24</w:t>
                      </w:r>
                      <w:r w:rsidRPr="00CC4798">
                        <w:rPr>
                          <w:b/>
                          <w:sz w:val="23"/>
                          <w:szCs w:val="23"/>
                        </w:rPr>
                        <w:t xml:space="preserve">) </w:t>
                      </w:r>
                      <w:r w:rsidRPr="00CC4798">
                        <w:rPr>
                          <w:b/>
                          <w:i/>
                          <w:sz w:val="23"/>
                          <w:szCs w:val="23"/>
                          <w:u w:val="single"/>
                        </w:rPr>
                        <w:t>s exkrecí proteinu ≥ 1,0 g/den (nebo poměrem proteinu a kreatininu v moči ≥ 0,8 g/g</w:t>
                      </w:r>
                      <w:r w:rsidRPr="00CC4798">
                        <w:rPr>
                          <w:b/>
                          <w:i/>
                          <w:sz w:val="23"/>
                          <w:szCs w:val="23"/>
                        </w:rPr>
                        <w:t xml:space="preserve"> - </w:t>
                      </w:r>
                      <w:r w:rsidRPr="00CC4798">
                        <w:rPr>
                          <w:rFonts w:cstheme="minorHAnsi"/>
                          <w:b/>
                          <w:sz w:val="23"/>
                          <w:szCs w:val="23"/>
                        </w:rPr>
                        <w:t>pozn. autora této FE analýzy: viz podrobněji níže pozn. 9, 10 a 54</w:t>
                      </w:r>
                      <w:r w:rsidRPr="00CC4798">
                        <w:rPr>
                          <w:b/>
                          <w:sz w:val="23"/>
                          <w:szCs w:val="23"/>
                        </w:rPr>
                        <w:t>)“.</w:t>
                      </w:r>
                      <w:r w:rsidRPr="00CC4798">
                        <w:rPr>
                          <w:rFonts w:cstheme="minorHAnsi"/>
                          <w:b/>
                          <w:sz w:val="23"/>
                          <w:szCs w:val="23"/>
                        </w:rPr>
                        <w:t xml:space="preserve"> </w:t>
                      </w:r>
                      <w:r w:rsidRPr="00BA6134">
                        <w:rPr>
                          <w:rFonts w:cstheme="minorHAnsi"/>
                          <w:b/>
                          <w:sz w:val="23"/>
                          <w:szCs w:val="23"/>
                          <w:u w:val="single"/>
                        </w:rPr>
                        <w:t>Doporučená dávka LP je 16 mg 1x denně ráno</w:t>
                      </w:r>
                      <w:r w:rsidRPr="00CC4798">
                        <w:rPr>
                          <w:rFonts w:cstheme="minorHAnsi"/>
                          <w:b/>
                          <w:sz w:val="23"/>
                          <w:szCs w:val="23"/>
                        </w:rPr>
                        <w:t xml:space="preserve">, nejméně jednu hodinu před jídlem (polykají se celé), </w:t>
                      </w:r>
                      <w:r w:rsidRPr="00BA6134">
                        <w:rPr>
                          <w:rFonts w:cstheme="minorHAnsi"/>
                          <w:b/>
                          <w:sz w:val="23"/>
                          <w:szCs w:val="23"/>
                          <w:u w:val="single"/>
                        </w:rPr>
                        <w:t>po počáteční dobu 9 měsíců</w:t>
                      </w:r>
                      <w:r w:rsidRPr="00CC4798">
                        <w:rPr>
                          <w:rFonts w:cstheme="minorHAnsi"/>
                          <w:b/>
                          <w:sz w:val="23"/>
                          <w:szCs w:val="23"/>
                        </w:rPr>
                        <w:t>. Pokud má být léčba přerušena, měla by být dávka snížena na 8 mg 1x denně po dobu 2 týdnů léčby. Dle uvážení ošetřujícího lékaře může být dávka snížena na 4 mg 1x denně po dobu dalších 2 týdnů. Opakovanou léčbu lze zvážit dle posouzení ošetřujícího lékaře - bezpečnost a účinnost léčby v následných cyklech nebyla u LP stanovena</w:t>
                      </w:r>
                      <w:r w:rsidRPr="00CC4798">
                        <w:rPr>
                          <w:rFonts w:cstheme="minorHAnsi"/>
                          <w:b/>
                          <w:sz w:val="23"/>
                          <w:szCs w:val="23"/>
                          <w:vertAlign w:val="superscript"/>
                        </w:rPr>
                        <w:t>2</w:t>
                      </w:r>
                      <w:r w:rsidRPr="00CC4798">
                        <w:rPr>
                          <w:rFonts w:cstheme="minorHAnsi"/>
                          <w:b/>
                          <w:sz w:val="23"/>
                          <w:szCs w:val="23"/>
                        </w:rPr>
                        <w:t>.</w:t>
                      </w:r>
                    </w:p>
                    <w:p w:rsidR="009C56BF" w:rsidRPr="00CC4798" w:rsidRDefault="009C56BF" w:rsidP="00CC4798">
                      <w:pPr>
                        <w:spacing w:after="0"/>
                        <w:jc w:val="both"/>
                        <w:rPr>
                          <w:rFonts w:cstheme="minorHAnsi"/>
                          <w:b/>
                          <w:sz w:val="23"/>
                          <w:szCs w:val="23"/>
                        </w:rPr>
                      </w:pPr>
                      <w:r w:rsidRPr="00CC4798">
                        <w:rPr>
                          <w:rFonts w:cstheme="minorHAnsi"/>
                          <w:b/>
                          <w:sz w:val="23"/>
                          <w:szCs w:val="23"/>
                        </w:rPr>
                        <w:t>LP KINPEYGO byl registrován</w:t>
                      </w:r>
                      <w:r w:rsidRPr="00CC4798">
                        <w:rPr>
                          <w:rFonts w:cstheme="minorHAnsi"/>
                          <w:b/>
                          <w:sz w:val="23"/>
                          <w:szCs w:val="23"/>
                          <w:vertAlign w:val="superscript"/>
                        </w:rPr>
                        <w:t xml:space="preserve">1 </w:t>
                      </w:r>
                      <w:r w:rsidRPr="00CC4798">
                        <w:rPr>
                          <w:rFonts w:cstheme="minorHAnsi"/>
                          <w:b/>
                          <w:sz w:val="23"/>
                          <w:szCs w:val="23"/>
                        </w:rPr>
                        <w:t xml:space="preserve">(centralizovaným postupem EMA pro EU) dne 15. 7. 2022 jako lék pro vzácná onemocnění (tzv. „orphan“ – viz níže podrobněji pozn. 11) a získal původně podmíněnou registraci, </w:t>
                      </w:r>
                      <w:r w:rsidRPr="00BA6134">
                        <w:rPr>
                          <w:b/>
                          <w:sz w:val="23"/>
                          <w:szCs w:val="23"/>
                          <w:u w:val="single"/>
                        </w:rPr>
                        <w:t xml:space="preserve">od 30. 7. 2024 má ale LP již standardní (řádnou, resp. trvalou) registraci, v </w:t>
                      </w:r>
                      <w:proofErr w:type="gramStart"/>
                      <w:r w:rsidRPr="00BA6134">
                        <w:rPr>
                          <w:b/>
                          <w:sz w:val="23"/>
                          <w:szCs w:val="23"/>
                          <w:u w:val="single"/>
                        </w:rPr>
                        <w:t>rámci</w:t>
                      </w:r>
                      <w:proofErr w:type="gramEnd"/>
                      <w:r w:rsidRPr="00BA6134">
                        <w:rPr>
                          <w:b/>
                          <w:sz w:val="23"/>
                          <w:szCs w:val="23"/>
                          <w:u w:val="single"/>
                        </w:rPr>
                        <w:t xml:space="preserve"> které došlo i k rozšíření terapeutické indikace přípravku KINPEYGO</w:t>
                      </w:r>
                      <w:r w:rsidRPr="00BA6134">
                        <w:rPr>
                          <w:rFonts w:cstheme="minorHAnsi"/>
                          <w:b/>
                          <w:sz w:val="23"/>
                          <w:szCs w:val="23"/>
                          <w:u w:val="single"/>
                        </w:rPr>
                        <w:t xml:space="preserve"> - CAVE! viz podrobněji níže pozn. 6</w:t>
                      </w:r>
                      <w:r w:rsidRPr="00CC4798">
                        <w:rPr>
                          <w:rFonts w:cstheme="minorHAnsi"/>
                          <w:b/>
                          <w:sz w:val="23"/>
                          <w:szCs w:val="23"/>
                        </w:rPr>
                        <w:t>!  LP KINPEYGO je tzv. „hybridní lék“, tj. podobá se „referenčnímu léčivému přípravku“ obsahujícímu stejnou účinnou látku (tj. budesonid), ale používá se na jiné onemocnění a podává se jiným způsobem</w:t>
                      </w:r>
                      <w:r w:rsidRPr="00CC4798">
                        <w:rPr>
                          <w:rFonts w:cstheme="minorHAnsi"/>
                          <w:b/>
                          <w:sz w:val="23"/>
                          <w:szCs w:val="23"/>
                          <w:vertAlign w:val="superscript"/>
                        </w:rPr>
                        <w:t>1</w:t>
                      </w:r>
                      <w:r w:rsidRPr="00CC4798">
                        <w:rPr>
                          <w:rFonts w:cstheme="minorHAnsi"/>
                          <w:b/>
                          <w:sz w:val="23"/>
                          <w:szCs w:val="23"/>
                        </w:rPr>
                        <w:t xml:space="preserve"> - viz podrobněji Přílohu č. 1. Referenčním lékem pro LP Kinpeygo je Entocort</w:t>
                      </w:r>
                      <w:r w:rsidRPr="00CC4798">
                        <w:rPr>
                          <w:rFonts w:cstheme="minorHAnsi"/>
                          <w:b/>
                          <w:sz w:val="23"/>
                          <w:szCs w:val="23"/>
                          <w:vertAlign w:val="superscript"/>
                        </w:rPr>
                        <w:t>1</w:t>
                      </w:r>
                      <w:r w:rsidRPr="00CC4798">
                        <w:rPr>
                          <w:rFonts w:cstheme="minorHAnsi"/>
                          <w:b/>
                          <w:sz w:val="23"/>
                          <w:szCs w:val="23"/>
                        </w:rPr>
                        <w:t>.</w:t>
                      </w:r>
                    </w:p>
                    <w:p w:rsidR="009C56BF" w:rsidRPr="00CC4798" w:rsidRDefault="009C56BF" w:rsidP="00CC4798">
                      <w:pPr>
                        <w:spacing w:after="0"/>
                        <w:jc w:val="both"/>
                        <w:rPr>
                          <w:rFonts w:cstheme="minorHAnsi"/>
                          <w:b/>
                          <w:sz w:val="23"/>
                          <w:szCs w:val="23"/>
                        </w:rPr>
                      </w:pPr>
                      <w:r w:rsidRPr="00BA6134">
                        <w:rPr>
                          <w:rFonts w:cstheme="minorHAnsi"/>
                          <w:b/>
                          <w:sz w:val="23"/>
                          <w:szCs w:val="23"/>
                          <w:highlight w:val="cyan"/>
                          <w:u w:val="single"/>
                        </w:rPr>
                        <w:t>K datu 16. 8. 2024 nemá LP KINPEYGO úhradu ze zdravotního pojištění</w:t>
                      </w:r>
                      <w:r w:rsidRPr="00CC4798">
                        <w:rPr>
                          <w:rFonts w:cstheme="minorHAnsi"/>
                          <w:b/>
                          <w:sz w:val="23"/>
                          <w:szCs w:val="23"/>
                        </w:rPr>
                        <w:t>. Dne 28. 7. 2023 bylo SUKLem zahájeno správní řízení o stanovení maximální ceny a výše a podmínek úhrady léčivého přípravku KINPEYGO určeného k léčbě vzácných onemocnění (dále jen „LPVO“) pod sp. zn. SUKLS181711/2023</w:t>
                      </w:r>
                      <w:r w:rsidRPr="00CC4798">
                        <w:rPr>
                          <w:rFonts w:cstheme="minorHAnsi"/>
                          <w:b/>
                          <w:sz w:val="23"/>
                          <w:szCs w:val="23"/>
                          <w:vertAlign w:val="superscript"/>
                        </w:rPr>
                        <w:t>5</w:t>
                      </w:r>
                      <w:r w:rsidRPr="00CC4798">
                        <w:rPr>
                          <w:rFonts w:cstheme="minorHAnsi"/>
                          <w:b/>
                          <w:sz w:val="23"/>
                          <w:szCs w:val="23"/>
                        </w:rPr>
                        <w:t>. Dne 15. 3. 2024 obdržel SUKL podání účastníka VZP, který potvrdil, že se žadatelem uzavřel smluvní ujednání snižující náklady na léčbu LP KINPEYGO. Dne 9. 4. 2024 SUKL předal Ministerstvu zdravotnictví ČR (dále jen „MZ“) upravenou hodnotící zprávu</w:t>
                      </w:r>
                      <w:r w:rsidRPr="00CC4798">
                        <w:rPr>
                          <w:rFonts w:cstheme="minorHAnsi"/>
                          <w:b/>
                          <w:sz w:val="23"/>
                          <w:szCs w:val="23"/>
                          <w:vertAlign w:val="superscript"/>
                        </w:rPr>
                        <w:t>28</w:t>
                      </w:r>
                      <w:r w:rsidRPr="00CC4798">
                        <w:rPr>
                          <w:rFonts w:cstheme="minorHAnsi"/>
                          <w:b/>
                          <w:sz w:val="23"/>
                          <w:szCs w:val="23"/>
                        </w:rPr>
                        <w:t xml:space="preserve"> a další podklady k vydání závazného stanoviska postupem dle ustanovení § 39da odst. 5 zákona o veřejném zdravotním pojištění (nutné u LPVO!). Dne 20. 6. 2024 vydalo MZ závazné stanovisko</w:t>
                      </w:r>
                      <w:r w:rsidRPr="00CC4798">
                        <w:rPr>
                          <w:rFonts w:cstheme="minorHAnsi"/>
                          <w:b/>
                          <w:sz w:val="23"/>
                          <w:szCs w:val="23"/>
                          <w:vertAlign w:val="superscript"/>
                        </w:rPr>
                        <w:t>138</w:t>
                      </w:r>
                      <w:r w:rsidRPr="00CC4798">
                        <w:rPr>
                          <w:rFonts w:cstheme="minorHAnsi"/>
                          <w:b/>
                          <w:sz w:val="23"/>
                          <w:szCs w:val="23"/>
                        </w:rPr>
                        <w:t xml:space="preserve">, kterým vyslovilo nesouhlas se stanovením úhrady předmětnému léčivému přípravku z prostředků zdravotního pojištění. Dne 10. 7. 2024 obdržel SUKL podání účastníka STADA, který uvádí, že nesouhlasí se závazným stanoviskem a považuje jej za nezákonné. Žadatel namítá, že odchýlení se od závěru poradního orgánu je možné pouze v případě neakceptovatelného dopadu do rozpočtu. Neakceptovatelný dopad do rozpočtu přitom nebyl v závazném stanovisku tvrzen ani prokázán. MZ v závazném stanovisku jako důvod odchýlení se od závěru poradního orgánu uvádí několik (dle názoru žadatele nesprávných a nezákonných) argumentů. Ani jeden z nich se však netýká neakceptovatelnosti dopadu do rozpočtu. </w:t>
                      </w:r>
                      <w:r w:rsidRPr="00CC4798">
                        <w:rPr>
                          <w:rFonts w:cstheme="minorHAnsi"/>
                          <w:b/>
                          <w:sz w:val="23"/>
                          <w:szCs w:val="23"/>
                          <w:highlight w:val="cyan"/>
                        </w:rPr>
                        <w:t>Dne 17. 7. 2024 SUKL obdržel podání žadatele (tj. STADA) obsahující podnět na přezkum</w:t>
                      </w:r>
                      <w:r w:rsidRPr="00CC4798">
                        <w:rPr>
                          <w:rFonts w:cstheme="minorHAnsi"/>
                          <w:b/>
                          <w:sz w:val="23"/>
                          <w:szCs w:val="23"/>
                          <w:highlight w:val="cyan"/>
                          <w:vertAlign w:val="superscript"/>
                        </w:rPr>
                        <w:t>139</w:t>
                      </w:r>
                      <w:r w:rsidRPr="00CC4798">
                        <w:rPr>
                          <w:rFonts w:cstheme="minorHAnsi"/>
                          <w:b/>
                          <w:sz w:val="23"/>
                          <w:szCs w:val="23"/>
                          <w:highlight w:val="cyan"/>
                        </w:rPr>
                        <w:t xml:space="preserve"> závazného stanoviska MZ (v něm žadatel žádá o nápravu uvedených vad závazného stanoviska a vydání souhlasného stanoviska podle § 39da odst. 6 písm. a) dle závěrů Upravené hodnotící zprávy SUKLu, v případě, že nebudou vytýkané vady závazného stanoviska napraveny prostřednictvím přezkumného řízení, STADA uvádí, že řízení by muselo skončit negativním rozhodnutím SUKLu, proti kterému by se musel žadatel odvolat a pokusit se docílit nápravy vadného postupu a stanovení úhrady touto cestou - v obou případech (tj. odvolání i podání nové žádosti) dojde, dle STADy, ke zpoždění přístupu pacientů k léčbě o několik, resp. 6 (viz § 39da odst. 9) a více měsíců) - podnět byl adresován rovněž MZ.</w:t>
                      </w:r>
                      <w:r w:rsidRPr="00CC4798">
                        <w:rPr>
                          <w:rFonts w:cstheme="minorHAnsi"/>
                          <w:b/>
                          <w:sz w:val="23"/>
                          <w:szCs w:val="23"/>
                        </w:rPr>
                        <w:t xml:space="preserve"> Dne 25. 7. 2024 obdržel SUKL podání účastníka STADA, který žádá o vydání meritorního rozhodnutí v předmětném správním řízení – dne 8. 8. 2024 bylo tedy vydáno </w:t>
                      </w:r>
                      <w:r w:rsidRPr="00CC4798">
                        <w:rPr>
                          <w:b/>
                          <w:color w:val="000000"/>
                          <w:sz w:val="23"/>
                          <w:szCs w:val="23"/>
                        </w:rPr>
                        <w:t>Rozhodnutí SUKLu o nepřiznání úhrady LP KINPEYGO ze zdravotního pojištění</w:t>
                      </w:r>
                      <w:r w:rsidRPr="00CC4798">
                        <w:rPr>
                          <w:b/>
                          <w:color w:val="000000"/>
                          <w:sz w:val="23"/>
                          <w:szCs w:val="23"/>
                          <w:vertAlign w:val="superscript"/>
                        </w:rPr>
                        <w:t>137</w:t>
                      </w:r>
                      <w:r w:rsidRPr="00CC4798">
                        <w:rPr>
                          <w:b/>
                          <w:color w:val="000000"/>
                          <w:sz w:val="23"/>
                          <w:szCs w:val="23"/>
                        </w:rPr>
                        <w:t xml:space="preserve">. </w:t>
                      </w:r>
                      <w:r w:rsidRPr="00BA6134">
                        <w:rPr>
                          <w:b/>
                          <w:sz w:val="23"/>
                          <w:szCs w:val="23"/>
                          <w:highlight w:val="cyan"/>
                          <w:u w:val="single"/>
                        </w:rPr>
                        <w:t>Tzn. aktuálně by byla u LP požadována mimořádná úhrada ze zdravotního pojištění dle ustanovení § 16 zákona č. 48/1997 Sb. o veřejném zdravotním pojištění. Lze také velmi pravděpodobně očekávat</w:t>
                      </w:r>
                      <w:r w:rsidRPr="00CC4798">
                        <w:rPr>
                          <w:b/>
                          <w:sz w:val="23"/>
                          <w:szCs w:val="23"/>
                          <w:highlight w:val="cyan"/>
                        </w:rPr>
                        <w:t xml:space="preserve"> (i k vzhledem k nově schváleným indikačním podmínkám platným od 30. 7. 2024 – viz výše odstavec „</w:t>
                      </w:r>
                      <w:r w:rsidRPr="00CC4798">
                        <w:rPr>
                          <w:b/>
                          <w:i/>
                          <w:sz w:val="23"/>
                          <w:szCs w:val="23"/>
                          <w:highlight w:val="cyan"/>
                        </w:rPr>
                        <w:t>Indikace dle SPC</w:t>
                      </w:r>
                      <w:r w:rsidRPr="00CC4798">
                        <w:rPr>
                          <w:b/>
                          <w:sz w:val="23"/>
                          <w:szCs w:val="23"/>
                          <w:highlight w:val="cyan"/>
                        </w:rPr>
                        <w:t xml:space="preserve">“), </w:t>
                      </w:r>
                      <w:r w:rsidRPr="00BA6134">
                        <w:rPr>
                          <w:b/>
                          <w:sz w:val="23"/>
                          <w:szCs w:val="23"/>
                          <w:highlight w:val="cyan"/>
                          <w:u w:val="single"/>
                        </w:rPr>
                        <w:t>že STADA podá novou žádost o úhradě s rozšířeným spektrem pacientů v podmínkách úhrady</w:t>
                      </w:r>
                      <w:r w:rsidRPr="00CC4798">
                        <w:rPr>
                          <w:b/>
                          <w:sz w:val="23"/>
                          <w:szCs w:val="23"/>
                          <w:highlight w:val="cyan"/>
                        </w:rPr>
                        <w:t>!</w:t>
                      </w:r>
                    </w:p>
                    <w:p w:rsidR="009C56BF" w:rsidRDefault="009C56BF" w:rsidP="00CC4798">
                      <w:pPr>
                        <w:pStyle w:val="Obsahrmce"/>
                        <w:spacing w:after="0"/>
                        <w:jc w:val="both"/>
                        <w:rPr>
                          <w:rFonts w:cstheme="minorHAnsi"/>
                          <w:sz w:val="16"/>
                          <w:szCs w:val="16"/>
                        </w:rPr>
                      </w:pPr>
                    </w:p>
                    <w:p w:rsidR="009C56BF" w:rsidRPr="00CC4798" w:rsidRDefault="009C56BF" w:rsidP="00CC4798">
                      <w:pPr>
                        <w:spacing w:after="0"/>
                        <w:jc w:val="both"/>
                        <w:rPr>
                          <w:rFonts w:cstheme="minorHAnsi"/>
                          <w:b/>
                          <w:sz w:val="23"/>
                          <w:szCs w:val="23"/>
                        </w:rPr>
                      </w:pPr>
                    </w:p>
                    <w:p w:rsidR="009C56BF" w:rsidRPr="00CC4798" w:rsidRDefault="009C56BF">
                      <w:pPr>
                        <w:pStyle w:val="Obsahrmce"/>
                        <w:spacing w:after="0"/>
                        <w:jc w:val="both"/>
                        <w:rPr>
                          <w:b/>
                          <w:sz w:val="23"/>
                          <w:szCs w:val="23"/>
                        </w:rPr>
                      </w:pPr>
                    </w:p>
                    <w:p w:rsidR="009C56BF" w:rsidRPr="00CC4798" w:rsidRDefault="009C56BF">
                      <w:pPr>
                        <w:pStyle w:val="Obsahrmce"/>
                        <w:spacing w:after="0"/>
                        <w:jc w:val="both"/>
                        <w:rPr>
                          <w:b/>
                          <w:sz w:val="23"/>
                          <w:szCs w:val="23"/>
                        </w:rPr>
                      </w:pPr>
                    </w:p>
                    <w:p w:rsidR="009C56BF" w:rsidRDefault="009C56BF">
                      <w:pPr>
                        <w:pStyle w:val="Obsahrmce"/>
                        <w:spacing w:after="0"/>
                        <w:jc w:val="both"/>
                        <w:rPr>
                          <w:b/>
                          <w:sz w:val="23"/>
                          <w:szCs w:val="23"/>
                        </w:rPr>
                      </w:pPr>
                    </w:p>
                  </w:txbxContent>
                </v:textbox>
                <w10:wrap anchorx="margin"/>
              </v:shape>
            </w:pict>
          </mc:Fallback>
        </mc:AlternateContent>
      </w:r>
    </w:p>
    <w:p w:rsidR="00033807" w:rsidRDefault="00033807">
      <w:pPr>
        <w:spacing w:after="0"/>
        <w:jc w:val="both"/>
        <w:rPr>
          <w:rFonts w:cstheme="minorHAnsi"/>
          <w:b/>
          <w:sz w:val="32"/>
          <w:szCs w:val="32"/>
          <w:u w:val="single"/>
        </w:rPr>
      </w:pPr>
    </w:p>
    <w:p w:rsidR="00033807" w:rsidRDefault="00033807">
      <w:pPr>
        <w:spacing w:after="0"/>
        <w:jc w:val="both"/>
        <w:rPr>
          <w:rFonts w:cstheme="minorHAnsi"/>
          <w:b/>
          <w:sz w:val="32"/>
          <w:szCs w:val="32"/>
          <w:u w:val="single"/>
        </w:rPr>
      </w:pPr>
    </w:p>
    <w:p w:rsidR="00033807" w:rsidRDefault="00033807">
      <w:pPr>
        <w:spacing w:after="0"/>
        <w:jc w:val="both"/>
        <w:rPr>
          <w:rFonts w:cstheme="minorHAnsi"/>
          <w:b/>
          <w:sz w:val="32"/>
          <w:szCs w:val="32"/>
          <w:u w:val="single"/>
        </w:rPr>
      </w:pPr>
    </w:p>
    <w:p w:rsidR="00033807" w:rsidRDefault="00033807">
      <w:pPr>
        <w:spacing w:after="0"/>
        <w:jc w:val="both"/>
        <w:rPr>
          <w:rFonts w:cstheme="minorHAnsi"/>
          <w:b/>
          <w:sz w:val="32"/>
          <w:szCs w:val="32"/>
          <w:u w:val="single"/>
        </w:rPr>
      </w:pPr>
    </w:p>
    <w:p w:rsidR="00033807" w:rsidRDefault="00033807">
      <w:pPr>
        <w:spacing w:after="0"/>
        <w:jc w:val="both"/>
        <w:rPr>
          <w:rFonts w:cstheme="minorHAnsi"/>
          <w:b/>
          <w:sz w:val="6"/>
          <w:szCs w:val="6"/>
          <w:u w:val="single"/>
        </w:rPr>
      </w:pPr>
    </w:p>
    <w:p w:rsidR="00033807" w:rsidRDefault="00033807">
      <w:pPr>
        <w:spacing w:after="0"/>
        <w:jc w:val="both"/>
        <w:rPr>
          <w:rFonts w:cstheme="minorHAnsi"/>
          <w:b/>
          <w:sz w:val="4"/>
          <w:szCs w:val="4"/>
          <w:u w:val="single"/>
        </w:rPr>
      </w:pPr>
    </w:p>
    <w:p w:rsidR="00033807" w:rsidRDefault="00033807">
      <w:pPr>
        <w:spacing w:after="0"/>
        <w:jc w:val="both"/>
        <w:rPr>
          <w:rFonts w:cstheme="minorHAnsi"/>
          <w:b/>
          <w:sz w:val="4"/>
          <w:szCs w:val="4"/>
          <w:u w:val="single"/>
        </w:rPr>
      </w:pPr>
    </w:p>
    <w:p w:rsidR="00033807" w:rsidRDefault="00033807">
      <w:pPr>
        <w:spacing w:after="0"/>
        <w:jc w:val="both"/>
        <w:rPr>
          <w:rFonts w:cstheme="minorHAnsi"/>
          <w:b/>
          <w:sz w:val="4"/>
          <w:szCs w:val="4"/>
          <w:u w:val="single"/>
        </w:rPr>
      </w:pPr>
    </w:p>
    <w:p w:rsidR="00033807" w:rsidRDefault="00033807">
      <w:pPr>
        <w:spacing w:after="0"/>
        <w:jc w:val="both"/>
        <w:rPr>
          <w:rFonts w:cstheme="minorHAnsi"/>
          <w:b/>
          <w:sz w:val="4"/>
          <w:szCs w:val="4"/>
          <w:u w:val="single"/>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C071A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5D1435">
      <w:pPr>
        <w:spacing w:before="240" w:after="0"/>
        <w:rPr>
          <w:rFonts w:cstheme="minorHAnsi"/>
        </w:rPr>
      </w:pPr>
      <w:r>
        <w:rPr>
          <w:noProof/>
          <w:lang w:eastAsia="cs-CZ"/>
        </w:rPr>
        <mc:AlternateContent>
          <mc:Choice Requires="wps">
            <w:drawing>
              <wp:anchor distT="19050" distB="19050" distL="19050" distR="19050" simplePos="0" relativeHeight="359" behindDoc="0" locked="0" layoutInCell="0" allowOverlap="1" wp14:anchorId="38A6E83A" wp14:editId="7627DD06">
                <wp:simplePos x="0" y="0"/>
                <wp:positionH relativeFrom="margin">
                  <wp:posOffset>-3785</wp:posOffset>
                </wp:positionH>
                <wp:positionV relativeFrom="paragraph">
                  <wp:posOffset>127346</wp:posOffset>
                </wp:positionV>
                <wp:extent cx="6869430" cy="9583387"/>
                <wp:effectExtent l="19050" t="19050" r="7620" b="0"/>
                <wp:wrapNone/>
                <wp:docPr id="18" name="Rámec8"/>
                <wp:cNvGraphicFramePr/>
                <a:graphic xmlns:a="http://schemas.openxmlformats.org/drawingml/2006/main">
                  <a:graphicData uri="http://schemas.microsoft.com/office/word/2010/wordprocessingShape">
                    <wps:wsp>
                      <wps:cNvSpPr txBox="1"/>
                      <wps:spPr>
                        <a:xfrm>
                          <a:off x="0" y="0"/>
                          <a:ext cx="6869430" cy="9583387"/>
                        </a:xfrm>
                        <a:prstGeom prst="rect">
                          <a:avLst/>
                        </a:prstGeom>
                        <a:solidFill>
                          <a:srgbClr val="FFFFFF"/>
                        </a:solidFill>
                        <a:ln w="38100">
                          <a:solidFill>
                            <a:srgbClr val="000000"/>
                          </a:solidFill>
                        </a:ln>
                      </wps:spPr>
                      <wps:txbx>
                        <w:txbxContent>
                          <w:p w:rsidR="009C56BF" w:rsidRPr="00BA27CE" w:rsidRDefault="009C56BF" w:rsidP="00CC4798">
                            <w:pPr>
                              <w:spacing w:after="0"/>
                              <w:jc w:val="both"/>
                              <w:rPr>
                                <w:b/>
                                <w:sz w:val="23"/>
                                <w:szCs w:val="23"/>
                              </w:rPr>
                            </w:pPr>
                            <w:r w:rsidRPr="00BA27CE">
                              <w:rPr>
                                <w:b/>
                                <w:sz w:val="23"/>
                                <w:szCs w:val="23"/>
                              </w:rPr>
                              <w:t>Složitá a mnohostranná patofyziologie onemocnění IgAN (viz Přílohu č. 19) naznačuje, že pouhé zacílení léčby na jeden faktor nebude dostatečné</w:t>
                            </w:r>
                            <w:r>
                              <w:rPr>
                                <w:b/>
                                <w:sz w:val="23"/>
                                <w:szCs w:val="23"/>
                              </w:rPr>
                              <w:t xml:space="preserve">, </w:t>
                            </w:r>
                            <w:r w:rsidRPr="00BA27CE">
                              <w:rPr>
                                <w:b/>
                                <w:sz w:val="23"/>
                                <w:szCs w:val="23"/>
                              </w:rPr>
                              <w:t>naopak je nutný komplexní přístup, který pokrývá různé patofyziologické komponenty onemocnění IgAN – podrobnosti jsou uvedeny výše v odstavci „</w:t>
                            </w:r>
                            <w:r w:rsidRPr="00BA27CE">
                              <w:rPr>
                                <w:b/>
                                <w:i/>
                                <w:sz w:val="23"/>
                                <w:szCs w:val="23"/>
                              </w:rPr>
                              <w:t>Postavení léčiva v …</w:t>
                            </w:r>
                            <w:r w:rsidRPr="00BA27CE">
                              <w:rPr>
                                <w:b/>
                                <w:sz w:val="23"/>
                                <w:szCs w:val="23"/>
                              </w:rPr>
                              <w:t>“</w:t>
                            </w:r>
                            <w:r>
                              <w:rPr>
                                <w:b/>
                                <w:sz w:val="23"/>
                                <w:szCs w:val="23"/>
                              </w:rPr>
                              <w:t>.</w:t>
                            </w:r>
                          </w:p>
                          <w:p w:rsidR="009C56BF" w:rsidRDefault="009C56BF" w:rsidP="00CC4798">
                            <w:pPr>
                              <w:pStyle w:val="Obsahrmce"/>
                              <w:spacing w:after="0"/>
                              <w:jc w:val="both"/>
                              <w:rPr>
                                <w:b/>
                                <w:sz w:val="23"/>
                                <w:szCs w:val="23"/>
                              </w:rPr>
                            </w:pPr>
                            <w:r w:rsidRPr="005D1435">
                              <w:rPr>
                                <w:b/>
                                <w:sz w:val="23"/>
                                <w:szCs w:val="23"/>
                                <w:u w:val="single"/>
                              </w:rPr>
                              <w:t>Dle doporučení KDIGO 2021</w:t>
                            </w:r>
                            <w:r w:rsidRPr="005D1435">
                              <w:rPr>
                                <w:b/>
                                <w:sz w:val="23"/>
                                <w:szCs w:val="23"/>
                                <w:u w:val="single"/>
                                <w:vertAlign w:val="superscript"/>
                              </w:rPr>
                              <w:t>76</w:t>
                            </w:r>
                            <w:r w:rsidRPr="005D1435">
                              <w:rPr>
                                <w:b/>
                                <w:sz w:val="23"/>
                                <w:szCs w:val="23"/>
                                <w:u w:val="single"/>
                              </w:rPr>
                              <w:t xml:space="preserve"> může být u pacientů s vysokým rizikem progrese IgAN</w:t>
                            </w:r>
                            <w:r w:rsidRPr="00BA27CE">
                              <w:rPr>
                                <w:b/>
                                <w:sz w:val="23"/>
                                <w:szCs w:val="23"/>
                              </w:rPr>
                              <w:t xml:space="preserve"> (podrobnosti jsou uvedeny výše v odstavci „</w:t>
                            </w:r>
                            <w:r w:rsidRPr="00BA27CE">
                              <w:rPr>
                                <w:b/>
                                <w:i/>
                                <w:sz w:val="23"/>
                                <w:szCs w:val="23"/>
                              </w:rPr>
                              <w:t>Postavení léčiva v …</w:t>
                            </w:r>
                            <w:r w:rsidRPr="00BA27CE">
                              <w:rPr>
                                <w:b/>
                                <w:sz w:val="23"/>
                                <w:szCs w:val="23"/>
                              </w:rPr>
                              <w:t xml:space="preserve">“) </w:t>
                            </w:r>
                            <w:r w:rsidRPr="005D1435">
                              <w:rPr>
                                <w:b/>
                                <w:sz w:val="23"/>
                                <w:szCs w:val="23"/>
                                <w:u w:val="single"/>
                              </w:rPr>
                              <w:t xml:space="preserve">zvážena (pokud je nelze zařadit do klinické studie) </w:t>
                            </w:r>
                            <w:proofErr w:type="gramStart"/>
                            <w:r w:rsidRPr="005D1435">
                              <w:rPr>
                                <w:b/>
                                <w:sz w:val="23"/>
                                <w:szCs w:val="23"/>
                                <w:u w:val="single"/>
                              </w:rPr>
                              <w:t>6-ti</w:t>
                            </w:r>
                            <w:proofErr w:type="gramEnd"/>
                            <w:r w:rsidRPr="005D1435">
                              <w:rPr>
                                <w:b/>
                                <w:sz w:val="23"/>
                                <w:szCs w:val="23"/>
                                <w:u w:val="single"/>
                              </w:rPr>
                              <w:t xml:space="preserve"> měsíční imunosupresivní léčba glukokortikoidy</w:t>
                            </w:r>
                            <w:r w:rsidRPr="00BA27CE">
                              <w:rPr>
                                <w:b/>
                                <w:sz w:val="23"/>
                                <w:szCs w:val="23"/>
                                <w:vertAlign w:val="superscript"/>
                              </w:rPr>
                              <w:t>28</w:t>
                            </w:r>
                            <w:r w:rsidRPr="00BA27CE">
                              <w:rPr>
                                <w:b/>
                                <w:sz w:val="23"/>
                                <w:szCs w:val="23"/>
                              </w:rPr>
                              <w:t xml:space="preserve">. V české klinické praxi se ze systémových kortikosteroidů společně s podpůrnou léčbou používá jen prednison (srovnej Přílohu č. 14!), který je v současné době nabízen pouze nově diagnostikovaným pacientům s progresivní IgAN při respektování kontraindikací k podávání systémových kortikosteroidů u IgAN dle doporučení KDIGO 2021 (viz podrobněji níže bod 2.3.1.3 v Příloze č. 13) - dle údajů uvedených ve SŘ k LP KINPEYGO vyplývá, že prednisonem je v české klinické praxi léčeno jen 6 % pacientů (podle vyjádření ČNS). </w:t>
                            </w:r>
                            <w:r w:rsidRPr="005D1435">
                              <w:rPr>
                                <w:b/>
                                <w:sz w:val="23"/>
                                <w:szCs w:val="23"/>
                                <w:u w:val="single"/>
                              </w:rPr>
                              <w:t>Doporučení KDIGO z roku 2021</w:t>
                            </w:r>
                            <w:r w:rsidRPr="005D1435">
                              <w:rPr>
                                <w:b/>
                                <w:sz w:val="23"/>
                                <w:szCs w:val="23"/>
                                <w:u w:val="single"/>
                                <w:vertAlign w:val="superscript"/>
                              </w:rPr>
                              <w:t>76</w:t>
                            </w:r>
                            <w:r w:rsidRPr="005D1435">
                              <w:rPr>
                                <w:b/>
                                <w:sz w:val="23"/>
                                <w:szCs w:val="23"/>
                                <w:u w:val="single"/>
                              </w:rPr>
                              <w:t xml:space="preserve"> uvádí (vzhledem k datu publikace!) LP KINPEYGO (tj. TRF budesonid) jen v rámci probíhajících klinických studií, v doporučení nebyly samozřejmě také zohledněny novější výsledky studie TESTING</w:t>
                            </w:r>
                            <w:r w:rsidRPr="005D1435">
                              <w:rPr>
                                <w:b/>
                                <w:sz w:val="23"/>
                                <w:szCs w:val="23"/>
                                <w:u w:val="single"/>
                                <w:vertAlign w:val="superscript"/>
                              </w:rPr>
                              <w:t>130</w:t>
                            </w:r>
                            <w:r w:rsidRPr="005D1435">
                              <w:rPr>
                                <w:b/>
                                <w:sz w:val="23"/>
                                <w:szCs w:val="23"/>
                                <w:u w:val="single"/>
                              </w:rPr>
                              <w:t xml:space="preserve"> publikované s nízkodávkovaným systémově podávaným methylprednisolonem</w:t>
                            </w:r>
                            <w:r w:rsidRPr="00BA27CE">
                              <w:rPr>
                                <w:b/>
                                <w:sz w:val="23"/>
                                <w:szCs w:val="23"/>
                              </w:rPr>
                              <w:t xml:space="preserve"> (viz podrobněji Přílohu č. 23)</w:t>
                            </w:r>
                            <w:r>
                              <w:rPr>
                                <w:b/>
                                <w:sz w:val="23"/>
                                <w:szCs w:val="23"/>
                              </w:rPr>
                              <w:t>.</w:t>
                            </w:r>
                          </w:p>
                          <w:p w:rsidR="009C56BF" w:rsidRPr="00BA27CE" w:rsidRDefault="009C56BF" w:rsidP="00CC4798">
                            <w:pPr>
                              <w:pStyle w:val="Obsahrmce"/>
                              <w:spacing w:after="0"/>
                              <w:jc w:val="both"/>
                              <w:rPr>
                                <w:b/>
                                <w:sz w:val="23"/>
                                <w:szCs w:val="23"/>
                              </w:rPr>
                            </w:pPr>
                            <w:r w:rsidRPr="00BA27CE">
                              <w:rPr>
                                <w:b/>
                                <w:sz w:val="23"/>
                                <w:szCs w:val="23"/>
                              </w:rPr>
                              <w:t xml:space="preserve"> </w:t>
                            </w:r>
                          </w:p>
                          <w:p w:rsidR="009C56BF" w:rsidRPr="005D1435" w:rsidRDefault="009C56BF" w:rsidP="005D1435">
                            <w:pPr>
                              <w:spacing w:after="0"/>
                              <w:jc w:val="both"/>
                              <w:rPr>
                                <w:b/>
                                <w:sz w:val="23"/>
                                <w:szCs w:val="23"/>
                              </w:rPr>
                            </w:pPr>
                            <w:r w:rsidRPr="005D1435">
                              <w:rPr>
                                <w:b/>
                                <w:color w:val="000000"/>
                                <w:sz w:val="23"/>
                                <w:szCs w:val="23"/>
                                <w:u w:val="single"/>
                              </w:rPr>
                              <w:t>Účinnost a bezpečnost LP KINPEYGO byla hodnocena v léčbě primární IgAN u dospělých pacientů s rizikem rychlé progrese onemocnění, kteří užívali blokátory RAAS</w:t>
                            </w:r>
                            <w:r w:rsidRPr="005D1435">
                              <w:rPr>
                                <w:b/>
                                <w:color w:val="000000"/>
                                <w:sz w:val="23"/>
                                <w:szCs w:val="23"/>
                              </w:rPr>
                              <w:t xml:space="preserve"> (viz níže pozn. 92), </w:t>
                            </w:r>
                            <w:r w:rsidRPr="005D1435">
                              <w:rPr>
                                <w:b/>
                                <w:color w:val="000000"/>
                                <w:sz w:val="23"/>
                                <w:szCs w:val="23"/>
                                <w:u w:val="single"/>
                              </w:rPr>
                              <w:t xml:space="preserve">ve dvou rozsáhlých randomizovaných, dvojitě zaslepených, placebem kontrolovaných klinických studiích – studie fáze IIIa NefIgArd </w:t>
                            </w:r>
                            <w:r w:rsidRPr="005D1435">
                              <w:rPr>
                                <w:b/>
                                <w:color w:val="000000"/>
                                <w:sz w:val="23"/>
                                <w:szCs w:val="23"/>
                              </w:rPr>
                              <w:t xml:space="preserve">(NCT03643965) </w:t>
                            </w:r>
                            <w:r w:rsidRPr="005D1435">
                              <w:rPr>
                                <w:b/>
                                <w:color w:val="000000"/>
                                <w:sz w:val="23"/>
                                <w:szCs w:val="23"/>
                                <w:u w:val="single"/>
                              </w:rPr>
                              <w:t xml:space="preserve">a studie fáze IIb NEFIGAN </w:t>
                            </w:r>
                            <w:r w:rsidRPr="005D1435">
                              <w:rPr>
                                <w:b/>
                                <w:color w:val="000000"/>
                                <w:sz w:val="23"/>
                                <w:szCs w:val="23"/>
                              </w:rPr>
                              <w:t>(NCT01738035)</w:t>
                            </w:r>
                            <w:r w:rsidRPr="005D1435">
                              <w:rPr>
                                <w:b/>
                                <w:color w:val="000000"/>
                                <w:sz w:val="23"/>
                                <w:szCs w:val="23"/>
                                <w:vertAlign w:val="superscript"/>
                              </w:rPr>
                              <w:t>5</w:t>
                            </w:r>
                            <w:r w:rsidRPr="005D1435">
                              <w:rPr>
                                <w:b/>
                                <w:color w:val="000000"/>
                                <w:sz w:val="23"/>
                                <w:szCs w:val="23"/>
                              </w:rPr>
                              <w:t xml:space="preserve"> – viz podrobněji Přílohy č. 20 a 21. </w:t>
                            </w:r>
                            <w:r w:rsidRPr="005D1435">
                              <w:rPr>
                                <w:b/>
                                <w:bCs/>
                                <w:sz w:val="23"/>
                                <w:szCs w:val="23"/>
                                <w:u w:val="single"/>
                              </w:rPr>
                              <w:t>Na základě výsledků studie NefIgArd SUKL považuje komparativní účinnost LP KINPEYGA přidaného k podpůrné léčbě spočívající ve zpomalení progrese IgAN oproti podpůrné léčbě samotné u cílové populace pacientů za prokázanou při zachování dobré bezpečnosti</w:t>
                            </w:r>
                            <w:r w:rsidRPr="005D1435">
                              <w:rPr>
                                <w:b/>
                                <w:bCs/>
                                <w:sz w:val="23"/>
                                <w:szCs w:val="23"/>
                                <w:u w:val="single"/>
                                <w:vertAlign w:val="superscript"/>
                              </w:rPr>
                              <w:t>28</w:t>
                            </w:r>
                            <w:r w:rsidRPr="005D1435">
                              <w:rPr>
                                <w:b/>
                                <w:bCs/>
                                <w:sz w:val="23"/>
                                <w:szCs w:val="23"/>
                              </w:rPr>
                              <w:t>.</w:t>
                            </w:r>
                            <w:r>
                              <w:rPr>
                                <w:b/>
                                <w:bCs/>
                                <w:sz w:val="23"/>
                                <w:szCs w:val="23"/>
                              </w:rPr>
                              <w:t xml:space="preserve"> </w:t>
                            </w:r>
                            <w:r w:rsidRPr="005D1435">
                              <w:rPr>
                                <w:b/>
                                <w:sz w:val="23"/>
                                <w:szCs w:val="23"/>
                              </w:rPr>
                              <w:t>Nedostatkem studie NefIgArd s hodnoceným LP KINPEYGO (oproti studii TESTING se systemovým kortikoidem) je nepřítomnost MEST skóre u pacientů, protože např. přítomnost aktivních proliferativních lézí (tj. vyšší skóre M a/nebo E – viz níže pozn. 53) nebo srpků (tj. vyšší skóre C – viz níže pozn. 53 a 54) může být indikací k agresivnější léčbě (viz také níže pozn. 9), naproti tomu u pacientů s více chronickými lézemi (tj. s vyšším T skóre – viz níže pozn. 53) je méně pravděpodobné, že budou reagovat na imunosupresivní léčbu</w:t>
                            </w:r>
                            <w:r w:rsidRPr="005D1435">
                              <w:rPr>
                                <w:b/>
                                <w:sz w:val="23"/>
                                <w:szCs w:val="23"/>
                                <w:vertAlign w:val="superscript"/>
                              </w:rPr>
                              <w:t>82</w:t>
                            </w:r>
                            <w:r w:rsidRPr="005D1435">
                              <w:rPr>
                                <w:b/>
                                <w:sz w:val="23"/>
                                <w:szCs w:val="23"/>
                              </w:rPr>
                              <w:t>.</w:t>
                            </w:r>
                          </w:p>
                          <w:p w:rsidR="009C56BF" w:rsidRPr="005D1435" w:rsidRDefault="009C56BF" w:rsidP="00CC4798">
                            <w:pPr>
                              <w:pStyle w:val="Obsahrmce"/>
                              <w:spacing w:after="0"/>
                              <w:jc w:val="both"/>
                              <w:rPr>
                                <w:b/>
                                <w:sz w:val="6"/>
                                <w:szCs w:val="6"/>
                              </w:rPr>
                            </w:pPr>
                          </w:p>
                          <w:p w:rsidR="009C56BF" w:rsidRPr="005D1435" w:rsidRDefault="009C56BF" w:rsidP="005D1435">
                            <w:pPr>
                              <w:spacing w:after="0"/>
                              <w:jc w:val="both"/>
                              <w:rPr>
                                <w:rFonts w:cstheme="minorHAnsi"/>
                                <w:b/>
                                <w:sz w:val="23"/>
                                <w:szCs w:val="23"/>
                              </w:rPr>
                            </w:pPr>
                            <w:r w:rsidRPr="005D1435">
                              <w:rPr>
                                <w:b/>
                                <w:sz w:val="23"/>
                                <w:szCs w:val="23"/>
                              </w:rPr>
                              <w:t xml:space="preserve">V rámci správního řízení k LP KINPEYGU (které „více-méně“ skončilo dne </w:t>
                            </w:r>
                            <w:r w:rsidRPr="005D1435">
                              <w:rPr>
                                <w:rFonts w:cstheme="minorHAnsi"/>
                                <w:b/>
                                <w:sz w:val="23"/>
                                <w:szCs w:val="23"/>
                              </w:rPr>
                              <w:t>8. 8. 2024 nepřiznáním úhrady – viz výše odstavec „</w:t>
                            </w:r>
                            <w:r w:rsidRPr="005D1435">
                              <w:rPr>
                                <w:rFonts w:cstheme="minorHAnsi"/>
                                <w:b/>
                                <w:i/>
                                <w:sz w:val="23"/>
                                <w:szCs w:val="23"/>
                              </w:rPr>
                              <w:t>Stav LP v ČR ….</w:t>
                            </w:r>
                            <w:r w:rsidRPr="005D1435">
                              <w:rPr>
                                <w:rFonts w:cstheme="minorHAnsi"/>
                                <w:b/>
                                <w:sz w:val="23"/>
                                <w:szCs w:val="23"/>
                              </w:rPr>
                              <w:t>“</w:t>
                            </w:r>
                            <w:r w:rsidRPr="005D1435">
                              <w:rPr>
                                <w:b/>
                                <w:sz w:val="23"/>
                                <w:szCs w:val="23"/>
                              </w:rPr>
                              <w:t>) nebyly zohledněny novější výsledky studie TESTING</w:t>
                            </w:r>
                            <w:r w:rsidRPr="005D1435">
                              <w:rPr>
                                <w:b/>
                                <w:sz w:val="23"/>
                                <w:szCs w:val="23"/>
                                <w:vertAlign w:val="superscript"/>
                              </w:rPr>
                              <w:t>130</w:t>
                            </w:r>
                            <w:r w:rsidRPr="005D1435">
                              <w:rPr>
                                <w:b/>
                                <w:sz w:val="23"/>
                                <w:szCs w:val="23"/>
                              </w:rPr>
                              <w:t xml:space="preserve"> publikované v dubnu 2024 a také schválené rozšířené indikační podmínky pro hodnocený LP KINPEYGO platné od 30. 7. 2024 (viz výše odstavec „</w:t>
                            </w:r>
                            <w:r w:rsidRPr="005D1435">
                              <w:rPr>
                                <w:b/>
                                <w:i/>
                                <w:sz w:val="23"/>
                                <w:szCs w:val="23"/>
                              </w:rPr>
                              <w:t>Indikace dle SPC</w:t>
                            </w:r>
                            <w:r w:rsidRPr="005D1435">
                              <w:rPr>
                                <w:b/>
                                <w:sz w:val="23"/>
                                <w:szCs w:val="23"/>
                              </w:rPr>
                              <w:t>“). Mj. také nebyla zmiňována další nově publikovaná nerandomizovaná studie</w:t>
                            </w:r>
                            <w:r w:rsidRPr="005D1435">
                              <w:rPr>
                                <w:b/>
                                <w:sz w:val="23"/>
                                <w:szCs w:val="23"/>
                                <w:vertAlign w:val="superscript"/>
                              </w:rPr>
                              <w:t>115</w:t>
                            </w:r>
                            <w:r w:rsidRPr="005D1435">
                              <w:rPr>
                                <w:b/>
                                <w:sz w:val="23"/>
                                <w:szCs w:val="23"/>
                              </w:rPr>
                              <w:t xml:space="preserve"> s LP BUDENOFALK z listopadu 2023 (k tomu viz podrobněji níže pozn. 13). „</w:t>
                            </w:r>
                            <w:r w:rsidRPr="005D1435">
                              <w:rPr>
                                <w:b/>
                                <w:sz w:val="23"/>
                                <w:szCs w:val="23"/>
                                <w:u w:val="single"/>
                              </w:rPr>
                              <w:t xml:space="preserve">Naivní“ nepřímé srovnání režimu s LP KINPEYGO s režimy obsahujícími systémové kortikosteroidy je zatíženo poměrně velkou nejistotou zejména v parametru dlouhodobé účinnosti obou intervencí, v parametru bezpečnosti je možnost srovnání lepší. Dle výsledků těchto srovnání uvedených v Příloze č. 24 považuje autor této FE analýzy (pro její účely) účinnost obou režimů (jak v redukci proteinurie, tak poklesu eGFR během 2 let od zahájení léčby) při stejné výchozí hodnotě eGFR a proteinurie za cca podobnou. Co se týká bezpečnosti, tak autor této FE analýzy (pro její účely) považuje režim s LP KINPEYGO bezpečnější (oproti režimu s nízkodávkovaným methylprednisolonem viz podrobněji tabulku níže) jen v parametru výskytu závažných infekcí – viz podrobněji Přílohu č. 24. Dále je předpokládána cca stejná účinnost systémových kortikoidů i LP KINPEYGO u pacientů různých ras – viz k tomu podrobněji výsledky analýz různých podskupin pacientů v Přílohách č. 21, 23 a 29. </w:t>
                            </w:r>
                            <w:r w:rsidRPr="005D1435">
                              <w:rPr>
                                <w:b/>
                                <w:sz w:val="23"/>
                                <w:szCs w:val="23"/>
                              </w:rPr>
                              <w:t>Další informace, které povedou ke zpřesnění nepřímého srovnání obou režimů by mohly přinést výsledky studií NefIgArd OLE (tj. studie s opakovaným podáním LP KINPEYGO – viz podrobněji design studie uvedený v Příloze č. 20), které budou pravděpodobně prezentovány až na kongresu ERA ve Vídni (v červnu 2025</w:t>
                            </w:r>
                            <w:r w:rsidRPr="005D1435">
                              <w:rPr>
                                <w:b/>
                                <w:sz w:val="23"/>
                                <w:szCs w:val="23"/>
                                <w:vertAlign w:val="superscript"/>
                              </w:rPr>
                              <w:t>144</w:t>
                            </w:r>
                            <w:r w:rsidRPr="005D1435">
                              <w:rPr>
                                <w:b/>
                                <w:sz w:val="23"/>
                                <w:szCs w:val="23"/>
                              </w:rPr>
                              <w:t>), a studie fáze 3 TIGER (tj studie se systémovými kortikoidy probíhající ve Francii), jejíž výsledky budou pravděpodobně publikovány také až v roce 2025</w:t>
                            </w:r>
                            <w:r w:rsidRPr="005D1435">
                              <w:rPr>
                                <w:b/>
                                <w:sz w:val="23"/>
                                <w:szCs w:val="23"/>
                                <w:vertAlign w:val="superscript"/>
                              </w:rPr>
                              <w:t>145</w:t>
                            </w:r>
                            <w:r w:rsidRPr="005D1435">
                              <w:rPr>
                                <w:b/>
                                <w:sz w:val="23"/>
                                <w:szCs w:val="23"/>
                              </w:rPr>
                              <w:t xml:space="preserve">. Na podzim 2024 také na trh v ČR zřejmě vstoupí LP FILSPARI (sparsentan – viz níže pozn. 94), který bude ale nejspíše určen pro pac. s proteinúrií </w:t>
                            </w:r>
                            <w:r w:rsidRPr="005D1435">
                              <w:rPr>
                                <w:rFonts w:cstheme="minorHAnsi"/>
                                <w:b/>
                                <w:sz w:val="23"/>
                                <w:szCs w:val="23"/>
                              </w:rPr>
                              <w:t>≥ 1,0 g/den (bez hematurie) po předcházející léčbě syst. kortikoidy či LP KINPEYGO, v tomto scénaři pak bude nepravděpodobnějším kompáratorem inhibitor SGLT2 (viz níže pozn. 93).</w:t>
                            </w:r>
                          </w:p>
                          <w:p w:rsidR="009C56BF" w:rsidRPr="00010794" w:rsidRDefault="009C56BF" w:rsidP="005D1435">
                            <w:pPr>
                              <w:spacing w:after="0"/>
                              <w:jc w:val="both"/>
                              <w:rPr>
                                <w:sz w:val="10"/>
                                <w:szCs w:val="10"/>
                              </w:rPr>
                            </w:pPr>
                          </w:p>
                          <w:p w:rsidR="009C56BF" w:rsidRPr="005D1435" w:rsidRDefault="009C56BF" w:rsidP="005D1435">
                            <w:pPr>
                              <w:spacing w:after="0"/>
                              <w:jc w:val="both"/>
                              <w:rPr>
                                <w:b/>
                                <w:sz w:val="23"/>
                                <w:szCs w:val="23"/>
                              </w:rPr>
                            </w:pPr>
                          </w:p>
                          <w:p w:rsidR="009C56BF" w:rsidRPr="005D1435" w:rsidRDefault="009C56BF">
                            <w:pPr>
                              <w:pStyle w:val="Obsahrmce"/>
                              <w:spacing w:after="0"/>
                              <w:jc w:val="both"/>
                              <w:rPr>
                                <w:rFonts w:cstheme="minorHAnsi"/>
                                <w:b/>
                                <w:sz w:val="23"/>
                                <w:szCs w:val="23"/>
                              </w:rPr>
                            </w:pPr>
                          </w:p>
                          <w:p w:rsidR="009C56BF" w:rsidRPr="005D1435" w:rsidRDefault="009C56BF">
                            <w:pPr>
                              <w:pStyle w:val="Obsahrmce"/>
                              <w:spacing w:after="0"/>
                              <w:jc w:val="both"/>
                              <w:rPr>
                                <w:rStyle w:val="Hypertextovodkaz"/>
                                <w:rFonts w:cstheme="minorHAnsi"/>
                                <w:b/>
                                <w:color w:val="auto"/>
                                <w:sz w:val="23"/>
                                <w:szCs w:val="23"/>
                                <w:u w:val="none"/>
                              </w:rPr>
                            </w:pPr>
                          </w:p>
                          <w:p w:rsidR="009C56BF" w:rsidRPr="005D1435" w:rsidRDefault="009C56BF">
                            <w:pPr>
                              <w:pStyle w:val="Obsahrmce"/>
                              <w:spacing w:after="0"/>
                              <w:jc w:val="both"/>
                              <w:rPr>
                                <w:rStyle w:val="Hypertextovodkaz"/>
                                <w:rFonts w:cstheme="minorHAnsi"/>
                                <w:b/>
                                <w:color w:val="auto"/>
                                <w:sz w:val="23"/>
                                <w:szCs w:val="23"/>
                                <w:highlight w:val="cyan"/>
                                <w:u w:val="none"/>
                              </w:rPr>
                            </w:pPr>
                          </w:p>
                          <w:p w:rsidR="009C56BF" w:rsidRPr="005D1435" w:rsidRDefault="009C56BF">
                            <w:pPr>
                              <w:pStyle w:val="Obsahrmce"/>
                              <w:spacing w:after="0"/>
                              <w:jc w:val="both"/>
                              <w:rPr>
                                <w:rFonts w:cstheme="minorHAnsi"/>
                                <w:b/>
                                <w:color w:val="000000"/>
                                <w:sz w:val="23"/>
                                <w:szCs w:val="23"/>
                              </w:rPr>
                            </w:pPr>
                          </w:p>
                          <w:p w:rsidR="009C56BF" w:rsidRPr="005D1435" w:rsidRDefault="009C56BF">
                            <w:pPr>
                              <w:pStyle w:val="Obsahrmce"/>
                              <w:spacing w:after="0" w:line="240" w:lineRule="auto"/>
                              <w:jc w:val="both"/>
                              <w:rPr>
                                <w:rFonts w:cstheme="minorHAnsi"/>
                                <w:b/>
                                <w:sz w:val="23"/>
                                <w:szCs w:val="23"/>
                                <w:u w:val="single"/>
                              </w:rPr>
                            </w:pPr>
                          </w:p>
                          <w:p w:rsidR="009C56BF" w:rsidRDefault="009C56BF">
                            <w:pPr>
                              <w:pStyle w:val="Obsahrmce"/>
                              <w:spacing w:after="0"/>
                              <w:jc w:val="both"/>
                              <w:rPr>
                                <w:rFonts w:cstheme="minorHAnsi"/>
                                <w:sz w:val="16"/>
                                <w:szCs w:val="16"/>
                              </w:rPr>
                            </w:pPr>
                          </w:p>
                          <w:p w:rsidR="009C56BF" w:rsidRDefault="009C56BF">
                            <w:pPr>
                              <w:pStyle w:val="Obsahrmce"/>
                              <w:spacing w:after="0"/>
                              <w:jc w:val="both"/>
                              <w:rPr>
                                <w:b/>
                                <w:sz w:val="23"/>
                                <w:szCs w:val="23"/>
                              </w:rPr>
                            </w:pPr>
                          </w:p>
                          <w:p w:rsidR="009C56BF" w:rsidRDefault="009C56BF">
                            <w:pPr>
                              <w:pStyle w:val="Obsahrmce"/>
                              <w:spacing w:after="0"/>
                              <w:jc w:val="both"/>
                              <w:rPr>
                                <w:rFonts w:cstheme="minorHAnsi"/>
                                <w:b/>
                                <w:bCs/>
                                <w:sz w:val="24"/>
                                <w:szCs w:val="24"/>
                              </w:rPr>
                            </w:pPr>
                          </w:p>
                          <w:p w:rsidR="009C56BF" w:rsidRDefault="009C56BF">
                            <w:pPr>
                              <w:pStyle w:val="Obsahrmce"/>
                              <w:spacing w:after="0"/>
                              <w:jc w:val="both"/>
                              <w:rPr>
                                <w:b/>
                                <w:sz w:val="23"/>
                                <w:szCs w:val="23"/>
                              </w:rPr>
                            </w:pPr>
                          </w:p>
                          <w:p w:rsidR="009C56BF" w:rsidRDefault="009C56BF">
                            <w:pPr>
                              <w:pStyle w:val="Obsahrmce"/>
                              <w:spacing w:after="0"/>
                              <w:jc w:val="both"/>
                              <w:rPr>
                                <w:b/>
                                <w:sz w:val="23"/>
                                <w:szCs w:val="23"/>
                              </w:rPr>
                            </w:pPr>
                          </w:p>
                          <w:p w:rsidR="009C56BF" w:rsidRDefault="009C56BF">
                            <w:pPr>
                              <w:pStyle w:val="Obsahrmce"/>
                              <w:spacing w:after="0"/>
                              <w:jc w:val="both"/>
                              <w:rPr>
                                <w:b/>
                                <w:sz w:val="23"/>
                                <w:szCs w:val="23"/>
                              </w:rPr>
                            </w:pPr>
                          </w:p>
                          <w:p w:rsidR="009C56BF" w:rsidRDefault="009C56BF">
                            <w:pPr>
                              <w:pStyle w:val="Obsahrmce"/>
                              <w:spacing w:after="0"/>
                              <w:jc w:val="both"/>
                              <w:rPr>
                                <w:b/>
                                <w:sz w:val="23"/>
                                <w:szCs w:val="23"/>
                              </w:rPr>
                            </w:pPr>
                          </w:p>
                        </w:txbxContent>
                      </wps:txbx>
                      <wps:bodyPr lIns="91440" tIns="45720" rIns="91440" bIns="45720" anchor="t">
                        <a:noAutofit/>
                      </wps:bodyPr>
                    </wps:wsp>
                  </a:graphicData>
                </a:graphic>
                <wp14:sizeRelV relativeFrom="margin">
                  <wp14:pctHeight>0</wp14:pctHeight>
                </wp14:sizeRelV>
              </wp:anchor>
            </w:drawing>
          </mc:Choice>
          <mc:Fallback>
            <w:pict>
              <v:shape w14:anchorId="38A6E83A" id="Rámec8" o:spid="_x0000_s1033" type="#_x0000_t202" style="position:absolute;margin-left:-.3pt;margin-top:10.05pt;width:540.9pt;height:754.6pt;z-index:359;visibility:visible;mso-wrap-style:square;mso-height-percent:0;mso-wrap-distance-left:1.5pt;mso-wrap-distance-top:1.5pt;mso-wrap-distance-right:1.5pt;mso-wrap-distance-bottom:1.5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" o:allowincell="f" strokeweight="3pt">
                <v:textbox>
                  <w:txbxContent>
                    <w:p w:rsidR="009C56BF" w:rsidRPr="00BA27CE" w:rsidRDefault="009C56BF" w:rsidP="00CC4798">
                      <w:pPr>
                        <w:spacing w:after="0"/>
                        <w:jc w:val="both"/>
                        <w:rPr>
                          <w:b/>
                          <w:sz w:val="23"/>
                          <w:szCs w:val="23"/>
                        </w:rPr>
                      </w:pPr>
                      <w:r w:rsidRPr="00BA27CE">
                        <w:rPr>
                          <w:b/>
                          <w:sz w:val="23"/>
                          <w:szCs w:val="23"/>
                        </w:rPr>
                        <w:t>Složitá a mnohostranná patofyziologie onemocnění IgAN (viz Přílohu č. 19) naznačuje, že pouhé zacílení léčby na jeden faktor nebude dostatečné</w:t>
                      </w:r>
                      <w:r>
                        <w:rPr>
                          <w:b/>
                          <w:sz w:val="23"/>
                          <w:szCs w:val="23"/>
                        </w:rPr>
                        <w:t xml:space="preserve">, </w:t>
                      </w:r>
                      <w:r w:rsidRPr="00BA27CE">
                        <w:rPr>
                          <w:b/>
                          <w:sz w:val="23"/>
                          <w:szCs w:val="23"/>
                        </w:rPr>
                        <w:t>naopak je nutný komplexní přístup, který pokrývá různé patofyziologické komponenty onemocnění IgAN – podrobnosti jsou uvedeny výše v odstavci „</w:t>
                      </w:r>
                      <w:r w:rsidRPr="00BA27CE">
                        <w:rPr>
                          <w:b/>
                          <w:i/>
                          <w:sz w:val="23"/>
                          <w:szCs w:val="23"/>
                        </w:rPr>
                        <w:t>Postavení léčiva v …</w:t>
                      </w:r>
                      <w:r w:rsidRPr="00BA27CE">
                        <w:rPr>
                          <w:b/>
                          <w:sz w:val="23"/>
                          <w:szCs w:val="23"/>
                        </w:rPr>
                        <w:t>“</w:t>
                      </w:r>
                      <w:r>
                        <w:rPr>
                          <w:b/>
                          <w:sz w:val="23"/>
                          <w:szCs w:val="23"/>
                        </w:rPr>
                        <w:t>.</w:t>
                      </w:r>
                    </w:p>
                    <w:p w:rsidR="009C56BF" w:rsidRDefault="009C56BF" w:rsidP="00CC4798">
                      <w:pPr>
                        <w:pStyle w:val="Obsahrmce"/>
                        <w:spacing w:after="0"/>
                        <w:jc w:val="both"/>
                        <w:rPr>
                          <w:b/>
                          <w:sz w:val="23"/>
                          <w:szCs w:val="23"/>
                        </w:rPr>
                      </w:pPr>
                      <w:r w:rsidRPr="005D1435">
                        <w:rPr>
                          <w:b/>
                          <w:sz w:val="23"/>
                          <w:szCs w:val="23"/>
                          <w:u w:val="single"/>
                        </w:rPr>
                        <w:t>Dle doporučení KDIGO 2021</w:t>
                      </w:r>
                      <w:r w:rsidRPr="005D1435">
                        <w:rPr>
                          <w:b/>
                          <w:sz w:val="23"/>
                          <w:szCs w:val="23"/>
                          <w:u w:val="single"/>
                          <w:vertAlign w:val="superscript"/>
                        </w:rPr>
                        <w:t>76</w:t>
                      </w:r>
                      <w:r w:rsidRPr="005D1435">
                        <w:rPr>
                          <w:b/>
                          <w:sz w:val="23"/>
                          <w:szCs w:val="23"/>
                          <w:u w:val="single"/>
                        </w:rPr>
                        <w:t xml:space="preserve"> může být u pacientů s vysokým rizikem progrese IgAN</w:t>
                      </w:r>
                      <w:r w:rsidRPr="00BA27CE">
                        <w:rPr>
                          <w:b/>
                          <w:sz w:val="23"/>
                          <w:szCs w:val="23"/>
                        </w:rPr>
                        <w:t xml:space="preserve"> (podrobnosti jsou uvedeny výše v odstavci „</w:t>
                      </w:r>
                      <w:r w:rsidRPr="00BA27CE">
                        <w:rPr>
                          <w:b/>
                          <w:i/>
                          <w:sz w:val="23"/>
                          <w:szCs w:val="23"/>
                        </w:rPr>
                        <w:t>Postavení léčiva v …</w:t>
                      </w:r>
                      <w:r w:rsidRPr="00BA27CE">
                        <w:rPr>
                          <w:b/>
                          <w:sz w:val="23"/>
                          <w:szCs w:val="23"/>
                        </w:rPr>
                        <w:t xml:space="preserve">“) </w:t>
                      </w:r>
                      <w:r w:rsidRPr="005D1435">
                        <w:rPr>
                          <w:b/>
                          <w:sz w:val="23"/>
                          <w:szCs w:val="23"/>
                          <w:u w:val="single"/>
                        </w:rPr>
                        <w:t xml:space="preserve">zvážena (pokud je nelze zařadit do klinické studie) </w:t>
                      </w:r>
                      <w:proofErr w:type="gramStart"/>
                      <w:r w:rsidRPr="005D1435">
                        <w:rPr>
                          <w:b/>
                          <w:sz w:val="23"/>
                          <w:szCs w:val="23"/>
                          <w:u w:val="single"/>
                        </w:rPr>
                        <w:t>6-ti</w:t>
                      </w:r>
                      <w:proofErr w:type="gramEnd"/>
                      <w:r w:rsidRPr="005D1435">
                        <w:rPr>
                          <w:b/>
                          <w:sz w:val="23"/>
                          <w:szCs w:val="23"/>
                          <w:u w:val="single"/>
                        </w:rPr>
                        <w:t xml:space="preserve"> měsíční imunosupresivní léčba glukokortikoidy</w:t>
                      </w:r>
                      <w:r w:rsidRPr="00BA27CE">
                        <w:rPr>
                          <w:b/>
                          <w:sz w:val="23"/>
                          <w:szCs w:val="23"/>
                          <w:vertAlign w:val="superscript"/>
                        </w:rPr>
                        <w:t>28</w:t>
                      </w:r>
                      <w:r w:rsidRPr="00BA27CE">
                        <w:rPr>
                          <w:b/>
                          <w:sz w:val="23"/>
                          <w:szCs w:val="23"/>
                        </w:rPr>
                        <w:t xml:space="preserve">. V české klinické praxi se ze systémových kortikosteroidů společně s podpůrnou léčbou používá jen prednison (srovnej Přílohu č. 14!), který je v současné době nabízen pouze nově diagnostikovaným pacientům s progresivní IgAN při respektování kontraindikací k podávání systémových kortikosteroidů u IgAN dle doporučení KDIGO 2021 (viz podrobněji níže bod 2.3.1.3 v Příloze č. 13) - dle údajů uvedených ve SŘ k LP KINPEYGO vyplývá, že prednisonem je v české klinické praxi léčeno jen 6 % pacientů (podle vyjádření ČNS). </w:t>
                      </w:r>
                      <w:r w:rsidRPr="005D1435">
                        <w:rPr>
                          <w:b/>
                          <w:sz w:val="23"/>
                          <w:szCs w:val="23"/>
                          <w:u w:val="single"/>
                        </w:rPr>
                        <w:t>Doporučení KDIGO z roku 2021</w:t>
                      </w:r>
                      <w:r w:rsidRPr="005D1435">
                        <w:rPr>
                          <w:b/>
                          <w:sz w:val="23"/>
                          <w:szCs w:val="23"/>
                          <w:u w:val="single"/>
                          <w:vertAlign w:val="superscript"/>
                        </w:rPr>
                        <w:t>76</w:t>
                      </w:r>
                      <w:r w:rsidRPr="005D1435">
                        <w:rPr>
                          <w:b/>
                          <w:sz w:val="23"/>
                          <w:szCs w:val="23"/>
                          <w:u w:val="single"/>
                        </w:rPr>
                        <w:t xml:space="preserve"> uvádí (vzhledem k datu publikace!) LP KINPEYGO (tj. TRF budesonid) jen v rámci probíhajících klinických studií, v doporučení nebyly samozřejmě také zohledněny novější výsledky studie TESTING</w:t>
                      </w:r>
                      <w:r w:rsidRPr="005D1435">
                        <w:rPr>
                          <w:b/>
                          <w:sz w:val="23"/>
                          <w:szCs w:val="23"/>
                          <w:u w:val="single"/>
                          <w:vertAlign w:val="superscript"/>
                        </w:rPr>
                        <w:t>130</w:t>
                      </w:r>
                      <w:r w:rsidRPr="005D1435">
                        <w:rPr>
                          <w:b/>
                          <w:sz w:val="23"/>
                          <w:szCs w:val="23"/>
                          <w:u w:val="single"/>
                        </w:rPr>
                        <w:t xml:space="preserve"> publikované s nízkodávkovaným systémově podávaným methylprednisolonem</w:t>
                      </w:r>
                      <w:r w:rsidRPr="00BA27CE">
                        <w:rPr>
                          <w:b/>
                          <w:sz w:val="23"/>
                          <w:szCs w:val="23"/>
                        </w:rPr>
                        <w:t xml:space="preserve"> (viz podrobněji Přílohu č. 23)</w:t>
                      </w:r>
                      <w:r>
                        <w:rPr>
                          <w:b/>
                          <w:sz w:val="23"/>
                          <w:szCs w:val="23"/>
                        </w:rPr>
                        <w:t>.</w:t>
                      </w:r>
                    </w:p>
                    <w:p w:rsidR="009C56BF" w:rsidRPr="00BA27CE" w:rsidRDefault="009C56BF" w:rsidP="00CC4798">
                      <w:pPr>
                        <w:pStyle w:val="Obsahrmce"/>
                        <w:spacing w:after="0"/>
                        <w:jc w:val="both"/>
                        <w:rPr>
                          <w:b/>
                          <w:sz w:val="23"/>
                          <w:szCs w:val="23"/>
                        </w:rPr>
                      </w:pPr>
                      <w:r w:rsidRPr="00BA27CE">
                        <w:rPr>
                          <w:b/>
                          <w:sz w:val="23"/>
                          <w:szCs w:val="23"/>
                        </w:rPr>
                        <w:t xml:space="preserve"> </w:t>
                      </w:r>
                    </w:p>
                    <w:p w:rsidR="009C56BF" w:rsidRPr="005D1435" w:rsidRDefault="009C56BF" w:rsidP="005D1435">
                      <w:pPr>
                        <w:spacing w:after="0"/>
                        <w:jc w:val="both"/>
                        <w:rPr>
                          <w:b/>
                          <w:sz w:val="23"/>
                          <w:szCs w:val="23"/>
                        </w:rPr>
                      </w:pPr>
                      <w:r w:rsidRPr="005D1435">
                        <w:rPr>
                          <w:b/>
                          <w:color w:val="000000"/>
                          <w:sz w:val="23"/>
                          <w:szCs w:val="23"/>
                          <w:u w:val="single"/>
                        </w:rPr>
                        <w:t>Účinnost a bezpečnost LP KINPEYGO byla hodnocena v léčbě primární IgAN u dospělých pacientů s rizikem rychlé progrese onemocnění, kteří užívali blokátory RAAS</w:t>
                      </w:r>
                      <w:r w:rsidRPr="005D1435">
                        <w:rPr>
                          <w:b/>
                          <w:color w:val="000000"/>
                          <w:sz w:val="23"/>
                          <w:szCs w:val="23"/>
                        </w:rPr>
                        <w:t xml:space="preserve"> (viz níže pozn. 92), </w:t>
                      </w:r>
                      <w:r w:rsidRPr="005D1435">
                        <w:rPr>
                          <w:b/>
                          <w:color w:val="000000"/>
                          <w:sz w:val="23"/>
                          <w:szCs w:val="23"/>
                          <w:u w:val="single"/>
                        </w:rPr>
                        <w:t xml:space="preserve">ve dvou rozsáhlých randomizovaných, dvojitě zaslepených, placebem kontrolovaných klinických studiích – studie fáze IIIa NefIgArd </w:t>
                      </w:r>
                      <w:r w:rsidRPr="005D1435">
                        <w:rPr>
                          <w:b/>
                          <w:color w:val="000000"/>
                          <w:sz w:val="23"/>
                          <w:szCs w:val="23"/>
                        </w:rPr>
                        <w:t xml:space="preserve">(NCT03643965) </w:t>
                      </w:r>
                      <w:r w:rsidRPr="005D1435">
                        <w:rPr>
                          <w:b/>
                          <w:color w:val="000000"/>
                          <w:sz w:val="23"/>
                          <w:szCs w:val="23"/>
                          <w:u w:val="single"/>
                        </w:rPr>
                        <w:t xml:space="preserve">a studie fáze IIb NEFIGAN </w:t>
                      </w:r>
                      <w:r w:rsidRPr="005D1435">
                        <w:rPr>
                          <w:b/>
                          <w:color w:val="000000"/>
                          <w:sz w:val="23"/>
                          <w:szCs w:val="23"/>
                        </w:rPr>
                        <w:t>(NCT01738035)</w:t>
                      </w:r>
                      <w:r w:rsidRPr="005D1435">
                        <w:rPr>
                          <w:b/>
                          <w:color w:val="000000"/>
                          <w:sz w:val="23"/>
                          <w:szCs w:val="23"/>
                          <w:vertAlign w:val="superscript"/>
                        </w:rPr>
                        <w:t>5</w:t>
                      </w:r>
                      <w:r w:rsidRPr="005D1435">
                        <w:rPr>
                          <w:b/>
                          <w:color w:val="000000"/>
                          <w:sz w:val="23"/>
                          <w:szCs w:val="23"/>
                        </w:rPr>
                        <w:t xml:space="preserve"> – viz podrobněji Přílohy č. 20 a 21. </w:t>
                      </w:r>
                      <w:r w:rsidRPr="005D1435">
                        <w:rPr>
                          <w:b/>
                          <w:bCs/>
                          <w:sz w:val="23"/>
                          <w:szCs w:val="23"/>
                          <w:u w:val="single"/>
                        </w:rPr>
                        <w:t>Na základě výsledků studie NefIgArd SUKL považuje komparativní účinnost LP KINPEYGA přidaného k podpůrné léčbě spočívající ve zpomalení progrese IgAN oproti podpůrné léčbě samotné u cílové populace pacientů za prokázanou při zachování dobré bezpečnosti</w:t>
                      </w:r>
                      <w:r w:rsidRPr="005D1435">
                        <w:rPr>
                          <w:b/>
                          <w:bCs/>
                          <w:sz w:val="23"/>
                          <w:szCs w:val="23"/>
                          <w:u w:val="single"/>
                          <w:vertAlign w:val="superscript"/>
                        </w:rPr>
                        <w:t>28</w:t>
                      </w:r>
                      <w:r w:rsidRPr="005D1435">
                        <w:rPr>
                          <w:b/>
                          <w:bCs/>
                          <w:sz w:val="23"/>
                          <w:szCs w:val="23"/>
                        </w:rPr>
                        <w:t>.</w:t>
                      </w:r>
                      <w:r>
                        <w:rPr>
                          <w:b/>
                          <w:bCs/>
                          <w:sz w:val="23"/>
                          <w:szCs w:val="23"/>
                        </w:rPr>
                        <w:t xml:space="preserve"> </w:t>
                      </w:r>
                      <w:r w:rsidRPr="005D1435">
                        <w:rPr>
                          <w:b/>
                          <w:sz w:val="23"/>
                          <w:szCs w:val="23"/>
                        </w:rPr>
                        <w:t>Nedostatkem studie NefIgArd s hodnoceným LP KINPEYGO (oproti studii TESTING se systemovým kortikoidem) je nepřítomnost MEST skóre u pacientů, protože např. přítomnost aktivních proliferativních lézí (tj. vyšší skóre M a/nebo E – viz níže pozn. 53) nebo srpků (tj. vyšší skóre C – viz níže pozn. 53 a 54) může být indikací k agresivnější léčbě (viz také níže pozn. 9), naproti tomu u pacientů s více chronickými lézemi (tj. s vyšším T skóre – viz níže pozn. 53) je méně pravděpodobné, že budou reagovat na imunosupresivní léčbu</w:t>
                      </w:r>
                      <w:r w:rsidRPr="005D1435">
                        <w:rPr>
                          <w:b/>
                          <w:sz w:val="23"/>
                          <w:szCs w:val="23"/>
                          <w:vertAlign w:val="superscript"/>
                        </w:rPr>
                        <w:t>82</w:t>
                      </w:r>
                      <w:r w:rsidRPr="005D1435">
                        <w:rPr>
                          <w:b/>
                          <w:sz w:val="23"/>
                          <w:szCs w:val="23"/>
                        </w:rPr>
                        <w:t>.</w:t>
                      </w:r>
                    </w:p>
                    <w:p w:rsidR="009C56BF" w:rsidRPr="005D1435" w:rsidRDefault="009C56BF" w:rsidP="00CC4798">
                      <w:pPr>
                        <w:pStyle w:val="Obsahrmce"/>
                        <w:spacing w:after="0"/>
                        <w:jc w:val="both"/>
                        <w:rPr>
                          <w:b/>
                          <w:sz w:val="6"/>
                          <w:szCs w:val="6"/>
                        </w:rPr>
                      </w:pPr>
                    </w:p>
                    <w:p w:rsidR="009C56BF" w:rsidRPr="005D1435" w:rsidRDefault="009C56BF" w:rsidP="005D1435">
                      <w:pPr>
                        <w:spacing w:after="0"/>
                        <w:jc w:val="both"/>
                        <w:rPr>
                          <w:rFonts w:cstheme="minorHAnsi"/>
                          <w:b/>
                          <w:sz w:val="23"/>
                          <w:szCs w:val="23"/>
                        </w:rPr>
                      </w:pPr>
                      <w:r w:rsidRPr="005D1435">
                        <w:rPr>
                          <w:b/>
                          <w:sz w:val="23"/>
                          <w:szCs w:val="23"/>
                        </w:rPr>
                        <w:t xml:space="preserve">V rámci správního řízení k LP KINPEYGU (které „více-méně“ skončilo dne </w:t>
                      </w:r>
                      <w:r w:rsidRPr="005D1435">
                        <w:rPr>
                          <w:rFonts w:cstheme="minorHAnsi"/>
                          <w:b/>
                          <w:sz w:val="23"/>
                          <w:szCs w:val="23"/>
                        </w:rPr>
                        <w:t>8. 8. 2024 nepřiznáním úhrady – viz výše odstavec „</w:t>
                      </w:r>
                      <w:r w:rsidRPr="005D1435">
                        <w:rPr>
                          <w:rFonts w:cstheme="minorHAnsi"/>
                          <w:b/>
                          <w:i/>
                          <w:sz w:val="23"/>
                          <w:szCs w:val="23"/>
                        </w:rPr>
                        <w:t>Stav LP v ČR ….</w:t>
                      </w:r>
                      <w:r w:rsidRPr="005D1435">
                        <w:rPr>
                          <w:rFonts w:cstheme="minorHAnsi"/>
                          <w:b/>
                          <w:sz w:val="23"/>
                          <w:szCs w:val="23"/>
                        </w:rPr>
                        <w:t>“</w:t>
                      </w:r>
                      <w:r w:rsidRPr="005D1435">
                        <w:rPr>
                          <w:b/>
                          <w:sz w:val="23"/>
                          <w:szCs w:val="23"/>
                        </w:rPr>
                        <w:t>) nebyly zohledněny novější výsledky studie TESTING</w:t>
                      </w:r>
                      <w:r w:rsidRPr="005D1435">
                        <w:rPr>
                          <w:b/>
                          <w:sz w:val="23"/>
                          <w:szCs w:val="23"/>
                          <w:vertAlign w:val="superscript"/>
                        </w:rPr>
                        <w:t>130</w:t>
                      </w:r>
                      <w:r w:rsidRPr="005D1435">
                        <w:rPr>
                          <w:b/>
                          <w:sz w:val="23"/>
                          <w:szCs w:val="23"/>
                        </w:rPr>
                        <w:t xml:space="preserve"> publikované v dubnu 2024 a také schválené rozšířené indikační podmínky pro hodnocený LP KINPEYGO platné od 30. 7. 2024 (viz výše odstavec „</w:t>
                      </w:r>
                      <w:r w:rsidRPr="005D1435">
                        <w:rPr>
                          <w:b/>
                          <w:i/>
                          <w:sz w:val="23"/>
                          <w:szCs w:val="23"/>
                        </w:rPr>
                        <w:t>Indikace dle SPC</w:t>
                      </w:r>
                      <w:r w:rsidRPr="005D1435">
                        <w:rPr>
                          <w:b/>
                          <w:sz w:val="23"/>
                          <w:szCs w:val="23"/>
                        </w:rPr>
                        <w:t>“). Mj. také nebyla zmiňována další nově publikovaná nerandomizovaná studie</w:t>
                      </w:r>
                      <w:r w:rsidRPr="005D1435">
                        <w:rPr>
                          <w:b/>
                          <w:sz w:val="23"/>
                          <w:szCs w:val="23"/>
                          <w:vertAlign w:val="superscript"/>
                        </w:rPr>
                        <w:t>115</w:t>
                      </w:r>
                      <w:r w:rsidRPr="005D1435">
                        <w:rPr>
                          <w:b/>
                          <w:sz w:val="23"/>
                          <w:szCs w:val="23"/>
                        </w:rPr>
                        <w:t xml:space="preserve"> s LP BUDENOFALK z listopadu 2023 (k tomu viz podrobněji níže pozn. 13). „</w:t>
                      </w:r>
                      <w:r w:rsidRPr="005D1435">
                        <w:rPr>
                          <w:b/>
                          <w:sz w:val="23"/>
                          <w:szCs w:val="23"/>
                          <w:u w:val="single"/>
                        </w:rPr>
                        <w:t xml:space="preserve">Naivní“ nepřímé srovnání režimu s LP KINPEYGO s režimy obsahujícími systémové kortikosteroidy je zatíženo poměrně velkou nejistotou zejména v parametru dlouhodobé účinnosti obou intervencí, v parametru bezpečnosti je možnost srovnání lepší. Dle výsledků těchto srovnání uvedených v Příloze č. 24 považuje autor této FE analýzy (pro její účely) účinnost obou režimů (jak v redukci proteinurie, tak poklesu eGFR během 2 let od zahájení léčby) při stejné výchozí hodnotě eGFR a proteinurie za cca podobnou. Co se týká bezpečnosti, tak autor této FE analýzy (pro její účely) považuje režim s LP KINPEYGO bezpečnější (oproti režimu s nízkodávkovaným methylprednisolonem viz podrobněji tabulku níže) jen v parametru výskytu závažných infekcí – viz podrobněji Přílohu č. 24. Dále je předpokládána cca stejná účinnost systémových kortikoidů i LP KINPEYGO u pacientů různých ras – viz k tomu podrobněji výsledky analýz různých podskupin pacientů v Přílohách č. 21, 23 a 29. </w:t>
                      </w:r>
                      <w:r w:rsidRPr="005D1435">
                        <w:rPr>
                          <w:b/>
                          <w:sz w:val="23"/>
                          <w:szCs w:val="23"/>
                        </w:rPr>
                        <w:t>Další informace, které povedou ke zpřesnění nepřímého srovnání obou režimů by mohly přinést výsledky studií NefIgArd OLE (tj. studie s opakovaným podáním LP KINPEYGO – viz podrobněji design studie uvedený v Příloze č. 20), které budou pravděpodobně prezentovány až na kongresu ERA ve Vídni (v červnu 2025</w:t>
                      </w:r>
                      <w:r w:rsidRPr="005D1435">
                        <w:rPr>
                          <w:b/>
                          <w:sz w:val="23"/>
                          <w:szCs w:val="23"/>
                          <w:vertAlign w:val="superscript"/>
                        </w:rPr>
                        <w:t>144</w:t>
                      </w:r>
                      <w:r w:rsidRPr="005D1435">
                        <w:rPr>
                          <w:b/>
                          <w:sz w:val="23"/>
                          <w:szCs w:val="23"/>
                        </w:rPr>
                        <w:t>), a studie fáze 3 TIGER (tj studie se systémovými kortikoidy probíhající ve Francii), jejíž výsledky budou pravděpodobně publikovány také až v roce 2025</w:t>
                      </w:r>
                      <w:r w:rsidRPr="005D1435">
                        <w:rPr>
                          <w:b/>
                          <w:sz w:val="23"/>
                          <w:szCs w:val="23"/>
                          <w:vertAlign w:val="superscript"/>
                        </w:rPr>
                        <w:t>145</w:t>
                      </w:r>
                      <w:r w:rsidRPr="005D1435">
                        <w:rPr>
                          <w:b/>
                          <w:sz w:val="23"/>
                          <w:szCs w:val="23"/>
                        </w:rPr>
                        <w:t xml:space="preserve">. Na podzim 2024 také na trh v ČR zřejmě vstoupí LP FILSPARI (sparsentan – viz níže pozn. 94), který bude ale nejspíše určen pro pac. s proteinúrií </w:t>
                      </w:r>
                      <w:r w:rsidRPr="005D1435">
                        <w:rPr>
                          <w:rFonts w:cstheme="minorHAnsi"/>
                          <w:b/>
                          <w:sz w:val="23"/>
                          <w:szCs w:val="23"/>
                        </w:rPr>
                        <w:t>≥ 1,0 g/den (bez hematurie) po předcházející léčbě syst. kortikoidy či LP KINPEYGO, v tomto scénaři pak bude nepravděpodobnějším kompáratorem inhibitor SGLT2 (viz níže pozn. 93).</w:t>
                      </w:r>
                    </w:p>
                    <w:p w:rsidR="009C56BF" w:rsidRPr="00010794" w:rsidRDefault="009C56BF" w:rsidP="005D1435">
                      <w:pPr>
                        <w:spacing w:after="0"/>
                        <w:jc w:val="both"/>
                        <w:rPr>
                          <w:sz w:val="10"/>
                          <w:szCs w:val="10"/>
                        </w:rPr>
                      </w:pPr>
                    </w:p>
                    <w:p w:rsidR="009C56BF" w:rsidRPr="005D1435" w:rsidRDefault="009C56BF" w:rsidP="005D1435">
                      <w:pPr>
                        <w:spacing w:after="0"/>
                        <w:jc w:val="both"/>
                        <w:rPr>
                          <w:b/>
                          <w:sz w:val="23"/>
                          <w:szCs w:val="23"/>
                        </w:rPr>
                      </w:pPr>
                    </w:p>
                    <w:p w:rsidR="009C56BF" w:rsidRPr="005D1435" w:rsidRDefault="009C56BF">
                      <w:pPr>
                        <w:pStyle w:val="Obsahrmce"/>
                        <w:spacing w:after="0"/>
                        <w:jc w:val="both"/>
                        <w:rPr>
                          <w:rFonts w:cstheme="minorHAnsi"/>
                          <w:b/>
                          <w:sz w:val="23"/>
                          <w:szCs w:val="23"/>
                        </w:rPr>
                      </w:pPr>
                    </w:p>
                    <w:p w:rsidR="009C56BF" w:rsidRPr="005D1435" w:rsidRDefault="009C56BF">
                      <w:pPr>
                        <w:pStyle w:val="Obsahrmce"/>
                        <w:spacing w:after="0"/>
                        <w:jc w:val="both"/>
                        <w:rPr>
                          <w:rStyle w:val="Hypertextovodkaz"/>
                          <w:rFonts w:cstheme="minorHAnsi"/>
                          <w:b/>
                          <w:color w:val="auto"/>
                          <w:sz w:val="23"/>
                          <w:szCs w:val="23"/>
                          <w:u w:val="none"/>
                        </w:rPr>
                      </w:pPr>
                    </w:p>
                    <w:p w:rsidR="009C56BF" w:rsidRPr="005D1435" w:rsidRDefault="009C56BF">
                      <w:pPr>
                        <w:pStyle w:val="Obsahrmce"/>
                        <w:spacing w:after="0"/>
                        <w:jc w:val="both"/>
                        <w:rPr>
                          <w:rStyle w:val="Hypertextovodkaz"/>
                          <w:rFonts w:cstheme="minorHAnsi"/>
                          <w:b/>
                          <w:color w:val="auto"/>
                          <w:sz w:val="23"/>
                          <w:szCs w:val="23"/>
                          <w:highlight w:val="cyan"/>
                          <w:u w:val="none"/>
                        </w:rPr>
                      </w:pPr>
                    </w:p>
                    <w:p w:rsidR="009C56BF" w:rsidRPr="005D1435" w:rsidRDefault="009C56BF">
                      <w:pPr>
                        <w:pStyle w:val="Obsahrmce"/>
                        <w:spacing w:after="0"/>
                        <w:jc w:val="both"/>
                        <w:rPr>
                          <w:rFonts w:cstheme="minorHAnsi"/>
                          <w:b/>
                          <w:color w:val="000000"/>
                          <w:sz w:val="23"/>
                          <w:szCs w:val="23"/>
                        </w:rPr>
                      </w:pPr>
                    </w:p>
                    <w:p w:rsidR="009C56BF" w:rsidRPr="005D1435" w:rsidRDefault="009C56BF">
                      <w:pPr>
                        <w:pStyle w:val="Obsahrmce"/>
                        <w:spacing w:after="0" w:line="240" w:lineRule="auto"/>
                        <w:jc w:val="both"/>
                        <w:rPr>
                          <w:rFonts w:cstheme="minorHAnsi"/>
                          <w:b/>
                          <w:sz w:val="23"/>
                          <w:szCs w:val="23"/>
                          <w:u w:val="single"/>
                        </w:rPr>
                      </w:pPr>
                    </w:p>
                    <w:p w:rsidR="009C56BF" w:rsidRDefault="009C56BF">
                      <w:pPr>
                        <w:pStyle w:val="Obsahrmce"/>
                        <w:spacing w:after="0"/>
                        <w:jc w:val="both"/>
                        <w:rPr>
                          <w:rFonts w:cstheme="minorHAnsi"/>
                          <w:sz w:val="16"/>
                          <w:szCs w:val="16"/>
                        </w:rPr>
                      </w:pPr>
                    </w:p>
                    <w:p w:rsidR="009C56BF" w:rsidRDefault="009C56BF">
                      <w:pPr>
                        <w:pStyle w:val="Obsahrmce"/>
                        <w:spacing w:after="0"/>
                        <w:jc w:val="both"/>
                        <w:rPr>
                          <w:b/>
                          <w:sz w:val="23"/>
                          <w:szCs w:val="23"/>
                        </w:rPr>
                      </w:pPr>
                    </w:p>
                    <w:p w:rsidR="009C56BF" w:rsidRDefault="009C56BF">
                      <w:pPr>
                        <w:pStyle w:val="Obsahrmce"/>
                        <w:spacing w:after="0"/>
                        <w:jc w:val="both"/>
                        <w:rPr>
                          <w:rFonts w:cstheme="minorHAnsi"/>
                          <w:b/>
                          <w:bCs/>
                          <w:sz w:val="24"/>
                          <w:szCs w:val="24"/>
                        </w:rPr>
                      </w:pPr>
                    </w:p>
                    <w:p w:rsidR="009C56BF" w:rsidRDefault="009C56BF">
                      <w:pPr>
                        <w:pStyle w:val="Obsahrmce"/>
                        <w:spacing w:after="0"/>
                        <w:jc w:val="both"/>
                        <w:rPr>
                          <w:b/>
                          <w:sz w:val="23"/>
                          <w:szCs w:val="23"/>
                        </w:rPr>
                      </w:pPr>
                    </w:p>
                    <w:p w:rsidR="009C56BF" w:rsidRDefault="009C56BF">
                      <w:pPr>
                        <w:pStyle w:val="Obsahrmce"/>
                        <w:spacing w:after="0"/>
                        <w:jc w:val="both"/>
                        <w:rPr>
                          <w:b/>
                          <w:sz w:val="23"/>
                          <w:szCs w:val="23"/>
                        </w:rPr>
                      </w:pPr>
                    </w:p>
                    <w:p w:rsidR="009C56BF" w:rsidRDefault="009C56BF">
                      <w:pPr>
                        <w:pStyle w:val="Obsahrmce"/>
                        <w:spacing w:after="0"/>
                        <w:jc w:val="both"/>
                        <w:rPr>
                          <w:b/>
                          <w:sz w:val="23"/>
                          <w:szCs w:val="23"/>
                        </w:rPr>
                      </w:pPr>
                    </w:p>
                    <w:p w:rsidR="009C56BF" w:rsidRDefault="009C56BF">
                      <w:pPr>
                        <w:pStyle w:val="Obsahrmce"/>
                        <w:spacing w:after="0"/>
                        <w:jc w:val="both"/>
                        <w:rPr>
                          <w:b/>
                          <w:sz w:val="23"/>
                          <w:szCs w:val="23"/>
                        </w:rPr>
                      </w:pPr>
                    </w:p>
                  </w:txbxContent>
                </v:textbox>
                <w10:wrap anchorx="margin"/>
              </v:shape>
            </w:pict>
          </mc:Fallback>
        </mc:AlternateContent>
      </w: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5D1435">
      <w:pPr>
        <w:spacing w:before="240" w:after="0"/>
        <w:rPr>
          <w:rFonts w:cstheme="minorHAnsi"/>
        </w:rPr>
      </w:pPr>
      <w:r>
        <w:rPr>
          <w:noProof/>
          <w:lang w:eastAsia="cs-CZ"/>
        </w:rPr>
        <mc:AlternateContent>
          <mc:Choice Requires="wps">
            <w:drawing>
              <wp:anchor distT="19050" distB="19050" distL="19050" distR="19050" simplePos="0" relativeHeight="360" behindDoc="0" locked="0" layoutInCell="0" allowOverlap="1" wp14:anchorId="63C75690" wp14:editId="7150B5F7">
                <wp:simplePos x="0" y="0"/>
                <wp:positionH relativeFrom="margin">
                  <wp:posOffset>-7620</wp:posOffset>
                </wp:positionH>
                <wp:positionV relativeFrom="paragraph">
                  <wp:posOffset>121285</wp:posOffset>
                </wp:positionV>
                <wp:extent cx="6869430" cy="9534525"/>
                <wp:effectExtent l="19050" t="19050" r="7620" b="9525"/>
                <wp:wrapNone/>
                <wp:docPr id="19" name="Rámec9"/>
                <wp:cNvGraphicFramePr/>
                <a:graphic xmlns:a="http://schemas.openxmlformats.org/drawingml/2006/main">
                  <a:graphicData uri="http://schemas.microsoft.com/office/word/2010/wordprocessingShape">
                    <wps:wsp>
                      <wps:cNvSpPr txBox="1"/>
                      <wps:spPr>
                        <a:xfrm>
                          <a:off x="0" y="0"/>
                          <a:ext cx="6869430" cy="9534525"/>
                        </a:xfrm>
                        <a:prstGeom prst="rect">
                          <a:avLst/>
                        </a:prstGeom>
                        <a:solidFill>
                          <a:srgbClr val="FFFFFF"/>
                        </a:solidFill>
                        <a:ln w="38100">
                          <a:solidFill>
                            <a:srgbClr val="000000"/>
                          </a:solidFill>
                        </a:ln>
                      </wps:spPr>
                      <wps:txbx>
                        <w:txbxContent>
                          <w:p w:rsidR="009C56BF" w:rsidRDefault="009C56BF">
                            <w:pPr>
                              <w:pStyle w:val="Obsahrmce"/>
                              <w:spacing w:after="0"/>
                              <w:jc w:val="both"/>
                              <w:rPr>
                                <w:rFonts w:cstheme="minorHAnsi"/>
                                <w:b/>
                                <w:sz w:val="6"/>
                                <w:szCs w:val="6"/>
                                <w:highlight w:val="cyan"/>
                                <w:u w:val="single"/>
                                <w:shd w:val="clear" w:color="auto" w:fill="FFFFFF"/>
                              </w:rPr>
                            </w:pPr>
                          </w:p>
                          <w:p w:rsidR="009C56BF" w:rsidRPr="005D1435" w:rsidRDefault="009C56BF" w:rsidP="005D1435">
                            <w:pPr>
                              <w:spacing w:after="0"/>
                              <w:jc w:val="both"/>
                              <w:rPr>
                                <w:b/>
                                <w:color w:val="000000"/>
                                <w:sz w:val="23"/>
                                <w:szCs w:val="23"/>
                                <w:u w:val="single"/>
                              </w:rPr>
                            </w:pPr>
                            <w:r w:rsidRPr="005D1435">
                              <w:rPr>
                                <w:rFonts w:cstheme="minorHAnsi"/>
                                <w:b/>
                                <w:sz w:val="23"/>
                                <w:szCs w:val="23"/>
                                <w:highlight w:val="cyan"/>
                                <w:u w:val="single"/>
                              </w:rPr>
                              <w:t>Autor této FE analýzy tedy zařadil</w:t>
                            </w:r>
                            <w:r w:rsidRPr="005D1435">
                              <w:rPr>
                                <w:rFonts w:cstheme="minorHAnsi"/>
                                <w:b/>
                                <w:sz w:val="23"/>
                                <w:szCs w:val="23"/>
                                <w:highlight w:val="cyan"/>
                              </w:rPr>
                              <w:t xml:space="preserve"> (na základě výše uvedených informací) </w:t>
                            </w:r>
                            <w:r w:rsidRPr="005D1435">
                              <w:rPr>
                                <w:rFonts w:cstheme="minorHAnsi"/>
                                <w:b/>
                                <w:sz w:val="23"/>
                                <w:szCs w:val="23"/>
                                <w:highlight w:val="cyan"/>
                                <w:u w:val="single"/>
                              </w:rPr>
                              <w:t>jako komparátory k LP KINPEYGU spolu s podpůrnou léčbou v léčbě IgAN s rizikem rychlé progrese onemocnění</w:t>
                            </w:r>
                            <w:r w:rsidRPr="005D1435">
                              <w:rPr>
                                <w:rFonts w:cstheme="minorHAnsi"/>
                                <w:b/>
                                <w:sz w:val="23"/>
                                <w:szCs w:val="23"/>
                                <w:highlight w:val="cyan"/>
                              </w:rPr>
                              <w:t xml:space="preserve"> </w:t>
                            </w:r>
                            <w:r w:rsidRPr="005D1435">
                              <w:rPr>
                                <w:b/>
                                <w:color w:val="000000"/>
                                <w:sz w:val="23"/>
                                <w:szCs w:val="23"/>
                                <w:highlight w:val="cyan"/>
                              </w:rPr>
                              <w:t xml:space="preserve">(proteinurie &gt; 1 g/den navzdory ≥ 90 dnům optimalizované podpůrné péče </w:t>
                            </w:r>
                            <w:r w:rsidRPr="005D1435">
                              <w:rPr>
                                <w:rFonts w:cstheme="minorHAnsi"/>
                                <w:b/>
                                <w:sz w:val="23"/>
                                <w:szCs w:val="23"/>
                                <w:highlight w:val="cyan"/>
                              </w:rPr>
                              <w:t xml:space="preserve">sestávající mj. ze stabilních maximálně tolerovaných nebo maximálně povolených dávek inhibitoru angiotenzin-konvertujícího enzymu (ACEi) a/nebo blokátoru receptoru typu 1 pro angiotenzin II (ARB)), </w:t>
                            </w:r>
                            <w:r w:rsidRPr="005D1435">
                              <w:rPr>
                                <w:rFonts w:cstheme="minorHAnsi"/>
                                <w:b/>
                                <w:sz w:val="23"/>
                                <w:szCs w:val="23"/>
                                <w:highlight w:val="cyan"/>
                                <w:u w:val="single"/>
                              </w:rPr>
                              <w:t>s odhadovanou glomerulární filtrací (eGFR) v rozmezí 0,58-1,50 ml/s/1,73 m</w:t>
                            </w:r>
                            <w:r w:rsidRPr="005D1435">
                              <w:rPr>
                                <w:rFonts w:cstheme="minorHAnsi"/>
                                <w:b/>
                                <w:sz w:val="23"/>
                                <w:szCs w:val="23"/>
                                <w:highlight w:val="cyan"/>
                                <w:u w:val="single"/>
                                <w:vertAlign w:val="superscript"/>
                              </w:rPr>
                              <w:t>2</w:t>
                            </w:r>
                            <w:r w:rsidRPr="005D1435">
                              <w:rPr>
                                <w:rFonts w:cstheme="minorHAnsi"/>
                                <w:b/>
                                <w:sz w:val="23"/>
                                <w:szCs w:val="23"/>
                                <w:highlight w:val="cyan"/>
                                <w:u w:val="single"/>
                              </w:rPr>
                              <w:t xml:space="preserve"> (tj. 35-90 ml/min/1,73m</w:t>
                            </w:r>
                            <w:r w:rsidRPr="005D1435">
                              <w:rPr>
                                <w:rFonts w:cstheme="minorHAnsi"/>
                                <w:b/>
                                <w:sz w:val="23"/>
                                <w:szCs w:val="23"/>
                                <w:highlight w:val="cyan"/>
                                <w:u w:val="single"/>
                                <w:vertAlign w:val="superscript"/>
                              </w:rPr>
                              <w:t>2</w:t>
                            </w:r>
                            <w:r w:rsidRPr="005D1435">
                              <w:rPr>
                                <w:rFonts w:cstheme="minorHAnsi"/>
                                <w:b/>
                                <w:sz w:val="23"/>
                                <w:szCs w:val="23"/>
                                <w:highlight w:val="cyan"/>
                                <w:u w:val="single"/>
                              </w:rPr>
                              <w:t xml:space="preserve">), bez přítomnosti </w:t>
                            </w:r>
                            <w:r w:rsidRPr="005D1435">
                              <w:rPr>
                                <w:b/>
                                <w:color w:val="000000"/>
                                <w:sz w:val="23"/>
                                <w:szCs w:val="23"/>
                                <w:highlight w:val="cyan"/>
                                <w:u w:val="single"/>
                              </w:rPr>
                              <w:t>tzv. variantních forem IgAN</w:t>
                            </w:r>
                            <w:r w:rsidRPr="005D1435">
                              <w:rPr>
                                <w:b/>
                                <w:color w:val="000000"/>
                                <w:sz w:val="23"/>
                                <w:szCs w:val="23"/>
                                <w:highlight w:val="cyan"/>
                              </w:rPr>
                              <w:t xml:space="preserve"> (tj. depozice IgA s tzv. onemocněním s minimální změnou („MCD“ – viz níže pozn. 55), IgAN s akutním poškozením ledvin („AKI“ – viz níže pozn. 70) a IgAN s rychle progredující glomerulonefritidou („RPGN“ </w:t>
                            </w:r>
                            <w:r w:rsidRPr="005D1435">
                              <w:rPr>
                                <w:rFonts w:cstheme="minorHAnsi"/>
                                <w:b/>
                                <w:sz w:val="23"/>
                                <w:szCs w:val="23"/>
                                <w:highlight w:val="cyan"/>
                              </w:rPr>
                              <w:t>- je definována jako 50 % pokles eGFR během 3 měsíců</w:t>
                            </w:r>
                            <w:r w:rsidRPr="005D1435">
                              <w:rPr>
                                <w:rFonts w:cstheme="minorHAnsi"/>
                                <w:b/>
                                <w:sz w:val="23"/>
                                <w:szCs w:val="23"/>
                                <w:highlight w:val="cyan"/>
                                <w:vertAlign w:val="superscript"/>
                              </w:rPr>
                              <w:t>27</w:t>
                            </w:r>
                            <w:r w:rsidRPr="005D1435">
                              <w:rPr>
                                <w:b/>
                                <w:color w:val="000000"/>
                                <w:sz w:val="23"/>
                                <w:szCs w:val="23"/>
                                <w:highlight w:val="cyan"/>
                              </w:rPr>
                              <w:t xml:space="preserve">)), </w:t>
                            </w:r>
                            <w:r w:rsidRPr="005D1435">
                              <w:rPr>
                                <w:b/>
                                <w:color w:val="000000"/>
                                <w:sz w:val="23"/>
                                <w:szCs w:val="23"/>
                                <w:highlight w:val="cyan"/>
                                <w:u w:val="single"/>
                              </w:rPr>
                              <w:t xml:space="preserve">bez závažné dysfunkce jater a probíhajícího syst. mykotického onemocnění </w:t>
                            </w:r>
                            <w:r w:rsidRPr="005D1435">
                              <w:rPr>
                                <w:b/>
                                <w:color w:val="000000"/>
                                <w:sz w:val="23"/>
                                <w:szCs w:val="23"/>
                                <w:highlight w:val="cyan"/>
                              </w:rPr>
                              <w:t>(viz kontraindikace LP KINPEYGO a MEDROL dle SPC</w:t>
                            </w:r>
                            <w:r w:rsidRPr="005D1435">
                              <w:rPr>
                                <w:b/>
                                <w:color w:val="000000"/>
                                <w:sz w:val="23"/>
                                <w:szCs w:val="23"/>
                                <w:highlight w:val="cyan"/>
                                <w:vertAlign w:val="superscript"/>
                              </w:rPr>
                              <w:t>2</w:t>
                            </w:r>
                            <w:r w:rsidRPr="005D1435">
                              <w:rPr>
                                <w:b/>
                                <w:color w:val="000000"/>
                                <w:sz w:val="23"/>
                                <w:szCs w:val="23"/>
                                <w:highlight w:val="cyan"/>
                              </w:rPr>
                              <w:t xml:space="preserve">) </w:t>
                            </w:r>
                            <w:r w:rsidRPr="005D1435">
                              <w:rPr>
                                <w:b/>
                                <w:color w:val="000000"/>
                                <w:sz w:val="23"/>
                                <w:szCs w:val="23"/>
                                <w:highlight w:val="cyan"/>
                                <w:u w:val="single"/>
                              </w:rPr>
                              <w:t>(1) tzv. „nízkodávkový“ režim s LP MEDROL (viz tabulk</w:t>
                            </w:r>
                            <w:r>
                              <w:rPr>
                                <w:b/>
                                <w:color w:val="000000"/>
                                <w:sz w:val="23"/>
                                <w:szCs w:val="23"/>
                                <w:highlight w:val="cyan"/>
                                <w:u w:val="single"/>
                              </w:rPr>
                              <w:t>u uvedenou výše v odstavci „</w:t>
                            </w:r>
                            <w:r w:rsidRPr="00113996">
                              <w:rPr>
                                <w:b/>
                                <w:i/>
                                <w:color w:val="000000"/>
                                <w:sz w:val="23"/>
                                <w:szCs w:val="23"/>
                                <w:highlight w:val="cyan"/>
                                <w:u w:val="single"/>
                              </w:rPr>
                              <w:t>Postavení léčiva v …</w:t>
                            </w:r>
                            <w:r>
                              <w:rPr>
                                <w:b/>
                                <w:color w:val="000000"/>
                                <w:sz w:val="23"/>
                                <w:szCs w:val="23"/>
                                <w:highlight w:val="cyan"/>
                                <w:u w:val="single"/>
                              </w:rPr>
                              <w:t>“</w:t>
                            </w:r>
                            <w:r w:rsidRPr="005D1435">
                              <w:rPr>
                                <w:b/>
                                <w:color w:val="000000"/>
                                <w:sz w:val="23"/>
                                <w:szCs w:val="23"/>
                                <w:highlight w:val="cyan"/>
                                <w:u w:val="single"/>
                              </w:rPr>
                              <w:t>) s podpůrnou léčbou a (2) jen samotnou podpůrnou léčbu.</w:t>
                            </w:r>
                          </w:p>
                          <w:p w:rsidR="009C56BF" w:rsidRPr="00683E93" w:rsidRDefault="009C56BF" w:rsidP="00E76255">
                            <w:pPr>
                              <w:spacing w:after="0"/>
                              <w:jc w:val="both"/>
                              <w:rPr>
                                <w:rFonts w:cstheme="minorHAnsi"/>
                                <w:b/>
                                <w:sz w:val="23"/>
                                <w:szCs w:val="23"/>
                              </w:rPr>
                            </w:pPr>
                            <w:r w:rsidRPr="00683E93">
                              <w:rPr>
                                <w:rFonts w:cstheme="minorHAnsi"/>
                                <w:b/>
                                <w:sz w:val="23"/>
                                <w:szCs w:val="23"/>
                              </w:rPr>
                              <w:t xml:space="preserve">Velikost cílové populace </w:t>
                            </w:r>
                            <w:r>
                              <w:rPr>
                                <w:rFonts w:cstheme="minorHAnsi"/>
                                <w:b/>
                                <w:sz w:val="23"/>
                                <w:szCs w:val="23"/>
                              </w:rPr>
                              <w:t xml:space="preserve">pro celou ČR </w:t>
                            </w:r>
                            <w:r w:rsidRPr="00683E93">
                              <w:rPr>
                                <w:rFonts w:cstheme="minorHAnsi"/>
                                <w:b/>
                                <w:sz w:val="23"/>
                                <w:szCs w:val="23"/>
                              </w:rPr>
                              <w:t xml:space="preserve">byla na základě panelu expertů, Českého registru renálních biopsií nativních ledvin v letech 2017-2019 (předloženo STADou SUKLu jako obchodní tajemství) </w:t>
                            </w:r>
                            <w:r w:rsidRPr="00683E93">
                              <w:rPr>
                                <w:rFonts w:cstheme="minorHAnsi"/>
                                <w:b/>
                                <w:sz w:val="23"/>
                                <w:szCs w:val="23"/>
                                <w:u w:val="single"/>
                              </w:rPr>
                              <w:t>odhadnuta na 560 až 704 pacientů a penetrace na trh představovala pro prevalenční pacienty 20 % až 10 % a pro incidenční pacienty 80 %, což</w:t>
                            </w:r>
                            <w:r w:rsidRPr="00683E93">
                              <w:rPr>
                                <w:rFonts w:cstheme="minorHAnsi"/>
                                <w:b/>
                                <w:sz w:val="23"/>
                                <w:szCs w:val="23"/>
                              </w:rPr>
                              <w:t xml:space="preserve"> </w:t>
                            </w:r>
                            <w:r w:rsidRPr="00683E93">
                              <w:rPr>
                                <w:rFonts w:cstheme="minorHAnsi"/>
                                <w:b/>
                                <w:sz w:val="23"/>
                                <w:szCs w:val="23"/>
                                <w:u w:val="single"/>
                              </w:rPr>
                              <w:t>odpovídá celkem 112 až 85 pacientů léčených v celé ČR v prvních pěti letech</w:t>
                            </w:r>
                            <w:r w:rsidRPr="00683E93">
                              <w:rPr>
                                <w:rFonts w:cstheme="minorHAnsi"/>
                                <w:b/>
                                <w:sz w:val="23"/>
                                <w:szCs w:val="23"/>
                                <w:vertAlign w:val="superscript"/>
                              </w:rPr>
                              <w:t>137</w:t>
                            </w:r>
                            <w:r w:rsidRPr="00683E93">
                              <w:rPr>
                                <w:rFonts w:cstheme="minorHAnsi"/>
                                <w:b/>
                                <w:sz w:val="23"/>
                                <w:szCs w:val="23"/>
                              </w:rPr>
                              <w:t xml:space="preserve">. Předpokládaných pracovišť, kde by se LP KINPEYGO mohl podávat je (dle SUKLu) 6, konkrétně jde o: pracoviště VFN v Praze (cca 52% pacientů z celé ČR), IKEM (6%), FN Královské Vinohrady (13% pac.), </w:t>
                            </w:r>
                            <w:r w:rsidRPr="00683E93">
                              <w:rPr>
                                <w:rFonts w:cstheme="minorHAnsi"/>
                                <w:b/>
                                <w:sz w:val="23"/>
                                <w:szCs w:val="23"/>
                                <w:u w:val="single"/>
                              </w:rPr>
                              <w:t>FN Olomouc – III. Interní klinika (11% pacientů z celé ČR),</w:t>
                            </w:r>
                            <w:r w:rsidRPr="00683E93">
                              <w:rPr>
                                <w:rFonts w:cstheme="minorHAnsi"/>
                                <w:b/>
                                <w:sz w:val="23"/>
                                <w:szCs w:val="23"/>
                              </w:rPr>
                              <w:t xml:space="preserve"> FN Hradec Králové (10%) a FN Plzeň (8%), která se terapii dotčené populace pacientů v ČR věnují</w:t>
                            </w:r>
                            <w:r w:rsidRPr="00683E93">
                              <w:rPr>
                                <w:rFonts w:cstheme="minorHAnsi"/>
                                <w:b/>
                                <w:sz w:val="23"/>
                                <w:szCs w:val="23"/>
                                <w:vertAlign w:val="superscript"/>
                              </w:rPr>
                              <w:t>28</w:t>
                            </w:r>
                            <w:r w:rsidRPr="00683E93">
                              <w:rPr>
                                <w:rFonts w:cstheme="minorHAnsi"/>
                                <w:b/>
                                <w:sz w:val="23"/>
                                <w:szCs w:val="23"/>
                              </w:rPr>
                              <w:t>.</w:t>
                            </w:r>
                          </w:p>
                          <w:p w:rsidR="009C56BF" w:rsidRPr="00683E93" w:rsidRDefault="009C56BF" w:rsidP="00E76255">
                            <w:pPr>
                              <w:spacing w:after="0"/>
                              <w:jc w:val="both"/>
                              <w:rPr>
                                <w:rFonts w:cstheme="minorHAnsi"/>
                                <w:b/>
                                <w:sz w:val="23"/>
                                <w:szCs w:val="23"/>
                              </w:rPr>
                            </w:pPr>
                            <w:r w:rsidRPr="00683E93">
                              <w:rPr>
                                <w:rStyle w:val="Hypertextovodkaz"/>
                                <w:rFonts w:cstheme="minorHAnsi"/>
                                <w:b/>
                                <w:color w:val="auto"/>
                                <w:sz w:val="23"/>
                                <w:szCs w:val="23"/>
                                <w:highlight w:val="cyan"/>
                              </w:rPr>
                              <w:t>Aktuálně je III. interní klinikou FN Olomouc</w:t>
                            </w:r>
                            <w:r w:rsidRPr="00683E93">
                              <w:rPr>
                                <w:rStyle w:val="Hypertextovodkaz"/>
                                <w:rFonts w:cstheme="minorHAnsi"/>
                                <w:b/>
                                <w:color w:val="auto"/>
                                <w:sz w:val="23"/>
                                <w:szCs w:val="23"/>
                                <w:highlight w:val="cyan"/>
                                <w:vertAlign w:val="superscript"/>
                              </w:rPr>
                              <w:t>136</w:t>
                            </w:r>
                            <w:r w:rsidRPr="00683E93">
                              <w:rPr>
                                <w:rStyle w:val="Hypertextovodkaz"/>
                                <w:rFonts w:cstheme="minorHAnsi"/>
                                <w:b/>
                                <w:color w:val="auto"/>
                                <w:sz w:val="23"/>
                                <w:szCs w:val="23"/>
                                <w:highlight w:val="cyan"/>
                              </w:rPr>
                              <w:t xml:space="preserve"> předpokládaný počet pacientů v daném roce na 10</w:t>
                            </w:r>
                            <w:r w:rsidRPr="00683E93">
                              <w:rPr>
                                <w:rStyle w:val="Hypertextovodkaz"/>
                                <w:rFonts w:cstheme="minorHAnsi"/>
                                <w:b/>
                                <w:color w:val="auto"/>
                                <w:sz w:val="23"/>
                                <w:szCs w:val="23"/>
                                <w:highlight w:val="cyan"/>
                                <w:u w:val="none"/>
                              </w:rPr>
                              <w:t xml:space="preserve"> – CAVE! klinika ale tehdy (tj. 2. 4. 2024) předpokládala, že LP bude mít v brzké době úhradu ze zdravotního pojištění, k tomu viz podrobněji informace uvedené výše v odstavci „</w:t>
                            </w:r>
                            <w:r w:rsidRPr="00683E93">
                              <w:rPr>
                                <w:rFonts w:cstheme="minorHAnsi"/>
                                <w:b/>
                                <w:i/>
                                <w:sz w:val="23"/>
                                <w:szCs w:val="23"/>
                                <w:highlight w:val="cyan"/>
                              </w:rPr>
                              <w:t>Stav LP v ČR</w:t>
                            </w:r>
                            <w:r w:rsidRPr="00683E93">
                              <w:rPr>
                                <w:rFonts w:cstheme="minorHAnsi"/>
                                <w:b/>
                                <w:i/>
                                <w:sz w:val="23"/>
                                <w:szCs w:val="23"/>
                                <w:highlight w:val="cyan"/>
                                <w:vertAlign w:val="superscript"/>
                              </w:rPr>
                              <w:t xml:space="preserve"> </w:t>
                            </w:r>
                            <w:r w:rsidRPr="00683E93">
                              <w:rPr>
                                <w:rFonts w:cstheme="minorHAnsi"/>
                                <w:b/>
                                <w:i/>
                                <w:sz w:val="23"/>
                                <w:szCs w:val="23"/>
                                <w:highlight w:val="cyan"/>
                              </w:rPr>
                              <w:t>k datu 16. 8. 2024</w:t>
                            </w:r>
                            <w:r w:rsidRPr="00683E93">
                              <w:rPr>
                                <w:rFonts w:cstheme="minorHAnsi"/>
                                <w:b/>
                                <w:sz w:val="23"/>
                                <w:szCs w:val="23"/>
                                <w:highlight w:val="cyan"/>
                              </w:rPr>
                              <w:t>“!</w:t>
                            </w:r>
                            <w:r w:rsidRPr="00683E93">
                              <w:rPr>
                                <w:rFonts w:cstheme="minorHAnsi"/>
                                <w:b/>
                                <w:sz w:val="23"/>
                                <w:szCs w:val="23"/>
                              </w:rPr>
                              <w:t xml:space="preserve"> </w:t>
                            </w:r>
                          </w:p>
                          <w:p w:rsidR="009C56BF" w:rsidRPr="00683E93" w:rsidRDefault="009C56BF">
                            <w:pPr>
                              <w:pStyle w:val="Obsahrmce"/>
                              <w:spacing w:after="0"/>
                              <w:jc w:val="both"/>
                              <w:rPr>
                                <w:rFonts w:cstheme="minorHAnsi"/>
                                <w:b/>
                                <w:color w:val="000000"/>
                                <w:sz w:val="16"/>
                                <w:szCs w:val="16"/>
                                <w:u w:val="single"/>
                              </w:rPr>
                            </w:pPr>
                          </w:p>
                          <w:p w:rsidR="009C56BF" w:rsidRDefault="009C56BF">
                            <w:pPr>
                              <w:pStyle w:val="Obsahrmce"/>
                              <w:spacing w:after="0"/>
                              <w:jc w:val="both"/>
                              <w:rPr>
                                <w:rFonts w:cstheme="minorHAnsi"/>
                                <w:b/>
                                <w:sz w:val="28"/>
                                <w:szCs w:val="28"/>
                              </w:rPr>
                            </w:pPr>
                            <w:r>
                              <w:rPr>
                                <w:rFonts w:cstheme="minorHAnsi"/>
                                <w:b/>
                                <w:color w:val="000000"/>
                                <w:sz w:val="28"/>
                                <w:szCs w:val="28"/>
                                <w:u w:val="single"/>
                              </w:rPr>
                              <w:t>Výsledky CEA/CUA</w:t>
                            </w:r>
                            <w:r>
                              <w:rPr>
                                <w:rFonts w:cstheme="minorHAnsi"/>
                                <w:b/>
                                <w:color w:val="000000"/>
                                <w:sz w:val="28"/>
                                <w:szCs w:val="28"/>
                              </w:rPr>
                              <w:t>:</w:t>
                            </w:r>
                          </w:p>
                          <w:p w:rsidR="009C56BF" w:rsidRPr="007B2BD7" w:rsidRDefault="009C56BF" w:rsidP="00683E93">
                            <w:pPr>
                              <w:pStyle w:val="Obsahrmce"/>
                              <w:numPr>
                                <w:ilvl w:val="0"/>
                                <w:numId w:val="6"/>
                              </w:numPr>
                              <w:spacing w:after="0"/>
                              <w:jc w:val="both"/>
                              <w:rPr>
                                <w:b/>
                                <w:sz w:val="24"/>
                                <w:szCs w:val="24"/>
                              </w:rPr>
                            </w:pPr>
                            <w:r w:rsidRPr="007B2BD7">
                              <w:rPr>
                                <w:rFonts w:cstheme="minorHAnsi"/>
                                <w:b/>
                                <w:sz w:val="24"/>
                                <w:szCs w:val="24"/>
                                <w:u w:val="single"/>
                              </w:rPr>
                              <w:t>CEA z perspektivy 1 léčebného cyklu (tj. 9 - 10 měsíců aktivní léčby, při použití dané profylaktické medikace a jednotkových cen dle Přílohy č. 30</w:t>
                            </w:r>
                            <w:r w:rsidRPr="007B2BD7">
                              <w:rPr>
                                <w:rFonts w:cstheme="minorHAnsi"/>
                                <w:b/>
                                <w:sz w:val="24"/>
                                <w:szCs w:val="24"/>
                              </w:rPr>
                              <w:t xml:space="preserve">): </w:t>
                            </w:r>
                            <w:r w:rsidRPr="007B2BD7">
                              <w:rPr>
                                <w:b/>
                                <w:color w:val="000000"/>
                                <w:sz w:val="24"/>
                                <w:szCs w:val="24"/>
                                <w:highlight w:val="cyan"/>
                              </w:rPr>
                              <w:t xml:space="preserve">„nízkodávkový“ režim s LP MEDROL (včetně profylaxe) s podpůrnou léčbou bude 12 – 22 x levnější </w:t>
                            </w:r>
                            <w:r>
                              <w:rPr>
                                <w:b/>
                                <w:color w:val="000000"/>
                                <w:sz w:val="24"/>
                                <w:szCs w:val="24"/>
                                <w:highlight w:val="cyan"/>
                              </w:rPr>
                              <w:t xml:space="preserve">než LP KINPEYGO s podpůrnou léčbou </w:t>
                            </w:r>
                            <w:r w:rsidRPr="007B2BD7">
                              <w:rPr>
                                <w:b/>
                                <w:color w:val="000000"/>
                                <w:sz w:val="24"/>
                                <w:szCs w:val="24"/>
                                <w:highlight w:val="cyan"/>
                              </w:rPr>
                              <w:t>za předpokladu cca stejné účinnosti, ale horší bezpečnosti, ICER pro nejvýrazněji rozdílný bezpečnostní parametr (výskyt těžkých infekcí) vychází 43 – 45 mil. Kč.</w:t>
                            </w:r>
                            <w:r w:rsidRPr="007B2BD7">
                              <w:rPr>
                                <w:b/>
                                <w:color w:val="000000"/>
                                <w:sz w:val="24"/>
                                <w:szCs w:val="24"/>
                              </w:rPr>
                              <w:t xml:space="preserve"> (tj. kolik vynaložíme za léčbu LP KINPEYGO vůči „nízkodávkovému“ režimu s LP MEDROL (včetně profylaxe) navíc za prevenování 1 příhody těžké infekce vyžadující hospitalizaci </w:t>
                            </w:r>
                            <w:r>
                              <w:rPr>
                                <w:b/>
                                <w:color w:val="000000"/>
                                <w:sz w:val="24"/>
                                <w:szCs w:val="24"/>
                              </w:rPr>
                              <w:t xml:space="preserve">navíc </w:t>
                            </w:r>
                            <w:r w:rsidRPr="007B2BD7">
                              <w:rPr>
                                <w:b/>
                                <w:color w:val="000000"/>
                                <w:sz w:val="24"/>
                                <w:szCs w:val="24"/>
                              </w:rPr>
                              <w:t>během 9-10 měsíců léčby),</w:t>
                            </w:r>
                          </w:p>
                          <w:p w:rsidR="009C56BF" w:rsidRPr="00CB40AC" w:rsidRDefault="009C56BF" w:rsidP="009C56BF">
                            <w:pPr>
                              <w:pStyle w:val="Obsahrmce"/>
                              <w:numPr>
                                <w:ilvl w:val="0"/>
                                <w:numId w:val="6"/>
                              </w:numPr>
                              <w:spacing w:after="0"/>
                              <w:jc w:val="both"/>
                              <w:rPr>
                                <w:b/>
                              </w:rPr>
                            </w:pPr>
                            <w:r w:rsidRPr="00322034">
                              <w:rPr>
                                <w:rFonts w:cstheme="minorHAnsi"/>
                                <w:b/>
                                <w:sz w:val="24"/>
                                <w:szCs w:val="24"/>
                                <w:u w:val="single"/>
                              </w:rPr>
                              <w:t>CEA z celoživotní perspektivy (tj. včetně dalších zdravotnických nákladů (viz níže pozn. 134), při diskontaci nákladů 3 % za rok, při použití jednotkových cen LP podávaných v úvodním jen 1 léčebném cyklu v délce 9 – 10 měsíců (dle příslušného LP) podle Přílohy č. 30 a za předpokladu stejného přetrvávání efektu LP KINPEYGA i „</w:t>
                            </w:r>
                            <w:r w:rsidRPr="00322034">
                              <w:rPr>
                                <w:b/>
                                <w:color w:val="000000"/>
                                <w:sz w:val="24"/>
                                <w:szCs w:val="24"/>
                                <w:u w:val="single"/>
                              </w:rPr>
                              <w:t>nízkodávkového“ režimu s LP MEDROL po</w:t>
                            </w:r>
                            <w:r w:rsidRPr="00322034">
                              <w:rPr>
                                <w:rFonts w:cstheme="minorHAnsi"/>
                                <w:b/>
                                <w:sz w:val="24"/>
                                <w:szCs w:val="24"/>
                                <w:u w:val="single"/>
                              </w:rPr>
                              <w:t> dobu 2 let</w:t>
                            </w:r>
                            <w:r w:rsidRPr="00322034">
                              <w:rPr>
                                <w:rFonts w:cstheme="minorHAnsi"/>
                                <w:b/>
                                <w:sz w:val="24"/>
                                <w:szCs w:val="24"/>
                              </w:rPr>
                              <w:t xml:space="preserve">: </w:t>
                            </w:r>
                            <w:r w:rsidRPr="00322034">
                              <w:rPr>
                                <w:b/>
                                <w:color w:val="000000"/>
                                <w:sz w:val="24"/>
                                <w:szCs w:val="24"/>
                                <w:highlight w:val="cyan"/>
                              </w:rPr>
                              <w:t>„nízkodávkový“ režim s LP MEDROL (včetně profylaxe) s podpůrnou léčbou bude 1,2 – 1,3 x levnější než LP KINPEYGO s podpůrnou léčbou za předpokladu cca stejné účinnosti, ale horší (výše uvedené) bezpečnosti, jen samotná podpůrná léčba bude cca 1,2 x levnější než LP KINPEYGO s podpůrnou léčbou, ale při nižší účinnosti (viz níže výsledky CUA),</w:t>
                            </w:r>
                            <w:r w:rsidRPr="00CB40AC">
                              <w:rPr>
                                <w:b/>
                                <w:color w:val="000000"/>
                                <w:sz w:val="24"/>
                                <w:szCs w:val="24"/>
                              </w:rPr>
                              <w:t xml:space="preserve"> </w:t>
                            </w:r>
                          </w:p>
                          <w:p w:rsidR="009C56BF" w:rsidRPr="00CB40AC" w:rsidRDefault="009C56BF" w:rsidP="009C56BF">
                            <w:pPr>
                              <w:pStyle w:val="Obsahrmce"/>
                              <w:numPr>
                                <w:ilvl w:val="0"/>
                                <w:numId w:val="6"/>
                              </w:numPr>
                              <w:spacing w:after="0"/>
                              <w:jc w:val="both"/>
                              <w:rPr>
                                <w:b/>
                                <w:sz w:val="24"/>
                                <w:szCs w:val="24"/>
                              </w:rPr>
                            </w:pPr>
                            <w:r w:rsidRPr="00CB40AC">
                              <w:rPr>
                                <w:rFonts w:cstheme="minorHAnsi"/>
                                <w:b/>
                                <w:sz w:val="24"/>
                                <w:szCs w:val="24"/>
                                <w:u w:val="single"/>
                              </w:rPr>
                              <w:t xml:space="preserve">CUA z celoživotní perspektivy (CAVE! dle správního řízení SUKLu a za předpokladů modelace dle žadatele o úhradu (tj. STADA) </w:t>
                            </w:r>
                            <w:r>
                              <w:rPr>
                                <w:rFonts w:cstheme="minorHAnsi"/>
                                <w:b/>
                                <w:sz w:val="24"/>
                                <w:szCs w:val="24"/>
                                <w:u w:val="single"/>
                              </w:rPr>
                              <w:t xml:space="preserve">– předpoklad, že efekt LP KINPEYGA přetrvává 2 roky a efekt systémových kortikosteroidů nepřesahuje 1 rok): </w:t>
                            </w:r>
                            <w:r w:rsidRPr="00CB40AC">
                              <w:rPr>
                                <w:rFonts w:cstheme="minorHAnsi"/>
                                <w:b/>
                                <w:sz w:val="24"/>
                                <w:szCs w:val="24"/>
                                <w:highlight w:val="cyan"/>
                              </w:rPr>
                              <w:t xml:space="preserve">ICUR režimu LP KINPEYGO </w:t>
                            </w:r>
                            <w:r w:rsidRPr="00CB40AC">
                              <w:rPr>
                                <w:b/>
                                <w:color w:val="000000"/>
                                <w:sz w:val="24"/>
                                <w:szCs w:val="24"/>
                                <w:highlight w:val="cyan"/>
                              </w:rPr>
                              <w:t xml:space="preserve">s podpůrnou léčbou vůči jen samotné podpůrné péči vychazí cca 5 mil. Kč/QALY a vůči režimu s prednisonem společně s podpůrnou léčbou (dále jen „SOC“) pak cca 5,6 mil. Kč/QALY, poměry přínosů (podle QALY) a nákladů LP KINPEYGO se SOC vůči jen samotné SOC činí </w:t>
                            </w:r>
                            <w:r w:rsidRPr="00CB40AC">
                              <w:rPr>
                                <w:rFonts w:cstheme="minorHAnsi"/>
                                <w:b/>
                                <w:sz w:val="24"/>
                                <w:szCs w:val="24"/>
                                <w:highlight w:val="cyan"/>
                                <w:shd w:val="clear" w:color="auto" w:fill="FFFF00"/>
                              </w:rPr>
                              <w:t xml:space="preserve">1.03 a 1.22 (tj. nepoměr ve „prospěch“ nákladů), při srovnání </w:t>
                            </w:r>
                            <w:r w:rsidRPr="00CB40AC">
                              <w:rPr>
                                <w:b/>
                                <w:color w:val="000000"/>
                                <w:sz w:val="24"/>
                                <w:szCs w:val="24"/>
                                <w:highlight w:val="cyan"/>
                              </w:rPr>
                              <w:t>LP KINPEYGO se SOC vůči režimu s prednisonem a SOC</w:t>
                            </w:r>
                            <w:r w:rsidRPr="00CB40AC">
                              <w:rPr>
                                <w:rFonts w:cstheme="minorHAnsi"/>
                                <w:b/>
                                <w:sz w:val="24"/>
                                <w:szCs w:val="24"/>
                                <w:highlight w:val="cyan"/>
                                <w:shd w:val="clear" w:color="auto" w:fill="FFFF00"/>
                              </w:rPr>
                              <w:t xml:space="preserve"> pak poměry přínosů (podle QALY) a nákladů činí 1.03 a 1.23 (tj. také nepoměr ve „prospěch“ nákla</w:t>
                            </w:r>
                            <w:r>
                              <w:rPr>
                                <w:rFonts w:cstheme="minorHAnsi"/>
                                <w:b/>
                                <w:sz w:val="24"/>
                                <w:szCs w:val="24"/>
                                <w:highlight w:val="cyan"/>
                                <w:shd w:val="clear" w:color="auto" w:fill="FFFF00"/>
                              </w:rPr>
                              <w:t>dů).</w:t>
                            </w:r>
                          </w:p>
                          <w:p w:rsidR="009C56BF" w:rsidRDefault="009C56BF">
                            <w:pPr>
                              <w:pStyle w:val="Obsahrmce"/>
                              <w:spacing w:after="0"/>
                              <w:jc w:val="both"/>
                              <w:rPr>
                                <w:rFonts w:cstheme="minorHAnsi"/>
                                <w:b/>
                                <w:color w:val="000000"/>
                                <w:sz w:val="23"/>
                                <w:szCs w:val="23"/>
                              </w:rPr>
                            </w:pPr>
                          </w:p>
                          <w:p w:rsidR="009C56BF" w:rsidRDefault="009C56BF">
                            <w:pPr>
                              <w:pStyle w:val="Obsahrmce"/>
                              <w:spacing w:after="0" w:line="240" w:lineRule="auto"/>
                              <w:jc w:val="both"/>
                              <w:rPr>
                                <w:rFonts w:cstheme="minorHAnsi"/>
                                <w:b/>
                                <w:sz w:val="23"/>
                                <w:szCs w:val="23"/>
                                <w:u w:val="single"/>
                              </w:rPr>
                            </w:pPr>
                          </w:p>
                          <w:p w:rsidR="009C56BF" w:rsidRDefault="009C56BF">
                            <w:pPr>
                              <w:pStyle w:val="Obsahrmce"/>
                              <w:spacing w:after="0"/>
                              <w:jc w:val="both"/>
                              <w:rPr>
                                <w:rFonts w:cstheme="minorHAnsi"/>
                                <w:sz w:val="16"/>
                                <w:szCs w:val="16"/>
                              </w:rPr>
                            </w:pPr>
                          </w:p>
                          <w:p w:rsidR="009C56BF" w:rsidRDefault="009C56BF">
                            <w:pPr>
                              <w:pStyle w:val="Obsahrmce"/>
                              <w:spacing w:after="0"/>
                              <w:jc w:val="both"/>
                              <w:rPr>
                                <w:b/>
                                <w:sz w:val="23"/>
                                <w:szCs w:val="23"/>
                              </w:rPr>
                            </w:pPr>
                          </w:p>
                          <w:p w:rsidR="009C56BF" w:rsidRDefault="009C56BF">
                            <w:pPr>
                              <w:pStyle w:val="Obsahrmce"/>
                              <w:spacing w:after="0"/>
                              <w:jc w:val="both"/>
                              <w:rPr>
                                <w:rFonts w:cstheme="minorHAnsi"/>
                                <w:b/>
                                <w:bCs/>
                                <w:sz w:val="24"/>
                                <w:szCs w:val="24"/>
                              </w:rPr>
                            </w:pPr>
                          </w:p>
                          <w:p w:rsidR="009C56BF" w:rsidRDefault="009C56BF">
                            <w:pPr>
                              <w:pStyle w:val="Obsahrmce"/>
                              <w:spacing w:after="0"/>
                              <w:jc w:val="both"/>
                              <w:rPr>
                                <w:b/>
                                <w:sz w:val="23"/>
                                <w:szCs w:val="23"/>
                              </w:rPr>
                            </w:pPr>
                          </w:p>
                          <w:p w:rsidR="009C56BF" w:rsidRDefault="009C56BF">
                            <w:pPr>
                              <w:pStyle w:val="Obsahrmce"/>
                              <w:spacing w:after="0"/>
                              <w:jc w:val="both"/>
                              <w:rPr>
                                <w:b/>
                                <w:sz w:val="23"/>
                                <w:szCs w:val="23"/>
                              </w:rPr>
                            </w:pPr>
                          </w:p>
                          <w:p w:rsidR="009C56BF" w:rsidRDefault="009C56BF">
                            <w:pPr>
                              <w:pStyle w:val="Obsahrmce"/>
                              <w:spacing w:after="0"/>
                              <w:jc w:val="both"/>
                              <w:rPr>
                                <w:b/>
                                <w:sz w:val="23"/>
                                <w:szCs w:val="23"/>
                              </w:rPr>
                            </w:pPr>
                          </w:p>
                          <w:p w:rsidR="009C56BF" w:rsidRDefault="009C56BF">
                            <w:pPr>
                              <w:pStyle w:val="Obsahrmce"/>
                              <w:spacing w:after="0"/>
                              <w:jc w:val="both"/>
                              <w:rPr>
                                <w:b/>
                                <w:sz w:val="23"/>
                                <w:szCs w:val="23"/>
                              </w:rPr>
                            </w:pPr>
                          </w:p>
                        </w:txbxContent>
                      </wps:txbx>
                      <wps:bodyPr lIns="91440" tIns="45720" rIns="91440" bIns="45720" anchor="t">
                        <a:noAutofit/>
                      </wps:bodyPr>
                    </wps:wsp>
                  </a:graphicData>
                </a:graphic>
                <wp14:sizeRelV relativeFrom="margin">
                  <wp14:pctHeight>0</wp14:pctHeight>
                </wp14:sizeRelV>
              </wp:anchor>
            </w:drawing>
          </mc:Choice>
          <mc:Fallback>
            <w:pict>
              <v:shape w14:anchorId="63C75690" id="Rámec9" o:spid="_x0000_s1034" type="#_x0000_t202" style="position:absolute;margin-left:-.6pt;margin-top:9.55pt;width:540.9pt;height:750.75pt;z-index:360;visibility:visible;mso-wrap-style:square;mso-height-percent:0;mso-wrap-distance-left:1.5pt;mso-wrap-distance-top:1.5pt;mso-wrap-distance-right:1.5pt;mso-wrap-distance-bottom:1.5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" o:allowincell="f" strokeweight="3pt">
                <v:textbox>
                  <w:txbxContent>
                    <w:p w:rsidR="009C56BF" w:rsidRDefault="009C56BF">
                      <w:pPr>
                        <w:pStyle w:val="Obsahrmce"/>
                        <w:spacing w:after="0"/>
                        <w:jc w:val="both"/>
                        <w:rPr>
                          <w:rFonts w:cstheme="minorHAnsi"/>
                          <w:b/>
                          <w:sz w:val="6"/>
                          <w:szCs w:val="6"/>
                          <w:highlight w:val="cyan"/>
                          <w:u w:val="single"/>
                          <w:shd w:val="clear" w:color="auto" w:fill="FFFFFF"/>
                        </w:rPr>
                      </w:pPr>
                    </w:p>
                    <w:p w:rsidR="009C56BF" w:rsidRPr="005D1435" w:rsidRDefault="009C56BF" w:rsidP="005D1435">
                      <w:pPr>
                        <w:spacing w:after="0"/>
                        <w:jc w:val="both"/>
                        <w:rPr>
                          <w:b/>
                          <w:color w:val="000000"/>
                          <w:sz w:val="23"/>
                          <w:szCs w:val="23"/>
                          <w:u w:val="single"/>
                        </w:rPr>
                      </w:pPr>
                      <w:r w:rsidRPr="005D1435">
                        <w:rPr>
                          <w:rFonts w:cstheme="minorHAnsi"/>
                          <w:b/>
                          <w:sz w:val="23"/>
                          <w:szCs w:val="23"/>
                          <w:highlight w:val="cyan"/>
                          <w:u w:val="single"/>
                        </w:rPr>
                        <w:t>Autor této FE analýzy tedy zařadil</w:t>
                      </w:r>
                      <w:r w:rsidRPr="005D1435">
                        <w:rPr>
                          <w:rFonts w:cstheme="minorHAnsi"/>
                          <w:b/>
                          <w:sz w:val="23"/>
                          <w:szCs w:val="23"/>
                          <w:highlight w:val="cyan"/>
                        </w:rPr>
                        <w:t xml:space="preserve"> (na základě výše uvedených informací) </w:t>
                      </w:r>
                      <w:r w:rsidRPr="005D1435">
                        <w:rPr>
                          <w:rFonts w:cstheme="minorHAnsi"/>
                          <w:b/>
                          <w:sz w:val="23"/>
                          <w:szCs w:val="23"/>
                          <w:highlight w:val="cyan"/>
                          <w:u w:val="single"/>
                        </w:rPr>
                        <w:t>jako komparátory k LP KINPEYGU spolu s podpůrnou léčbou v léčbě IgAN s rizikem rychlé progrese onemocnění</w:t>
                      </w:r>
                      <w:r w:rsidRPr="005D1435">
                        <w:rPr>
                          <w:rFonts w:cstheme="minorHAnsi"/>
                          <w:b/>
                          <w:sz w:val="23"/>
                          <w:szCs w:val="23"/>
                          <w:highlight w:val="cyan"/>
                        </w:rPr>
                        <w:t xml:space="preserve"> </w:t>
                      </w:r>
                      <w:r w:rsidRPr="005D1435">
                        <w:rPr>
                          <w:b/>
                          <w:color w:val="000000"/>
                          <w:sz w:val="23"/>
                          <w:szCs w:val="23"/>
                          <w:highlight w:val="cyan"/>
                        </w:rPr>
                        <w:t xml:space="preserve">(proteinurie &gt; 1 g/den navzdory ≥ 90 dnům optimalizované podpůrné péče </w:t>
                      </w:r>
                      <w:r w:rsidRPr="005D1435">
                        <w:rPr>
                          <w:rFonts w:cstheme="minorHAnsi"/>
                          <w:b/>
                          <w:sz w:val="23"/>
                          <w:szCs w:val="23"/>
                          <w:highlight w:val="cyan"/>
                        </w:rPr>
                        <w:t xml:space="preserve">sestávající mj. ze stabilních maximálně tolerovaných nebo maximálně povolených dávek inhibitoru angiotenzin-konvertujícího enzymu (ACEi) a/nebo blokátoru receptoru typu 1 pro angiotenzin II (ARB)), </w:t>
                      </w:r>
                      <w:r w:rsidRPr="005D1435">
                        <w:rPr>
                          <w:rFonts w:cstheme="minorHAnsi"/>
                          <w:b/>
                          <w:sz w:val="23"/>
                          <w:szCs w:val="23"/>
                          <w:highlight w:val="cyan"/>
                          <w:u w:val="single"/>
                        </w:rPr>
                        <w:t>s odhadovanou glomerulární filtrací (eGFR) v rozmezí 0,58-1,50 ml/s/1,73 m</w:t>
                      </w:r>
                      <w:r w:rsidRPr="005D1435">
                        <w:rPr>
                          <w:rFonts w:cstheme="minorHAnsi"/>
                          <w:b/>
                          <w:sz w:val="23"/>
                          <w:szCs w:val="23"/>
                          <w:highlight w:val="cyan"/>
                          <w:u w:val="single"/>
                          <w:vertAlign w:val="superscript"/>
                        </w:rPr>
                        <w:t>2</w:t>
                      </w:r>
                      <w:r w:rsidRPr="005D1435">
                        <w:rPr>
                          <w:rFonts w:cstheme="minorHAnsi"/>
                          <w:b/>
                          <w:sz w:val="23"/>
                          <w:szCs w:val="23"/>
                          <w:highlight w:val="cyan"/>
                          <w:u w:val="single"/>
                        </w:rPr>
                        <w:t xml:space="preserve"> (tj. 35-90 ml/min/1,73m</w:t>
                      </w:r>
                      <w:r w:rsidRPr="005D1435">
                        <w:rPr>
                          <w:rFonts w:cstheme="minorHAnsi"/>
                          <w:b/>
                          <w:sz w:val="23"/>
                          <w:szCs w:val="23"/>
                          <w:highlight w:val="cyan"/>
                          <w:u w:val="single"/>
                          <w:vertAlign w:val="superscript"/>
                        </w:rPr>
                        <w:t>2</w:t>
                      </w:r>
                      <w:r w:rsidRPr="005D1435">
                        <w:rPr>
                          <w:rFonts w:cstheme="minorHAnsi"/>
                          <w:b/>
                          <w:sz w:val="23"/>
                          <w:szCs w:val="23"/>
                          <w:highlight w:val="cyan"/>
                          <w:u w:val="single"/>
                        </w:rPr>
                        <w:t xml:space="preserve">), bez přítomnosti </w:t>
                      </w:r>
                      <w:r w:rsidRPr="005D1435">
                        <w:rPr>
                          <w:b/>
                          <w:color w:val="000000"/>
                          <w:sz w:val="23"/>
                          <w:szCs w:val="23"/>
                          <w:highlight w:val="cyan"/>
                          <w:u w:val="single"/>
                        </w:rPr>
                        <w:t>tzv. variantních forem IgAN</w:t>
                      </w:r>
                      <w:r w:rsidRPr="005D1435">
                        <w:rPr>
                          <w:b/>
                          <w:color w:val="000000"/>
                          <w:sz w:val="23"/>
                          <w:szCs w:val="23"/>
                          <w:highlight w:val="cyan"/>
                        </w:rPr>
                        <w:t xml:space="preserve"> (tj. depozice IgA s tzv. onemocněním s minimální změnou („MCD“ – viz níže pozn. 55), IgAN s akutním poškozením ledvin („AKI“ – viz níže pozn. 70) a IgAN s rychle progredující glomerulonefritidou („RPGN“ </w:t>
                      </w:r>
                      <w:r w:rsidRPr="005D1435">
                        <w:rPr>
                          <w:rFonts w:cstheme="minorHAnsi"/>
                          <w:b/>
                          <w:sz w:val="23"/>
                          <w:szCs w:val="23"/>
                          <w:highlight w:val="cyan"/>
                        </w:rPr>
                        <w:t>- je definována jako 50 % pokles eGFR během 3 měsíců</w:t>
                      </w:r>
                      <w:r w:rsidRPr="005D1435">
                        <w:rPr>
                          <w:rFonts w:cstheme="minorHAnsi"/>
                          <w:b/>
                          <w:sz w:val="23"/>
                          <w:szCs w:val="23"/>
                          <w:highlight w:val="cyan"/>
                          <w:vertAlign w:val="superscript"/>
                        </w:rPr>
                        <w:t>27</w:t>
                      </w:r>
                      <w:r w:rsidRPr="005D1435">
                        <w:rPr>
                          <w:b/>
                          <w:color w:val="000000"/>
                          <w:sz w:val="23"/>
                          <w:szCs w:val="23"/>
                          <w:highlight w:val="cyan"/>
                        </w:rPr>
                        <w:t xml:space="preserve">)), </w:t>
                      </w:r>
                      <w:r w:rsidRPr="005D1435">
                        <w:rPr>
                          <w:b/>
                          <w:color w:val="000000"/>
                          <w:sz w:val="23"/>
                          <w:szCs w:val="23"/>
                          <w:highlight w:val="cyan"/>
                          <w:u w:val="single"/>
                        </w:rPr>
                        <w:t xml:space="preserve">bez závažné dysfunkce jater a probíhajícího syst. mykotického onemocnění </w:t>
                      </w:r>
                      <w:r w:rsidRPr="005D1435">
                        <w:rPr>
                          <w:b/>
                          <w:color w:val="000000"/>
                          <w:sz w:val="23"/>
                          <w:szCs w:val="23"/>
                          <w:highlight w:val="cyan"/>
                        </w:rPr>
                        <w:t>(viz kontraindikace LP KINPEYGO a MEDROL dle SPC</w:t>
                      </w:r>
                      <w:r w:rsidRPr="005D1435">
                        <w:rPr>
                          <w:b/>
                          <w:color w:val="000000"/>
                          <w:sz w:val="23"/>
                          <w:szCs w:val="23"/>
                          <w:highlight w:val="cyan"/>
                          <w:vertAlign w:val="superscript"/>
                        </w:rPr>
                        <w:t>2</w:t>
                      </w:r>
                      <w:r w:rsidRPr="005D1435">
                        <w:rPr>
                          <w:b/>
                          <w:color w:val="000000"/>
                          <w:sz w:val="23"/>
                          <w:szCs w:val="23"/>
                          <w:highlight w:val="cyan"/>
                        </w:rPr>
                        <w:t xml:space="preserve">) </w:t>
                      </w:r>
                      <w:r w:rsidRPr="005D1435">
                        <w:rPr>
                          <w:b/>
                          <w:color w:val="000000"/>
                          <w:sz w:val="23"/>
                          <w:szCs w:val="23"/>
                          <w:highlight w:val="cyan"/>
                          <w:u w:val="single"/>
                        </w:rPr>
                        <w:t>(1) tzv. „nízkodávkový“ režim s LP MEDROL (viz tabulk</w:t>
                      </w:r>
                      <w:r>
                        <w:rPr>
                          <w:b/>
                          <w:color w:val="000000"/>
                          <w:sz w:val="23"/>
                          <w:szCs w:val="23"/>
                          <w:highlight w:val="cyan"/>
                          <w:u w:val="single"/>
                        </w:rPr>
                        <w:t>u uvedenou výše v odstavci „</w:t>
                      </w:r>
                      <w:r w:rsidRPr="00113996">
                        <w:rPr>
                          <w:b/>
                          <w:i/>
                          <w:color w:val="000000"/>
                          <w:sz w:val="23"/>
                          <w:szCs w:val="23"/>
                          <w:highlight w:val="cyan"/>
                          <w:u w:val="single"/>
                        </w:rPr>
                        <w:t>Postavení léčiva v …</w:t>
                      </w:r>
                      <w:r>
                        <w:rPr>
                          <w:b/>
                          <w:color w:val="000000"/>
                          <w:sz w:val="23"/>
                          <w:szCs w:val="23"/>
                          <w:highlight w:val="cyan"/>
                          <w:u w:val="single"/>
                        </w:rPr>
                        <w:t>“</w:t>
                      </w:r>
                      <w:r w:rsidRPr="005D1435">
                        <w:rPr>
                          <w:b/>
                          <w:color w:val="000000"/>
                          <w:sz w:val="23"/>
                          <w:szCs w:val="23"/>
                          <w:highlight w:val="cyan"/>
                          <w:u w:val="single"/>
                        </w:rPr>
                        <w:t>) s podpůrnou léčbou a (2) jen samotnou podpůrnou léčbu.</w:t>
                      </w:r>
                    </w:p>
                    <w:p w:rsidR="009C56BF" w:rsidRPr="00683E93" w:rsidRDefault="009C56BF" w:rsidP="00E76255">
                      <w:pPr>
                        <w:spacing w:after="0"/>
                        <w:jc w:val="both"/>
                        <w:rPr>
                          <w:rFonts w:cstheme="minorHAnsi"/>
                          <w:b/>
                          <w:sz w:val="23"/>
                          <w:szCs w:val="23"/>
                        </w:rPr>
                      </w:pPr>
                      <w:r w:rsidRPr="00683E93">
                        <w:rPr>
                          <w:rFonts w:cstheme="minorHAnsi"/>
                          <w:b/>
                          <w:sz w:val="23"/>
                          <w:szCs w:val="23"/>
                        </w:rPr>
                        <w:t xml:space="preserve">Velikost cílové populace </w:t>
                      </w:r>
                      <w:r>
                        <w:rPr>
                          <w:rFonts w:cstheme="minorHAnsi"/>
                          <w:b/>
                          <w:sz w:val="23"/>
                          <w:szCs w:val="23"/>
                        </w:rPr>
                        <w:t xml:space="preserve">pro celou ČR </w:t>
                      </w:r>
                      <w:r w:rsidRPr="00683E93">
                        <w:rPr>
                          <w:rFonts w:cstheme="minorHAnsi"/>
                          <w:b/>
                          <w:sz w:val="23"/>
                          <w:szCs w:val="23"/>
                        </w:rPr>
                        <w:t xml:space="preserve">byla na základě panelu expertů, Českého registru renálních biopsií nativních ledvin v letech 2017-2019 (předloženo STADou SUKLu jako obchodní tajemství) </w:t>
                      </w:r>
                      <w:r w:rsidRPr="00683E93">
                        <w:rPr>
                          <w:rFonts w:cstheme="minorHAnsi"/>
                          <w:b/>
                          <w:sz w:val="23"/>
                          <w:szCs w:val="23"/>
                          <w:u w:val="single"/>
                        </w:rPr>
                        <w:t>odhadnuta na 560 až 704 pacientů a penetrace na trh představovala pro prevalenční pacienty 20 % až 10 % a pro incidenční pacienty 80 %, což</w:t>
                      </w:r>
                      <w:r w:rsidRPr="00683E93">
                        <w:rPr>
                          <w:rFonts w:cstheme="minorHAnsi"/>
                          <w:b/>
                          <w:sz w:val="23"/>
                          <w:szCs w:val="23"/>
                        </w:rPr>
                        <w:t xml:space="preserve"> </w:t>
                      </w:r>
                      <w:r w:rsidRPr="00683E93">
                        <w:rPr>
                          <w:rFonts w:cstheme="minorHAnsi"/>
                          <w:b/>
                          <w:sz w:val="23"/>
                          <w:szCs w:val="23"/>
                          <w:u w:val="single"/>
                        </w:rPr>
                        <w:t>odpovídá celkem 112 až 85 pacientů léčených v celé ČR v prvních pěti letech</w:t>
                      </w:r>
                      <w:r w:rsidRPr="00683E93">
                        <w:rPr>
                          <w:rFonts w:cstheme="minorHAnsi"/>
                          <w:b/>
                          <w:sz w:val="23"/>
                          <w:szCs w:val="23"/>
                          <w:vertAlign w:val="superscript"/>
                        </w:rPr>
                        <w:t>137</w:t>
                      </w:r>
                      <w:r w:rsidRPr="00683E93">
                        <w:rPr>
                          <w:rFonts w:cstheme="minorHAnsi"/>
                          <w:b/>
                          <w:sz w:val="23"/>
                          <w:szCs w:val="23"/>
                        </w:rPr>
                        <w:t xml:space="preserve">. Předpokládaných pracovišť, kde by se LP KINPEYGO mohl podávat je (dle SUKLu) 6, konkrétně jde o: pracoviště VFN v Praze (cca 52% pacientů z celé ČR), IKEM (6%), FN Královské Vinohrady (13% pac.), </w:t>
                      </w:r>
                      <w:r w:rsidRPr="00683E93">
                        <w:rPr>
                          <w:rFonts w:cstheme="minorHAnsi"/>
                          <w:b/>
                          <w:sz w:val="23"/>
                          <w:szCs w:val="23"/>
                          <w:u w:val="single"/>
                        </w:rPr>
                        <w:t>FN Olomouc – III. Interní klinika (11% pacientů z celé ČR),</w:t>
                      </w:r>
                      <w:r w:rsidRPr="00683E93">
                        <w:rPr>
                          <w:rFonts w:cstheme="minorHAnsi"/>
                          <w:b/>
                          <w:sz w:val="23"/>
                          <w:szCs w:val="23"/>
                        </w:rPr>
                        <w:t xml:space="preserve"> FN Hradec Králové (10%) a FN Plzeň (8%), která se terapii dotčené populace pacientů v ČR věnují</w:t>
                      </w:r>
                      <w:r w:rsidRPr="00683E93">
                        <w:rPr>
                          <w:rFonts w:cstheme="minorHAnsi"/>
                          <w:b/>
                          <w:sz w:val="23"/>
                          <w:szCs w:val="23"/>
                          <w:vertAlign w:val="superscript"/>
                        </w:rPr>
                        <w:t>28</w:t>
                      </w:r>
                      <w:r w:rsidRPr="00683E93">
                        <w:rPr>
                          <w:rFonts w:cstheme="minorHAnsi"/>
                          <w:b/>
                          <w:sz w:val="23"/>
                          <w:szCs w:val="23"/>
                        </w:rPr>
                        <w:t>.</w:t>
                      </w:r>
                    </w:p>
                    <w:p w:rsidR="009C56BF" w:rsidRPr="00683E93" w:rsidRDefault="009C56BF" w:rsidP="00E76255">
                      <w:pPr>
                        <w:spacing w:after="0"/>
                        <w:jc w:val="both"/>
                        <w:rPr>
                          <w:rFonts w:cstheme="minorHAnsi"/>
                          <w:b/>
                          <w:sz w:val="23"/>
                          <w:szCs w:val="23"/>
                        </w:rPr>
                      </w:pPr>
                      <w:r w:rsidRPr="00683E93">
                        <w:rPr>
                          <w:rStyle w:val="Hypertextovodkaz"/>
                          <w:rFonts w:cstheme="minorHAnsi"/>
                          <w:b/>
                          <w:color w:val="auto"/>
                          <w:sz w:val="23"/>
                          <w:szCs w:val="23"/>
                          <w:highlight w:val="cyan"/>
                        </w:rPr>
                        <w:t>Aktuálně je III. interní klinikou FN Olomouc</w:t>
                      </w:r>
                      <w:r w:rsidRPr="00683E93">
                        <w:rPr>
                          <w:rStyle w:val="Hypertextovodkaz"/>
                          <w:rFonts w:cstheme="minorHAnsi"/>
                          <w:b/>
                          <w:color w:val="auto"/>
                          <w:sz w:val="23"/>
                          <w:szCs w:val="23"/>
                          <w:highlight w:val="cyan"/>
                          <w:vertAlign w:val="superscript"/>
                        </w:rPr>
                        <w:t>136</w:t>
                      </w:r>
                      <w:r w:rsidRPr="00683E93">
                        <w:rPr>
                          <w:rStyle w:val="Hypertextovodkaz"/>
                          <w:rFonts w:cstheme="minorHAnsi"/>
                          <w:b/>
                          <w:color w:val="auto"/>
                          <w:sz w:val="23"/>
                          <w:szCs w:val="23"/>
                          <w:highlight w:val="cyan"/>
                        </w:rPr>
                        <w:t xml:space="preserve"> předpokládaný počet pacientů v daném roce na 10</w:t>
                      </w:r>
                      <w:r w:rsidRPr="00683E93">
                        <w:rPr>
                          <w:rStyle w:val="Hypertextovodkaz"/>
                          <w:rFonts w:cstheme="minorHAnsi"/>
                          <w:b/>
                          <w:color w:val="auto"/>
                          <w:sz w:val="23"/>
                          <w:szCs w:val="23"/>
                          <w:highlight w:val="cyan"/>
                          <w:u w:val="none"/>
                        </w:rPr>
                        <w:t xml:space="preserve"> – CAVE! klinika ale tehdy (tj. 2. 4. 2024) předpokládala, že LP bude mít v brzké době úhradu ze zdravotního pojištění, k tomu viz podrobněji informace uvedené výše v odstavci „</w:t>
                      </w:r>
                      <w:r w:rsidRPr="00683E93">
                        <w:rPr>
                          <w:rFonts w:cstheme="minorHAnsi"/>
                          <w:b/>
                          <w:i/>
                          <w:sz w:val="23"/>
                          <w:szCs w:val="23"/>
                          <w:highlight w:val="cyan"/>
                        </w:rPr>
                        <w:t>Stav LP v ČR</w:t>
                      </w:r>
                      <w:r w:rsidRPr="00683E93">
                        <w:rPr>
                          <w:rFonts w:cstheme="minorHAnsi"/>
                          <w:b/>
                          <w:i/>
                          <w:sz w:val="23"/>
                          <w:szCs w:val="23"/>
                          <w:highlight w:val="cyan"/>
                          <w:vertAlign w:val="superscript"/>
                        </w:rPr>
                        <w:t xml:space="preserve"> </w:t>
                      </w:r>
                      <w:r w:rsidRPr="00683E93">
                        <w:rPr>
                          <w:rFonts w:cstheme="minorHAnsi"/>
                          <w:b/>
                          <w:i/>
                          <w:sz w:val="23"/>
                          <w:szCs w:val="23"/>
                          <w:highlight w:val="cyan"/>
                        </w:rPr>
                        <w:t>k datu 16. 8. 2024</w:t>
                      </w:r>
                      <w:r w:rsidRPr="00683E93">
                        <w:rPr>
                          <w:rFonts w:cstheme="minorHAnsi"/>
                          <w:b/>
                          <w:sz w:val="23"/>
                          <w:szCs w:val="23"/>
                          <w:highlight w:val="cyan"/>
                        </w:rPr>
                        <w:t>“!</w:t>
                      </w:r>
                      <w:r w:rsidRPr="00683E93">
                        <w:rPr>
                          <w:rFonts w:cstheme="minorHAnsi"/>
                          <w:b/>
                          <w:sz w:val="23"/>
                          <w:szCs w:val="23"/>
                        </w:rPr>
                        <w:t xml:space="preserve"> </w:t>
                      </w:r>
                    </w:p>
                    <w:p w:rsidR="009C56BF" w:rsidRPr="00683E93" w:rsidRDefault="009C56BF">
                      <w:pPr>
                        <w:pStyle w:val="Obsahrmce"/>
                        <w:spacing w:after="0"/>
                        <w:jc w:val="both"/>
                        <w:rPr>
                          <w:rFonts w:cstheme="minorHAnsi"/>
                          <w:b/>
                          <w:color w:val="000000"/>
                          <w:sz w:val="16"/>
                          <w:szCs w:val="16"/>
                          <w:u w:val="single"/>
                        </w:rPr>
                      </w:pPr>
                    </w:p>
                    <w:p w:rsidR="009C56BF" w:rsidRDefault="009C56BF">
                      <w:pPr>
                        <w:pStyle w:val="Obsahrmce"/>
                        <w:spacing w:after="0"/>
                        <w:jc w:val="both"/>
                        <w:rPr>
                          <w:rFonts w:cstheme="minorHAnsi"/>
                          <w:b/>
                          <w:sz w:val="28"/>
                          <w:szCs w:val="28"/>
                        </w:rPr>
                      </w:pPr>
                      <w:r>
                        <w:rPr>
                          <w:rFonts w:cstheme="minorHAnsi"/>
                          <w:b/>
                          <w:color w:val="000000"/>
                          <w:sz w:val="28"/>
                          <w:szCs w:val="28"/>
                          <w:u w:val="single"/>
                        </w:rPr>
                        <w:t>Výsledky CEA/CUA</w:t>
                      </w:r>
                      <w:r>
                        <w:rPr>
                          <w:rFonts w:cstheme="minorHAnsi"/>
                          <w:b/>
                          <w:color w:val="000000"/>
                          <w:sz w:val="28"/>
                          <w:szCs w:val="28"/>
                        </w:rPr>
                        <w:t>:</w:t>
                      </w:r>
                    </w:p>
                    <w:p w:rsidR="009C56BF" w:rsidRPr="007B2BD7" w:rsidRDefault="009C56BF" w:rsidP="00683E93">
                      <w:pPr>
                        <w:pStyle w:val="Obsahrmce"/>
                        <w:numPr>
                          <w:ilvl w:val="0"/>
                          <w:numId w:val="6"/>
                        </w:numPr>
                        <w:spacing w:after="0"/>
                        <w:jc w:val="both"/>
                        <w:rPr>
                          <w:b/>
                          <w:sz w:val="24"/>
                          <w:szCs w:val="24"/>
                        </w:rPr>
                      </w:pPr>
                      <w:r w:rsidRPr="007B2BD7">
                        <w:rPr>
                          <w:rFonts w:cstheme="minorHAnsi"/>
                          <w:b/>
                          <w:sz w:val="24"/>
                          <w:szCs w:val="24"/>
                          <w:u w:val="single"/>
                        </w:rPr>
                        <w:t>CEA z perspektivy 1 léčebného cyklu (tj. 9 - 10 měsíců aktivní léčby, při použití dané profylaktické medikace a jednotkových cen dle Přílohy č. 30</w:t>
                      </w:r>
                      <w:r w:rsidRPr="007B2BD7">
                        <w:rPr>
                          <w:rFonts w:cstheme="minorHAnsi"/>
                          <w:b/>
                          <w:sz w:val="24"/>
                          <w:szCs w:val="24"/>
                        </w:rPr>
                        <w:t xml:space="preserve">): </w:t>
                      </w:r>
                      <w:r w:rsidRPr="007B2BD7">
                        <w:rPr>
                          <w:b/>
                          <w:color w:val="000000"/>
                          <w:sz w:val="24"/>
                          <w:szCs w:val="24"/>
                          <w:highlight w:val="cyan"/>
                        </w:rPr>
                        <w:t xml:space="preserve">„nízkodávkový“ režim s LP MEDROL (včetně profylaxe) s podpůrnou léčbou bude 12 – 22 x levnější </w:t>
                      </w:r>
                      <w:r>
                        <w:rPr>
                          <w:b/>
                          <w:color w:val="000000"/>
                          <w:sz w:val="24"/>
                          <w:szCs w:val="24"/>
                          <w:highlight w:val="cyan"/>
                        </w:rPr>
                        <w:t xml:space="preserve">než LP KINPEYGO s podpůrnou léčbou </w:t>
                      </w:r>
                      <w:r w:rsidRPr="007B2BD7">
                        <w:rPr>
                          <w:b/>
                          <w:color w:val="000000"/>
                          <w:sz w:val="24"/>
                          <w:szCs w:val="24"/>
                          <w:highlight w:val="cyan"/>
                        </w:rPr>
                        <w:t>za předpokladu cca stejné účinnosti, ale horší bezpečnosti, ICER pro nejvýrazněji rozdílný bezpečnostní parametr (výskyt těžkých infekcí) vychází 43 – 45 mil. Kč.</w:t>
                      </w:r>
                      <w:r w:rsidRPr="007B2BD7">
                        <w:rPr>
                          <w:b/>
                          <w:color w:val="000000"/>
                          <w:sz w:val="24"/>
                          <w:szCs w:val="24"/>
                        </w:rPr>
                        <w:t xml:space="preserve"> (tj. kolik vynaložíme za léčbu LP KINPEYGO vůči „nízkodávkovému“ režimu s LP MEDROL (včetně profylaxe) navíc za prevenování 1 příhody těžké infekce vyžadující hospitalizaci </w:t>
                      </w:r>
                      <w:r>
                        <w:rPr>
                          <w:b/>
                          <w:color w:val="000000"/>
                          <w:sz w:val="24"/>
                          <w:szCs w:val="24"/>
                        </w:rPr>
                        <w:t xml:space="preserve">navíc </w:t>
                      </w:r>
                      <w:r w:rsidRPr="007B2BD7">
                        <w:rPr>
                          <w:b/>
                          <w:color w:val="000000"/>
                          <w:sz w:val="24"/>
                          <w:szCs w:val="24"/>
                        </w:rPr>
                        <w:t>během 9-10 měsíců léčby),</w:t>
                      </w:r>
                    </w:p>
                    <w:p w:rsidR="009C56BF" w:rsidRPr="00CB40AC" w:rsidRDefault="009C56BF" w:rsidP="009C56BF">
                      <w:pPr>
                        <w:pStyle w:val="Obsahrmce"/>
                        <w:numPr>
                          <w:ilvl w:val="0"/>
                          <w:numId w:val="6"/>
                        </w:numPr>
                        <w:spacing w:after="0"/>
                        <w:jc w:val="both"/>
                        <w:rPr>
                          <w:b/>
                        </w:rPr>
                      </w:pPr>
                      <w:r w:rsidRPr="00322034">
                        <w:rPr>
                          <w:rFonts w:cstheme="minorHAnsi"/>
                          <w:b/>
                          <w:sz w:val="24"/>
                          <w:szCs w:val="24"/>
                          <w:u w:val="single"/>
                        </w:rPr>
                        <w:t>CEA z celoživotní perspektivy (tj. včetně dalších zdravotnických nákladů (viz níže pozn. 134), při diskontaci nákladů 3 % za rok, při použití jednotkových cen LP podávaných v úvodním jen 1 léčebném cyklu v délce 9 – 10 měsíců (dle příslušného LP) podle Přílohy č. 30 a za předpokladu stejného přetrvávání efektu LP KINPEYGA i „</w:t>
                      </w:r>
                      <w:r w:rsidRPr="00322034">
                        <w:rPr>
                          <w:b/>
                          <w:color w:val="000000"/>
                          <w:sz w:val="24"/>
                          <w:szCs w:val="24"/>
                          <w:u w:val="single"/>
                        </w:rPr>
                        <w:t>nízkodávkového“ režimu s LP MEDROL po</w:t>
                      </w:r>
                      <w:r w:rsidRPr="00322034">
                        <w:rPr>
                          <w:rFonts w:cstheme="minorHAnsi"/>
                          <w:b/>
                          <w:sz w:val="24"/>
                          <w:szCs w:val="24"/>
                          <w:u w:val="single"/>
                        </w:rPr>
                        <w:t> dobu 2 let</w:t>
                      </w:r>
                      <w:r w:rsidRPr="00322034">
                        <w:rPr>
                          <w:rFonts w:cstheme="minorHAnsi"/>
                          <w:b/>
                          <w:sz w:val="24"/>
                          <w:szCs w:val="24"/>
                        </w:rPr>
                        <w:t xml:space="preserve">: </w:t>
                      </w:r>
                      <w:r w:rsidRPr="00322034">
                        <w:rPr>
                          <w:b/>
                          <w:color w:val="000000"/>
                          <w:sz w:val="24"/>
                          <w:szCs w:val="24"/>
                          <w:highlight w:val="cyan"/>
                        </w:rPr>
                        <w:t>„nízkodávkový“ režim s LP MEDROL (včetně profylaxe) s podpůrnou léčbou bude 1,2 – 1,3 x levnější než LP KINPEYGO s podpůrnou léčbou za předpokladu cca stejné účinnosti, ale horší (výše uvedené) bezpečnosti, jen samotná podpůrná léčba bude cca 1,2 x levnější než LP KINPEYGO s podpůrnou léčbou, ale při nižší účinnosti (viz níže výsledky CUA),</w:t>
                      </w:r>
                      <w:r w:rsidRPr="00CB40AC">
                        <w:rPr>
                          <w:b/>
                          <w:color w:val="000000"/>
                          <w:sz w:val="24"/>
                          <w:szCs w:val="24"/>
                        </w:rPr>
                        <w:t xml:space="preserve"> </w:t>
                      </w:r>
                    </w:p>
                    <w:p w:rsidR="009C56BF" w:rsidRPr="00CB40AC" w:rsidRDefault="009C56BF" w:rsidP="009C56BF">
                      <w:pPr>
                        <w:pStyle w:val="Obsahrmce"/>
                        <w:numPr>
                          <w:ilvl w:val="0"/>
                          <w:numId w:val="6"/>
                        </w:numPr>
                        <w:spacing w:after="0"/>
                        <w:jc w:val="both"/>
                        <w:rPr>
                          <w:b/>
                          <w:sz w:val="24"/>
                          <w:szCs w:val="24"/>
                        </w:rPr>
                      </w:pPr>
                      <w:r w:rsidRPr="00CB40AC">
                        <w:rPr>
                          <w:rFonts w:cstheme="minorHAnsi"/>
                          <w:b/>
                          <w:sz w:val="24"/>
                          <w:szCs w:val="24"/>
                          <w:u w:val="single"/>
                        </w:rPr>
                        <w:t xml:space="preserve">CUA z celoživotní perspektivy (CAVE! dle správního řízení SUKLu a za předpokladů modelace dle žadatele o úhradu (tj. STADA) </w:t>
                      </w:r>
                      <w:r>
                        <w:rPr>
                          <w:rFonts w:cstheme="minorHAnsi"/>
                          <w:b/>
                          <w:sz w:val="24"/>
                          <w:szCs w:val="24"/>
                          <w:u w:val="single"/>
                        </w:rPr>
                        <w:t xml:space="preserve">– předpoklad, že efekt LP KINPEYGA přetrvává 2 roky a efekt systémových kortikosteroidů nepřesahuje 1 rok): </w:t>
                      </w:r>
                      <w:r w:rsidRPr="00CB40AC">
                        <w:rPr>
                          <w:rFonts w:cstheme="minorHAnsi"/>
                          <w:b/>
                          <w:sz w:val="24"/>
                          <w:szCs w:val="24"/>
                          <w:highlight w:val="cyan"/>
                        </w:rPr>
                        <w:t xml:space="preserve">ICUR režimu LP KINPEYGO </w:t>
                      </w:r>
                      <w:r w:rsidRPr="00CB40AC">
                        <w:rPr>
                          <w:b/>
                          <w:color w:val="000000"/>
                          <w:sz w:val="24"/>
                          <w:szCs w:val="24"/>
                          <w:highlight w:val="cyan"/>
                        </w:rPr>
                        <w:t xml:space="preserve">s podpůrnou léčbou vůči jen samotné podpůrné péči vychazí cca 5 mil. Kč/QALY a vůči režimu s prednisonem společně s podpůrnou léčbou (dále jen „SOC“) pak cca 5,6 mil. Kč/QALY, poměry přínosů (podle QALY) a nákladů LP KINPEYGO se SOC vůči jen samotné SOC činí </w:t>
                      </w:r>
                      <w:r w:rsidRPr="00CB40AC">
                        <w:rPr>
                          <w:rFonts w:cstheme="minorHAnsi"/>
                          <w:b/>
                          <w:sz w:val="24"/>
                          <w:szCs w:val="24"/>
                          <w:highlight w:val="cyan"/>
                          <w:shd w:val="clear" w:color="auto" w:fill="FFFF00"/>
                        </w:rPr>
                        <w:t xml:space="preserve">1.03 a 1.22 (tj. nepoměr ve „prospěch“ nákladů), při srovnání </w:t>
                      </w:r>
                      <w:r w:rsidRPr="00CB40AC">
                        <w:rPr>
                          <w:b/>
                          <w:color w:val="000000"/>
                          <w:sz w:val="24"/>
                          <w:szCs w:val="24"/>
                          <w:highlight w:val="cyan"/>
                        </w:rPr>
                        <w:t>LP KINPEYGO se SOC vůči režimu s prednisonem a SOC</w:t>
                      </w:r>
                      <w:r w:rsidRPr="00CB40AC">
                        <w:rPr>
                          <w:rFonts w:cstheme="minorHAnsi"/>
                          <w:b/>
                          <w:sz w:val="24"/>
                          <w:szCs w:val="24"/>
                          <w:highlight w:val="cyan"/>
                          <w:shd w:val="clear" w:color="auto" w:fill="FFFF00"/>
                        </w:rPr>
                        <w:t xml:space="preserve"> pak poměry přínosů (podle QALY) a nákladů činí 1.03 a 1.23 (tj. také nepoměr ve „prospěch“ nákla</w:t>
                      </w:r>
                      <w:r>
                        <w:rPr>
                          <w:rFonts w:cstheme="minorHAnsi"/>
                          <w:b/>
                          <w:sz w:val="24"/>
                          <w:szCs w:val="24"/>
                          <w:highlight w:val="cyan"/>
                          <w:shd w:val="clear" w:color="auto" w:fill="FFFF00"/>
                        </w:rPr>
                        <w:t>dů).</w:t>
                      </w:r>
                    </w:p>
                    <w:p w:rsidR="009C56BF" w:rsidRDefault="009C56BF">
                      <w:pPr>
                        <w:pStyle w:val="Obsahrmce"/>
                        <w:spacing w:after="0"/>
                        <w:jc w:val="both"/>
                        <w:rPr>
                          <w:rFonts w:cstheme="minorHAnsi"/>
                          <w:b/>
                          <w:color w:val="000000"/>
                          <w:sz w:val="23"/>
                          <w:szCs w:val="23"/>
                        </w:rPr>
                      </w:pPr>
                    </w:p>
                    <w:p w:rsidR="009C56BF" w:rsidRDefault="009C56BF">
                      <w:pPr>
                        <w:pStyle w:val="Obsahrmce"/>
                        <w:spacing w:after="0" w:line="240" w:lineRule="auto"/>
                        <w:jc w:val="both"/>
                        <w:rPr>
                          <w:rFonts w:cstheme="minorHAnsi"/>
                          <w:b/>
                          <w:sz w:val="23"/>
                          <w:szCs w:val="23"/>
                          <w:u w:val="single"/>
                        </w:rPr>
                      </w:pPr>
                    </w:p>
                    <w:p w:rsidR="009C56BF" w:rsidRDefault="009C56BF">
                      <w:pPr>
                        <w:pStyle w:val="Obsahrmce"/>
                        <w:spacing w:after="0"/>
                        <w:jc w:val="both"/>
                        <w:rPr>
                          <w:rFonts w:cstheme="minorHAnsi"/>
                          <w:sz w:val="16"/>
                          <w:szCs w:val="16"/>
                        </w:rPr>
                      </w:pPr>
                    </w:p>
                    <w:p w:rsidR="009C56BF" w:rsidRDefault="009C56BF">
                      <w:pPr>
                        <w:pStyle w:val="Obsahrmce"/>
                        <w:spacing w:after="0"/>
                        <w:jc w:val="both"/>
                        <w:rPr>
                          <w:b/>
                          <w:sz w:val="23"/>
                          <w:szCs w:val="23"/>
                        </w:rPr>
                      </w:pPr>
                    </w:p>
                    <w:p w:rsidR="009C56BF" w:rsidRDefault="009C56BF">
                      <w:pPr>
                        <w:pStyle w:val="Obsahrmce"/>
                        <w:spacing w:after="0"/>
                        <w:jc w:val="both"/>
                        <w:rPr>
                          <w:rFonts w:cstheme="minorHAnsi"/>
                          <w:b/>
                          <w:bCs/>
                          <w:sz w:val="24"/>
                          <w:szCs w:val="24"/>
                        </w:rPr>
                      </w:pPr>
                    </w:p>
                    <w:p w:rsidR="009C56BF" w:rsidRDefault="009C56BF">
                      <w:pPr>
                        <w:pStyle w:val="Obsahrmce"/>
                        <w:spacing w:after="0"/>
                        <w:jc w:val="both"/>
                        <w:rPr>
                          <w:b/>
                          <w:sz w:val="23"/>
                          <w:szCs w:val="23"/>
                        </w:rPr>
                      </w:pPr>
                    </w:p>
                    <w:p w:rsidR="009C56BF" w:rsidRDefault="009C56BF">
                      <w:pPr>
                        <w:pStyle w:val="Obsahrmce"/>
                        <w:spacing w:after="0"/>
                        <w:jc w:val="both"/>
                        <w:rPr>
                          <w:b/>
                          <w:sz w:val="23"/>
                          <w:szCs w:val="23"/>
                        </w:rPr>
                      </w:pPr>
                    </w:p>
                    <w:p w:rsidR="009C56BF" w:rsidRDefault="009C56BF">
                      <w:pPr>
                        <w:pStyle w:val="Obsahrmce"/>
                        <w:spacing w:after="0"/>
                        <w:jc w:val="both"/>
                        <w:rPr>
                          <w:b/>
                          <w:sz w:val="23"/>
                          <w:szCs w:val="23"/>
                        </w:rPr>
                      </w:pPr>
                    </w:p>
                    <w:p w:rsidR="009C56BF" w:rsidRDefault="009C56BF">
                      <w:pPr>
                        <w:pStyle w:val="Obsahrmce"/>
                        <w:spacing w:after="0"/>
                        <w:jc w:val="both"/>
                        <w:rPr>
                          <w:b/>
                          <w:sz w:val="23"/>
                          <w:szCs w:val="23"/>
                        </w:rPr>
                      </w:pPr>
                    </w:p>
                  </w:txbxContent>
                </v:textbox>
                <w10:wrap anchorx="margin"/>
              </v:shape>
            </w:pict>
          </mc:Fallback>
        </mc:AlternateContent>
      </w: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033807">
      <w:pPr>
        <w:spacing w:before="240" w:after="0"/>
        <w:rPr>
          <w:rFonts w:cstheme="minorHAnsi"/>
        </w:rPr>
      </w:pPr>
    </w:p>
    <w:p w:rsidR="00033807" w:rsidRDefault="00FB71D2">
      <w:pPr>
        <w:spacing w:before="240" w:after="0"/>
        <w:rPr>
          <w:rFonts w:cstheme="minorHAnsi"/>
        </w:rPr>
      </w:pPr>
      <w:r>
        <w:rPr>
          <w:noProof/>
        </w:rPr>
        <mc:AlternateContent>
          <mc:Choice Requires="wps">
            <w:drawing>
              <wp:anchor distT="19050" distB="19050" distL="19050" distR="19050" simplePos="0" relativeHeight="251686912" behindDoc="0" locked="0" layoutInCell="0" allowOverlap="1">
                <wp:simplePos x="0" y="0"/>
                <wp:positionH relativeFrom="margin">
                  <wp:posOffset>-9525</wp:posOffset>
                </wp:positionH>
                <wp:positionV relativeFrom="paragraph">
                  <wp:posOffset>45085</wp:posOffset>
                </wp:positionV>
                <wp:extent cx="6869430" cy="3526155"/>
                <wp:effectExtent l="19050" t="19050" r="7620" b="0"/>
                <wp:wrapNone/>
                <wp:docPr id="257" name="Rámec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9430" cy="3526155"/>
                        </a:xfrm>
                        <a:prstGeom prst="rect">
                          <a:avLst/>
                        </a:prstGeom>
                        <a:solidFill>
                          <a:srgbClr val="FFFFFF"/>
                        </a:solidFill>
                        <a:ln w="38100">
                          <a:solidFill>
                            <a:srgbClr val="000000"/>
                          </a:solidFill>
                        </a:ln>
                      </wps:spPr>
                      <wps:txbx>
                        <w:txbxContent>
                          <w:p w:rsidR="009C56BF" w:rsidRDefault="009C56BF" w:rsidP="00CB40AC">
                            <w:pPr>
                              <w:pStyle w:val="Obsahrmce"/>
                              <w:spacing w:after="0"/>
                              <w:jc w:val="both"/>
                              <w:rPr>
                                <w:rFonts w:cstheme="minorHAnsi"/>
                                <w:b/>
                                <w:sz w:val="28"/>
                                <w:szCs w:val="28"/>
                              </w:rPr>
                            </w:pPr>
                            <w:r>
                              <w:rPr>
                                <w:rFonts w:cstheme="minorHAnsi"/>
                                <w:b/>
                                <w:color w:val="000000"/>
                                <w:sz w:val="28"/>
                                <w:szCs w:val="28"/>
                                <w:u w:val="single"/>
                              </w:rPr>
                              <w:t>Výsledky BIA</w:t>
                            </w:r>
                          </w:p>
                          <w:p w:rsidR="009C56BF" w:rsidRPr="00B5681C" w:rsidRDefault="009C56BF" w:rsidP="00CB40AC">
                            <w:pPr>
                              <w:pStyle w:val="Obsahrmce"/>
                              <w:numPr>
                                <w:ilvl w:val="0"/>
                                <w:numId w:val="6"/>
                              </w:numPr>
                              <w:spacing w:after="0"/>
                              <w:jc w:val="both"/>
                              <w:rPr>
                                <w:b/>
                                <w:sz w:val="24"/>
                                <w:szCs w:val="24"/>
                              </w:rPr>
                            </w:pPr>
                            <w:r w:rsidRPr="00B5681C">
                              <w:rPr>
                                <w:rFonts w:cstheme="minorHAnsi"/>
                                <w:b/>
                                <w:sz w:val="24"/>
                                <w:szCs w:val="24"/>
                                <w:u w:val="single"/>
                              </w:rPr>
                              <w:t>pro 10 pacientů za 1 rok (a</w:t>
                            </w:r>
                            <w:r w:rsidRPr="00B5681C">
                              <w:rPr>
                                <w:rStyle w:val="Hypertextovodkaz"/>
                                <w:rFonts w:cstheme="minorHAnsi"/>
                                <w:b/>
                                <w:color w:val="auto"/>
                                <w:sz w:val="24"/>
                                <w:szCs w:val="24"/>
                              </w:rPr>
                              <w:t>ktuálně je III. interní klinikou FN Olomouc</w:t>
                            </w:r>
                            <w:r w:rsidRPr="00B5681C">
                              <w:rPr>
                                <w:rStyle w:val="Hypertextovodkaz"/>
                                <w:rFonts w:cstheme="minorHAnsi"/>
                                <w:b/>
                                <w:color w:val="auto"/>
                                <w:sz w:val="24"/>
                                <w:szCs w:val="24"/>
                                <w:vertAlign w:val="superscript"/>
                              </w:rPr>
                              <w:t>136</w:t>
                            </w:r>
                            <w:r w:rsidRPr="00B5681C">
                              <w:rPr>
                                <w:rStyle w:val="Hypertextovodkaz"/>
                                <w:rFonts w:cstheme="minorHAnsi"/>
                                <w:b/>
                                <w:color w:val="auto"/>
                                <w:sz w:val="24"/>
                                <w:szCs w:val="24"/>
                              </w:rPr>
                              <w:t xml:space="preserve"> předpokládaný počet pac. v daném roce na 10 – CAVE! klinika ale tehdy (tj. 2. 4. 2024) předpokládala, že LP bude mít v brzké době úhradu </w:t>
                            </w:r>
                            <w:proofErr w:type="gramStart"/>
                            <w:r w:rsidRPr="00B5681C">
                              <w:rPr>
                                <w:rStyle w:val="Hypertextovodkaz"/>
                                <w:rFonts w:cstheme="minorHAnsi"/>
                                <w:b/>
                                <w:color w:val="auto"/>
                                <w:sz w:val="24"/>
                                <w:szCs w:val="24"/>
                              </w:rPr>
                              <w:t>ze</w:t>
                            </w:r>
                            <w:proofErr w:type="gramEnd"/>
                            <w:r w:rsidRPr="00B5681C">
                              <w:rPr>
                                <w:rStyle w:val="Hypertextovodkaz"/>
                                <w:rFonts w:cstheme="minorHAnsi"/>
                                <w:b/>
                                <w:color w:val="auto"/>
                                <w:sz w:val="24"/>
                                <w:szCs w:val="24"/>
                              </w:rPr>
                              <w:t xml:space="preserve"> zdrav. pojištění, k tomu viz podrobněji výše v odstavci „</w:t>
                            </w:r>
                            <w:r w:rsidRPr="00B5681C">
                              <w:rPr>
                                <w:rFonts w:cstheme="minorHAnsi"/>
                                <w:b/>
                                <w:i/>
                                <w:sz w:val="24"/>
                                <w:szCs w:val="24"/>
                                <w:u w:val="single"/>
                              </w:rPr>
                              <w:t>Stav LP v ČR</w:t>
                            </w:r>
                            <w:r w:rsidRPr="00B5681C">
                              <w:rPr>
                                <w:rFonts w:cstheme="minorHAnsi"/>
                                <w:b/>
                                <w:i/>
                                <w:sz w:val="24"/>
                                <w:szCs w:val="24"/>
                                <w:u w:val="single"/>
                                <w:vertAlign w:val="superscript"/>
                              </w:rPr>
                              <w:t xml:space="preserve"> </w:t>
                            </w:r>
                            <w:r w:rsidRPr="00B5681C">
                              <w:rPr>
                                <w:rFonts w:cstheme="minorHAnsi"/>
                                <w:b/>
                                <w:i/>
                                <w:sz w:val="24"/>
                                <w:szCs w:val="24"/>
                                <w:u w:val="single"/>
                              </w:rPr>
                              <w:t>k datu 16. 8. 2024</w:t>
                            </w:r>
                            <w:r w:rsidRPr="00B5681C">
                              <w:rPr>
                                <w:rFonts w:cstheme="minorHAnsi"/>
                                <w:b/>
                                <w:sz w:val="24"/>
                                <w:szCs w:val="24"/>
                                <w:u w:val="single"/>
                              </w:rPr>
                              <w:t>“!)</w:t>
                            </w:r>
                            <w:r w:rsidRPr="00B5681C">
                              <w:rPr>
                                <w:rFonts w:cstheme="minorHAnsi"/>
                                <w:b/>
                                <w:sz w:val="24"/>
                                <w:szCs w:val="24"/>
                              </w:rPr>
                              <w:t>:</w:t>
                            </w:r>
                            <w:r>
                              <w:rPr>
                                <w:rFonts w:cstheme="minorHAnsi"/>
                                <w:sz w:val="18"/>
                                <w:szCs w:val="18"/>
                              </w:rPr>
                              <w:t xml:space="preserve"> </w:t>
                            </w:r>
                            <w:r w:rsidRPr="00B5681C">
                              <w:rPr>
                                <w:rFonts w:cstheme="minorHAnsi"/>
                                <w:b/>
                                <w:sz w:val="24"/>
                                <w:szCs w:val="24"/>
                                <w:highlight w:val="cyan"/>
                              </w:rPr>
                              <w:t>cca 14 mil. Kč navíc</w:t>
                            </w:r>
                            <w:r w:rsidRPr="00B5681C">
                              <w:rPr>
                                <w:rFonts w:cstheme="minorHAnsi"/>
                                <w:b/>
                                <w:sz w:val="24"/>
                                <w:szCs w:val="24"/>
                              </w:rPr>
                              <w:t>,</w:t>
                            </w:r>
                          </w:p>
                          <w:p w:rsidR="009C56BF" w:rsidRPr="00B5681C" w:rsidRDefault="009C56BF" w:rsidP="00B5681C">
                            <w:pPr>
                              <w:pStyle w:val="Obsahrmce"/>
                              <w:numPr>
                                <w:ilvl w:val="0"/>
                                <w:numId w:val="6"/>
                              </w:numPr>
                              <w:spacing w:after="0"/>
                              <w:jc w:val="both"/>
                              <w:rPr>
                                <w:b/>
                                <w:sz w:val="24"/>
                                <w:szCs w:val="24"/>
                              </w:rPr>
                            </w:pPr>
                            <w:r w:rsidRPr="00B5681C">
                              <w:rPr>
                                <w:rFonts w:cstheme="minorHAnsi"/>
                                <w:b/>
                                <w:sz w:val="24"/>
                                <w:szCs w:val="24"/>
                                <w:u w:val="single"/>
                              </w:rPr>
                              <w:t>v</w:t>
                            </w:r>
                            <w:r w:rsidRPr="00B5681C">
                              <w:rPr>
                                <w:b/>
                                <w:sz w:val="24"/>
                                <w:szCs w:val="24"/>
                                <w:u w:val="single"/>
                              </w:rPr>
                              <w:t xml:space="preserve"> </w:t>
                            </w:r>
                            <w:r w:rsidRPr="00B5681C">
                              <w:rPr>
                                <w:rFonts w:cstheme="minorHAnsi"/>
                                <w:b/>
                                <w:sz w:val="24"/>
                                <w:szCs w:val="24"/>
                                <w:u w:val="single"/>
                              </w:rPr>
                              <w:t>alternativním scénáři modelujících nižší počet pacientů indikovaných k LP KINPEYGO a vyšším zastoupení pacientů na systémových kortikoidech</w:t>
                            </w:r>
                            <w:r w:rsidRPr="00B5681C">
                              <w:rPr>
                                <w:rFonts w:cstheme="minorHAnsi"/>
                                <w:b/>
                                <w:sz w:val="24"/>
                                <w:szCs w:val="24"/>
                              </w:rPr>
                              <w:t xml:space="preserve"> (</w:t>
                            </w:r>
                            <w:r w:rsidRPr="00B5681C">
                              <w:rPr>
                                <w:b/>
                                <w:sz w:val="24"/>
                                <w:szCs w:val="24"/>
                              </w:rPr>
                              <w:t xml:space="preserve">při respektování kontraindikací k podávání systémových kortikosteroidů u IgAN dle doporučení KDIGO 2021 (viz podrobněji níže bod 2.3.1.3 v Příloze č. 13) </w:t>
                            </w:r>
                            <w:r w:rsidRPr="00B5681C">
                              <w:rPr>
                                <w:rFonts w:cstheme="minorHAnsi"/>
                                <w:b/>
                                <w:sz w:val="24"/>
                                <w:szCs w:val="24"/>
                                <w:u w:val="single"/>
                              </w:rPr>
                              <w:t>než doposud</w:t>
                            </w:r>
                            <w:r>
                              <w:rPr>
                                <w:rFonts w:cstheme="minorHAnsi"/>
                                <w:b/>
                                <w:sz w:val="24"/>
                                <w:szCs w:val="24"/>
                                <w:u w:val="single"/>
                              </w:rPr>
                              <w:t xml:space="preserve">, např. ve velmi konzervativním odhadu </w:t>
                            </w:r>
                            <w:r w:rsidRPr="00B5681C">
                              <w:rPr>
                                <w:rFonts w:cstheme="minorHAnsi"/>
                                <w:b/>
                                <w:sz w:val="24"/>
                                <w:szCs w:val="24"/>
                                <w:u w:val="single"/>
                              </w:rPr>
                              <w:t>poměru 7:3</w:t>
                            </w:r>
                            <w:r>
                              <w:rPr>
                                <w:rFonts w:cstheme="minorHAnsi"/>
                                <w:b/>
                                <w:sz w:val="24"/>
                                <w:szCs w:val="24"/>
                                <w:u w:val="single"/>
                              </w:rPr>
                              <w:t>, tj. podíl nově incidenčních pacientů s IgAN na „</w:t>
                            </w:r>
                            <w:r w:rsidRPr="00322034">
                              <w:rPr>
                                <w:b/>
                                <w:color w:val="000000"/>
                                <w:sz w:val="24"/>
                                <w:szCs w:val="24"/>
                                <w:u w:val="single"/>
                              </w:rPr>
                              <w:t>nízkodávkové</w:t>
                            </w:r>
                            <w:r>
                              <w:rPr>
                                <w:b/>
                                <w:color w:val="000000"/>
                                <w:sz w:val="24"/>
                                <w:szCs w:val="24"/>
                                <w:u w:val="single"/>
                              </w:rPr>
                              <w:t>m</w:t>
                            </w:r>
                            <w:r w:rsidRPr="00322034">
                              <w:rPr>
                                <w:b/>
                                <w:color w:val="000000"/>
                                <w:sz w:val="24"/>
                                <w:szCs w:val="24"/>
                                <w:u w:val="single"/>
                              </w:rPr>
                              <w:t>“ režimu s LP MEDROL</w:t>
                            </w:r>
                            <w:r>
                              <w:rPr>
                                <w:b/>
                                <w:color w:val="000000"/>
                                <w:sz w:val="24"/>
                                <w:szCs w:val="24"/>
                                <w:u w:val="single"/>
                              </w:rPr>
                              <w:t xml:space="preserve"> by činil cca 30%</w:t>
                            </w:r>
                            <w:r>
                              <w:rPr>
                                <w:rFonts w:cstheme="minorHAnsi"/>
                                <w:b/>
                                <w:sz w:val="24"/>
                                <w:szCs w:val="24"/>
                                <w:u w:val="single"/>
                              </w:rPr>
                              <w:t xml:space="preserve"> </w:t>
                            </w:r>
                            <w:r w:rsidRPr="00B5681C">
                              <w:rPr>
                                <w:rFonts w:cstheme="minorHAnsi"/>
                                <w:b/>
                                <w:sz w:val="24"/>
                                <w:szCs w:val="24"/>
                              </w:rPr>
                              <w:t xml:space="preserve"> (d</w:t>
                            </w:r>
                            <w:r w:rsidRPr="00B5681C">
                              <w:rPr>
                                <w:b/>
                                <w:sz w:val="24"/>
                                <w:szCs w:val="24"/>
                              </w:rPr>
                              <w:t>le údajů uvedených ve SŘ k LP KINPEYGO</w:t>
                            </w:r>
                            <w:r>
                              <w:rPr>
                                <w:b/>
                                <w:sz w:val="24"/>
                                <w:szCs w:val="24"/>
                              </w:rPr>
                              <w:t xml:space="preserve"> totiž</w:t>
                            </w:r>
                            <w:r w:rsidRPr="00B5681C">
                              <w:rPr>
                                <w:b/>
                                <w:sz w:val="24"/>
                                <w:szCs w:val="24"/>
                              </w:rPr>
                              <w:t xml:space="preserve"> vyplývá, že prednisonem je v klinické praxi </w:t>
                            </w:r>
                            <w:r>
                              <w:rPr>
                                <w:b/>
                                <w:sz w:val="24"/>
                                <w:szCs w:val="24"/>
                              </w:rPr>
                              <w:t xml:space="preserve">v ČR </w:t>
                            </w:r>
                            <w:r w:rsidRPr="00B5681C">
                              <w:rPr>
                                <w:b/>
                                <w:sz w:val="24"/>
                                <w:szCs w:val="24"/>
                              </w:rPr>
                              <w:t>léčeno jen 6 % pacientů (</w:t>
                            </w:r>
                            <w:r>
                              <w:rPr>
                                <w:b/>
                                <w:sz w:val="24"/>
                                <w:szCs w:val="24"/>
                              </w:rPr>
                              <w:t>po</w:t>
                            </w:r>
                            <w:r w:rsidRPr="00B5681C">
                              <w:rPr>
                                <w:b/>
                                <w:sz w:val="24"/>
                                <w:szCs w:val="24"/>
                              </w:rPr>
                              <w:t xml:space="preserve">dle vyjádření ČNS), neboť vzhledem k toxicitě systémové léčby kortikosteroidy </w:t>
                            </w:r>
                            <w:r>
                              <w:rPr>
                                <w:b/>
                                <w:sz w:val="24"/>
                                <w:szCs w:val="24"/>
                              </w:rPr>
                              <w:t>(</w:t>
                            </w:r>
                            <w:r w:rsidRPr="006F2002">
                              <w:rPr>
                                <w:b/>
                                <w:sz w:val="24"/>
                                <w:szCs w:val="24"/>
                                <w:u w:val="single"/>
                              </w:rPr>
                              <w:t xml:space="preserve">CAVE! srovnej </w:t>
                            </w:r>
                            <w:r>
                              <w:rPr>
                                <w:b/>
                                <w:sz w:val="24"/>
                                <w:szCs w:val="24"/>
                                <w:u w:val="single"/>
                              </w:rPr>
                              <w:t xml:space="preserve">ale </w:t>
                            </w:r>
                            <w:r w:rsidRPr="006F2002">
                              <w:rPr>
                                <w:b/>
                                <w:sz w:val="24"/>
                                <w:szCs w:val="24"/>
                                <w:u w:val="single"/>
                              </w:rPr>
                              <w:t>s nepřímým srovnáním bezpečnostních parametrů obou režimů v Příloze č. 24!</w:t>
                            </w:r>
                            <w:r>
                              <w:rPr>
                                <w:b/>
                                <w:sz w:val="24"/>
                                <w:szCs w:val="24"/>
                              </w:rPr>
                              <w:t xml:space="preserve">) </w:t>
                            </w:r>
                            <w:r w:rsidRPr="00B5681C">
                              <w:rPr>
                                <w:b/>
                                <w:sz w:val="24"/>
                                <w:szCs w:val="24"/>
                              </w:rPr>
                              <w:t>je před zahájením léčby prednisonem nezbytné posoudit, zda lze u konkrétního pacienta očekávat příznivý poměr riziko/benefit či nikoli - oproti léčbě prednisonem je preferována experimentální léčba (účast v klinické studii), jak vyplývá také z doporučení KDIGO 2021</w:t>
                            </w:r>
                            <w:r w:rsidRPr="00B5681C">
                              <w:rPr>
                                <w:b/>
                                <w:sz w:val="24"/>
                                <w:szCs w:val="24"/>
                                <w:vertAlign w:val="superscript"/>
                              </w:rPr>
                              <w:t>28</w:t>
                            </w:r>
                            <w:r w:rsidRPr="00B5681C">
                              <w:rPr>
                                <w:b/>
                                <w:sz w:val="24"/>
                                <w:szCs w:val="24"/>
                              </w:rPr>
                              <w:t xml:space="preserve">): </w:t>
                            </w:r>
                            <w:r w:rsidRPr="006F2002">
                              <w:rPr>
                                <w:b/>
                                <w:sz w:val="24"/>
                                <w:szCs w:val="24"/>
                                <w:highlight w:val="cyan"/>
                              </w:rPr>
                              <w:t>cca 10 mil. Kč navíc</w:t>
                            </w:r>
                            <w:r>
                              <w:rPr>
                                <w:b/>
                                <w:sz w:val="24"/>
                                <w:szCs w:val="24"/>
                              </w:rPr>
                              <w:t>.</w:t>
                            </w:r>
                          </w:p>
                          <w:p w:rsidR="009C56BF" w:rsidRPr="00B5681C" w:rsidRDefault="009C56BF" w:rsidP="00B5681C">
                            <w:pPr>
                              <w:pStyle w:val="Obsahrmce"/>
                              <w:spacing w:after="0"/>
                              <w:ind w:left="720"/>
                              <w:jc w:val="both"/>
                              <w:rPr>
                                <w:b/>
                                <w:sz w:val="24"/>
                                <w:szCs w:val="24"/>
                              </w:rPr>
                            </w:pPr>
                          </w:p>
                          <w:p w:rsidR="009C56BF" w:rsidRDefault="009C56BF" w:rsidP="00CB40AC">
                            <w:pPr>
                              <w:pStyle w:val="Obsahrmce"/>
                              <w:spacing w:after="0" w:line="240" w:lineRule="auto"/>
                              <w:jc w:val="both"/>
                              <w:rPr>
                                <w:rFonts w:cstheme="minorHAnsi"/>
                                <w:b/>
                                <w:sz w:val="23"/>
                                <w:szCs w:val="23"/>
                                <w:u w:val="single"/>
                              </w:rPr>
                            </w:pPr>
                          </w:p>
                          <w:p w:rsidR="009C56BF" w:rsidRDefault="009C56BF" w:rsidP="00CB40AC">
                            <w:pPr>
                              <w:pStyle w:val="Obsahrmce"/>
                              <w:spacing w:after="0"/>
                              <w:jc w:val="both"/>
                              <w:rPr>
                                <w:rFonts w:cstheme="minorHAnsi"/>
                                <w:sz w:val="16"/>
                                <w:szCs w:val="16"/>
                              </w:rPr>
                            </w:pPr>
                          </w:p>
                          <w:p w:rsidR="009C56BF" w:rsidRDefault="009C56BF" w:rsidP="00CB40AC">
                            <w:pPr>
                              <w:pStyle w:val="Obsahrmce"/>
                              <w:spacing w:after="0"/>
                              <w:jc w:val="both"/>
                              <w:rPr>
                                <w:b/>
                                <w:sz w:val="23"/>
                                <w:szCs w:val="23"/>
                              </w:rPr>
                            </w:pPr>
                          </w:p>
                          <w:p w:rsidR="009C56BF" w:rsidRDefault="009C56BF" w:rsidP="00CB40AC">
                            <w:pPr>
                              <w:pStyle w:val="Obsahrmce"/>
                              <w:spacing w:after="0"/>
                              <w:jc w:val="both"/>
                              <w:rPr>
                                <w:rFonts w:cstheme="minorHAnsi"/>
                                <w:b/>
                                <w:bCs/>
                                <w:sz w:val="24"/>
                                <w:szCs w:val="24"/>
                              </w:rPr>
                            </w:pPr>
                          </w:p>
                          <w:p w:rsidR="009C56BF" w:rsidRDefault="009C56BF" w:rsidP="00CB40AC">
                            <w:pPr>
                              <w:pStyle w:val="Obsahrmce"/>
                              <w:spacing w:after="0"/>
                              <w:jc w:val="both"/>
                              <w:rPr>
                                <w:b/>
                                <w:sz w:val="23"/>
                                <w:szCs w:val="23"/>
                              </w:rPr>
                            </w:pPr>
                          </w:p>
                          <w:p w:rsidR="009C56BF" w:rsidRDefault="009C56BF" w:rsidP="00CB40AC">
                            <w:pPr>
                              <w:pStyle w:val="Obsahrmce"/>
                              <w:spacing w:after="0"/>
                              <w:jc w:val="both"/>
                              <w:rPr>
                                <w:b/>
                                <w:sz w:val="23"/>
                                <w:szCs w:val="23"/>
                              </w:rPr>
                            </w:pPr>
                          </w:p>
                          <w:p w:rsidR="009C56BF" w:rsidRDefault="009C56BF" w:rsidP="00CB40AC">
                            <w:pPr>
                              <w:pStyle w:val="Obsahrmce"/>
                              <w:spacing w:after="0"/>
                              <w:jc w:val="both"/>
                              <w:rPr>
                                <w:b/>
                                <w:sz w:val="23"/>
                                <w:szCs w:val="23"/>
                              </w:rPr>
                            </w:pPr>
                          </w:p>
                          <w:p w:rsidR="009C56BF" w:rsidRDefault="009C56BF" w:rsidP="00CB40AC">
                            <w:pPr>
                              <w:pStyle w:val="Obsahrmce"/>
                              <w:spacing w:after="0"/>
                              <w:jc w:val="both"/>
                              <w:rPr>
                                <w:b/>
                                <w:sz w:val="23"/>
                                <w:szCs w:val="23"/>
                              </w:rPr>
                            </w:pPr>
                          </w:p>
                        </w:txbxContent>
                      </wps:txbx>
                      <wps:bodyPr lIns="91440" tIns="45720" rIns="91440" bIns="45720" anchor="t">
                        <a:noAutofit/>
                      </wps:bodyPr>
                    </wps:wsp>
                  </a:graphicData>
                </a:graphic>
                <wp14:sizeRelH relativeFrom="page">
                  <wp14:pctWidth>0</wp14:pctWidth>
                </wp14:sizeRelH>
                <wp14:sizeRelV relativeFrom="margin">
                  <wp14:pctHeight>0</wp14:pctHeight>
                </wp14:sizeRelV>
              </wp:anchor>
            </w:drawing>
          </mc:Choice>
          <mc:Fallback>
            <w:pict>
              <v:shape id="_x0000_s1035" type="#_x0000_t202" style="position:absolute;margin-left:-.75pt;margin-top:3.55pt;width:540.9pt;height:277.65pt;z-index:251686912;visibility:visible;mso-wrap-style:square;mso-width-percent:0;mso-height-percent:0;mso-wrap-distance-left:1.5pt;mso-wrap-distance-top:1.5pt;mso-wrap-distance-right:1.5pt;mso-wrap-distance-bottom:1.5pt;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" o:allowincell="f" strokeweight="3pt">
                <v:path arrowok="t"/>
                <v:textbox>
                  <w:txbxContent>
                    <w:p w:rsidR="009C56BF" w:rsidRDefault="009C56BF" w:rsidP="00CB40AC">
                      <w:pPr>
                        <w:pStyle w:val="Obsahrmce"/>
                        <w:spacing w:after="0"/>
                        <w:jc w:val="both"/>
                        <w:rPr>
                          <w:rFonts w:cstheme="minorHAnsi"/>
                          <w:b/>
                          <w:sz w:val="28"/>
                          <w:szCs w:val="28"/>
                        </w:rPr>
                      </w:pPr>
                      <w:r>
                        <w:rPr>
                          <w:rFonts w:cstheme="minorHAnsi"/>
                          <w:b/>
                          <w:color w:val="000000"/>
                          <w:sz w:val="28"/>
                          <w:szCs w:val="28"/>
                          <w:u w:val="single"/>
                        </w:rPr>
                        <w:t>Výsledky BIA</w:t>
                      </w:r>
                    </w:p>
                    <w:p w:rsidR="009C56BF" w:rsidRPr="00B5681C" w:rsidRDefault="009C56BF" w:rsidP="00CB40AC">
                      <w:pPr>
                        <w:pStyle w:val="Obsahrmce"/>
                        <w:numPr>
                          <w:ilvl w:val="0"/>
                          <w:numId w:val="6"/>
                        </w:numPr>
                        <w:spacing w:after="0"/>
                        <w:jc w:val="both"/>
                        <w:rPr>
                          <w:b/>
                          <w:sz w:val="24"/>
                          <w:szCs w:val="24"/>
                        </w:rPr>
                      </w:pPr>
                      <w:r w:rsidRPr="00B5681C">
                        <w:rPr>
                          <w:rFonts w:cstheme="minorHAnsi"/>
                          <w:b/>
                          <w:sz w:val="24"/>
                          <w:szCs w:val="24"/>
                          <w:u w:val="single"/>
                        </w:rPr>
                        <w:t>pro 10 pacientů za 1 rok (a</w:t>
                      </w:r>
                      <w:r w:rsidRPr="00B5681C">
                        <w:rPr>
                          <w:rStyle w:val="Hypertextovodkaz"/>
                          <w:rFonts w:cstheme="minorHAnsi"/>
                          <w:b/>
                          <w:color w:val="auto"/>
                          <w:sz w:val="24"/>
                          <w:szCs w:val="24"/>
                        </w:rPr>
                        <w:t>ktuálně je III. interní klinikou FN Olomouc</w:t>
                      </w:r>
                      <w:r w:rsidRPr="00B5681C">
                        <w:rPr>
                          <w:rStyle w:val="Hypertextovodkaz"/>
                          <w:rFonts w:cstheme="minorHAnsi"/>
                          <w:b/>
                          <w:color w:val="auto"/>
                          <w:sz w:val="24"/>
                          <w:szCs w:val="24"/>
                          <w:vertAlign w:val="superscript"/>
                        </w:rPr>
                        <w:t>136</w:t>
                      </w:r>
                      <w:r w:rsidRPr="00B5681C">
                        <w:rPr>
                          <w:rStyle w:val="Hypertextovodkaz"/>
                          <w:rFonts w:cstheme="minorHAnsi"/>
                          <w:b/>
                          <w:color w:val="auto"/>
                          <w:sz w:val="24"/>
                          <w:szCs w:val="24"/>
                        </w:rPr>
                        <w:t xml:space="preserve"> předpokládaný počet pac. v daném roce na 10 – CAVE! klinika ale tehdy (tj. 2. 4. 2024) předpokládala, že LP bude mít v brzké době úhradu </w:t>
                      </w:r>
                      <w:proofErr w:type="gramStart"/>
                      <w:r w:rsidRPr="00B5681C">
                        <w:rPr>
                          <w:rStyle w:val="Hypertextovodkaz"/>
                          <w:rFonts w:cstheme="minorHAnsi"/>
                          <w:b/>
                          <w:color w:val="auto"/>
                          <w:sz w:val="24"/>
                          <w:szCs w:val="24"/>
                        </w:rPr>
                        <w:t>ze</w:t>
                      </w:r>
                      <w:proofErr w:type="gramEnd"/>
                      <w:r w:rsidRPr="00B5681C">
                        <w:rPr>
                          <w:rStyle w:val="Hypertextovodkaz"/>
                          <w:rFonts w:cstheme="minorHAnsi"/>
                          <w:b/>
                          <w:color w:val="auto"/>
                          <w:sz w:val="24"/>
                          <w:szCs w:val="24"/>
                        </w:rPr>
                        <w:t xml:space="preserve"> zdrav. pojištění, k tomu viz podrobněji výše v odstavci „</w:t>
                      </w:r>
                      <w:r w:rsidRPr="00B5681C">
                        <w:rPr>
                          <w:rFonts w:cstheme="minorHAnsi"/>
                          <w:b/>
                          <w:i/>
                          <w:sz w:val="24"/>
                          <w:szCs w:val="24"/>
                          <w:u w:val="single"/>
                        </w:rPr>
                        <w:t>Stav LP v ČR</w:t>
                      </w:r>
                      <w:r w:rsidRPr="00B5681C">
                        <w:rPr>
                          <w:rFonts w:cstheme="minorHAnsi"/>
                          <w:b/>
                          <w:i/>
                          <w:sz w:val="24"/>
                          <w:szCs w:val="24"/>
                          <w:u w:val="single"/>
                          <w:vertAlign w:val="superscript"/>
                        </w:rPr>
                        <w:t xml:space="preserve"> </w:t>
                      </w:r>
                      <w:r w:rsidRPr="00B5681C">
                        <w:rPr>
                          <w:rFonts w:cstheme="minorHAnsi"/>
                          <w:b/>
                          <w:i/>
                          <w:sz w:val="24"/>
                          <w:szCs w:val="24"/>
                          <w:u w:val="single"/>
                        </w:rPr>
                        <w:t>k datu 16. 8. 2024</w:t>
                      </w:r>
                      <w:r w:rsidRPr="00B5681C">
                        <w:rPr>
                          <w:rFonts w:cstheme="minorHAnsi"/>
                          <w:b/>
                          <w:sz w:val="24"/>
                          <w:szCs w:val="24"/>
                          <w:u w:val="single"/>
                        </w:rPr>
                        <w:t>“!)</w:t>
                      </w:r>
                      <w:r w:rsidRPr="00B5681C">
                        <w:rPr>
                          <w:rFonts w:cstheme="minorHAnsi"/>
                          <w:b/>
                          <w:sz w:val="24"/>
                          <w:szCs w:val="24"/>
                        </w:rPr>
                        <w:t>:</w:t>
                      </w:r>
                      <w:r>
                        <w:rPr>
                          <w:rFonts w:cstheme="minorHAnsi"/>
                          <w:sz w:val="18"/>
                          <w:szCs w:val="18"/>
                        </w:rPr>
                        <w:t xml:space="preserve"> </w:t>
                      </w:r>
                      <w:r w:rsidRPr="00B5681C">
                        <w:rPr>
                          <w:rFonts w:cstheme="minorHAnsi"/>
                          <w:b/>
                          <w:sz w:val="24"/>
                          <w:szCs w:val="24"/>
                          <w:highlight w:val="cyan"/>
                        </w:rPr>
                        <w:t>cca 14 mil. Kč navíc</w:t>
                      </w:r>
                      <w:r w:rsidRPr="00B5681C">
                        <w:rPr>
                          <w:rFonts w:cstheme="minorHAnsi"/>
                          <w:b/>
                          <w:sz w:val="24"/>
                          <w:szCs w:val="24"/>
                        </w:rPr>
                        <w:t>,</w:t>
                      </w:r>
                    </w:p>
                    <w:p w:rsidR="009C56BF" w:rsidRPr="00B5681C" w:rsidRDefault="009C56BF" w:rsidP="00B5681C">
                      <w:pPr>
                        <w:pStyle w:val="Obsahrmce"/>
                        <w:numPr>
                          <w:ilvl w:val="0"/>
                          <w:numId w:val="6"/>
                        </w:numPr>
                        <w:spacing w:after="0"/>
                        <w:jc w:val="both"/>
                        <w:rPr>
                          <w:b/>
                          <w:sz w:val="24"/>
                          <w:szCs w:val="24"/>
                        </w:rPr>
                      </w:pPr>
                      <w:r w:rsidRPr="00B5681C">
                        <w:rPr>
                          <w:rFonts w:cstheme="minorHAnsi"/>
                          <w:b/>
                          <w:sz w:val="24"/>
                          <w:szCs w:val="24"/>
                          <w:u w:val="single"/>
                        </w:rPr>
                        <w:t>v</w:t>
                      </w:r>
                      <w:r w:rsidRPr="00B5681C">
                        <w:rPr>
                          <w:b/>
                          <w:sz w:val="24"/>
                          <w:szCs w:val="24"/>
                          <w:u w:val="single"/>
                        </w:rPr>
                        <w:t xml:space="preserve"> </w:t>
                      </w:r>
                      <w:r w:rsidRPr="00B5681C">
                        <w:rPr>
                          <w:rFonts w:cstheme="minorHAnsi"/>
                          <w:b/>
                          <w:sz w:val="24"/>
                          <w:szCs w:val="24"/>
                          <w:u w:val="single"/>
                        </w:rPr>
                        <w:t>alternativním scénáři modelujících nižší počet pacientů indikovaných k LP KINPEYGO a vyšším zastoupení pacientů na systémových kortikoidech</w:t>
                      </w:r>
                      <w:r w:rsidRPr="00B5681C">
                        <w:rPr>
                          <w:rFonts w:cstheme="minorHAnsi"/>
                          <w:b/>
                          <w:sz w:val="24"/>
                          <w:szCs w:val="24"/>
                        </w:rPr>
                        <w:t xml:space="preserve"> (</w:t>
                      </w:r>
                      <w:r w:rsidRPr="00B5681C">
                        <w:rPr>
                          <w:b/>
                          <w:sz w:val="24"/>
                          <w:szCs w:val="24"/>
                        </w:rPr>
                        <w:t xml:space="preserve">při respektování kontraindikací k podávání systémových kortikosteroidů u IgAN dle doporučení KDIGO 2021 (viz podrobněji níže bod 2.3.1.3 v Příloze č. 13) </w:t>
                      </w:r>
                      <w:r w:rsidRPr="00B5681C">
                        <w:rPr>
                          <w:rFonts w:cstheme="minorHAnsi"/>
                          <w:b/>
                          <w:sz w:val="24"/>
                          <w:szCs w:val="24"/>
                          <w:u w:val="single"/>
                        </w:rPr>
                        <w:t>než doposud</w:t>
                      </w:r>
                      <w:r>
                        <w:rPr>
                          <w:rFonts w:cstheme="minorHAnsi"/>
                          <w:b/>
                          <w:sz w:val="24"/>
                          <w:szCs w:val="24"/>
                          <w:u w:val="single"/>
                        </w:rPr>
                        <w:t xml:space="preserve">, např. ve velmi konzervativním odhadu </w:t>
                      </w:r>
                      <w:r w:rsidRPr="00B5681C">
                        <w:rPr>
                          <w:rFonts w:cstheme="minorHAnsi"/>
                          <w:b/>
                          <w:sz w:val="24"/>
                          <w:szCs w:val="24"/>
                          <w:u w:val="single"/>
                        </w:rPr>
                        <w:t>poměru 7:3</w:t>
                      </w:r>
                      <w:r>
                        <w:rPr>
                          <w:rFonts w:cstheme="minorHAnsi"/>
                          <w:b/>
                          <w:sz w:val="24"/>
                          <w:szCs w:val="24"/>
                          <w:u w:val="single"/>
                        </w:rPr>
                        <w:t>, tj. podíl nově incidenčních pacientů s IgAN na „</w:t>
                      </w:r>
                      <w:r w:rsidRPr="00322034">
                        <w:rPr>
                          <w:b/>
                          <w:color w:val="000000"/>
                          <w:sz w:val="24"/>
                          <w:szCs w:val="24"/>
                          <w:u w:val="single"/>
                        </w:rPr>
                        <w:t>nízkodávkové</w:t>
                      </w:r>
                      <w:r>
                        <w:rPr>
                          <w:b/>
                          <w:color w:val="000000"/>
                          <w:sz w:val="24"/>
                          <w:szCs w:val="24"/>
                          <w:u w:val="single"/>
                        </w:rPr>
                        <w:t>m</w:t>
                      </w:r>
                      <w:r w:rsidRPr="00322034">
                        <w:rPr>
                          <w:b/>
                          <w:color w:val="000000"/>
                          <w:sz w:val="24"/>
                          <w:szCs w:val="24"/>
                          <w:u w:val="single"/>
                        </w:rPr>
                        <w:t>“ režimu s LP MEDROL</w:t>
                      </w:r>
                      <w:r>
                        <w:rPr>
                          <w:b/>
                          <w:color w:val="000000"/>
                          <w:sz w:val="24"/>
                          <w:szCs w:val="24"/>
                          <w:u w:val="single"/>
                        </w:rPr>
                        <w:t xml:space="preserve"> by činil cca 30%</w:t>
                      </w:r>
                      <w:r>
                        <w:rPr>
                          <w:rFonts w:cstheme="minorHAnsi"/>
                          <w:b/>
                          <w:sz w:val="24"/>
                          <w:szCs w:val="24"/>
                          <w:u w:val="single"/>
                        </w:rPr>
                        <w:t xml:space="preserve"> </w:t>
                      </w:r>
                      <w:r w:rsidRPr="00B5681C">
                        <w:rPr>
                          <w:rFonts w:cstheme="minorHAnsi"/>
                          <w:b/>
                          <w:sz w:val="24"/>
                          <w:szCs w:val="24"/>
                        </w:rPr>
                        <w:t xml:space="preserve"> (d</w:t>
                      </w:r>
                      <w:r w:rsidRPr="00B5681C">
                        <w:rPr>
                          <w:b/>
                          <w:sz w:val="24"/>
                          <w:szCs w:val="24"/>
                        </w:rPr>
                        <w:t>le údajů uvedených ve SŘ k LP KINPEYGO</w:t>
                      </w:r>
                      <w:r>
                        <w:rPr>
                          <w:b/>
                          <w:sz w:val="24"/>
                          <w:szCs w:val="24"/>
                        </w:rPr>
                        <w:t xml:space="preserve"> totiž</w:t>
                      </w:r>
                      <w:r w:rsidRPr="00B5681C">
                        <w:rPr>
                          <w:b/>
                          <w:sz w:val="24"/>
                          <w:szCs w:val="24"/>
                        </w:rPr>
                        <w:t xml:space="preserve"> vyplývá, že prednisonem je v klinické praxi </w:t>
                      </w:r>
                      <w:r>
                        <w:rPr>
                          <w:b/>
                          <w:sz w:val="24"/>
                          <w:szCs w:val="24"/>
                        </w:rPr>
                        <w:t xml:space="preserve">v ČR </w:t>
                      </w:r>
                      <w:r w:rsidRPr="00B5681C">
                        <w:rPr>
                          <w:b/>
                          <w:sz w:val="24"/>
                          <w:szCs w:val="24"/>
                        </w:rPr>
                        <w:t>léčeno jen 6 % pacientů (</w:t>
                      </w:r>
                      <w:r>
                        <w:rPr>
                          <w:b/>
                          <w:sz w:val="24"/>
                          <w:szCs w:val="24"/>
                        </w:rPr>
                        <w:t>po</w:t>
                      </w:r>
                      <w:r w:rsidRPr="00B5681C">
                        <w:rPr>
                          <w:b/>
                          <w:sz w:val="24"/>
                          <w:szCs w:val="24"/>
                        </w:rPr>
                        <w:t xml:space="preserve">dle vyjádření ČNS), neboť vzhledem k toxicitě systémové léčby kortikosteroidy </w:t>
                      </w:r>
                      <w:r>
                        <w:rPr>
                          <w:b/>
                          <w:sz w:val="24"/>
                          <w:szCs w:val="24"/>
                        </w:rPr>
                        <w:t>(</w:t>
                      </w:r>
                      <w:r w:rsidRPr="006F2002">
                        <w:rPr>
                          <w:b/>
                          <w:sz w:val="24"/>
                          <w:szCs w:val="24"/>
                          <w:u w:val="single"/>
                        </w:rPr>
                        <w:t xml:space="preserve">CAVE! srovnej </w:t>
                      </w:r>
                      <w:r>
                        <w:rPr>
                          <w:b/>
                          <w:sz w:val="24"/>
                          <w:szCs w:val="24"/>
                          <w:u w:val="single"/>
                        </w:rPr>
                        <w:t xml:space="preserve">ale </w:t>
                      </w:r>
                      <w:r w:rsidRPr="006F2002">
                        <w:rPr>
                          <w:b/>
                          <w:sz w:val="24"/>
                          <w:szCs w:val="24"/>
                          <w:u w:val="single"/>
                        </w:rPr>
                        <w:t>s nepřímým srovnáním bezpečnostních parametrů obou režimů v Příloze č. 24!</w:t>
                      </w:r>
                      <w:r>
                        <w:rPr>
                          <w:b/>
                          <w:sz w:val="24"/>
                          <w:szCs w:val="24"/>
                        </w:rPr>
                        <w:t xml:space="preserve">) </w:t>
                      </w:r>
                      <w:r w:rsidRPr="00B5681C">
                        <w:rPr>
                          <w:b/>
                          <w:sz w:val="24"/>
                          <w:szCs w:val="24"/>
                        </w:rPr>
                        <w:t>je před zahájením léčby prednisonem nezbytné posoudit, zda lze u konkrétního pacienta očekávat příznivý poměr riziko/benefit či nikoli - oproti léčbě prednisonem je preferována experimentální léčba (účast v klinické studii), jak vyplývá také z doporučení KDIGO 2021</w:t>
                      </w:r>
                      <w:r w:rsidRPr="00B5681C">
                        <w:rPr>
                          <w:b/>
                          <w:sz w:val="24"/>
                          <w:szCs w:val="24"/>
                          <w:vertAlign w:val="superscript"/>
                        </w:rPr>
                        <w:t>28</w:t>
                      </w:r>
                      <w:r w:rsidRPr="00B5681C">
                        <w:rPr>
                          <w:b/>
                          <w:sz w:val="24"/>
                          <w:szCs w:val="24"/>
                        </w:rPr>
                        <w:t xml:space="preserve">): </w:t>
                      </w:r>
                      <w:r w:rsidRPr="006F2002">
                        <w:rPr>
                          <w:b/>
                          <w:sz w:val="24"/>
                          <w:szCs w:val="24"/>
                          <w:highlight w:val="cyan"/>
                        </w:rPr>
                        <w:t>cca 10 mil. Kč navíc</w:t>
                      </w:r>
                      <w:r>
                        <w:rPr>
                          <w:b/>
                          <w:sz w:val="24"/>
                          <w:szCs w:val="24"/>
                        </w:rPr>
                        <w:t>.</w:t>
                      </w:r>
                    </w:p>
                    <w:p w:rsidR="009C56BF" w:rsidRPr="00B5681C" w:rsidRDefault="009C56BF" w:rsidP="00B5681C">
                      <w:pPr>
                        <w:pStyle w:val="Obsahrmce"/>
                        <w:spacing w:after="0"/>
                        <w:ind w:left="720"/>
                        <w:jc w:val="both"/>
                        <w:rPr>
                          <w:b/>
                          <w:sz w:val="24"/>
                          <w:szCs w:val="24"/>
                        </w:rPr>
                      </w:pPr>
                    </w:p>
                    <w:p w:rsidR="009C56BF" w:rsidRDefault="009C56BF" w:rsidP="00CB40AC">
                      <w:pPr>
                        <w:pStyle w:val="Obsahrmce"/>
                        <w:spacing w:after="0" w:line="240" w:lineRule="auto"/>
                        <w:jc w:val="both"/>
                        <w:rPr>
                          <w:rFonts w:cstheme="minorHAnsi"/>
                          <w:b/>
                          <w:sz w:val="23"/>
                          <w:szCs w:val="23"/>
                          <w:u w:val="single"/>
                        </w:rPr>
                      </w:pPr>
                    </w:p>
                    <w:p w:rsidR="009C56BF" w:rsidRDefault="009C56BF" w:rsidP="00CB40AC">
                      <w:pPr>
                        <w:pStyle w:val="Obsahrmce"/>
                        <w:spacing w:after="0"/>
                        <w:jc w:val="both"/>
                        <w:rPr>
                          <w:rFonts w:cstheme="minorHAnsi"/>
                          <w:sz w:val="16"/>
                          <w:szCs w:val="16"/>
                        </w:rPr>
                      </w:pPr>
                    </w:p>
                    <w:p w:rsidR="009C56BF" w:rsidRDefault="009C56BF" w:rsidP="00CB40AC">
                      <w:pPr>
                        <w:pStyle w:val="Obsahrmce"/>
                        <w:spacing w:after="0"/>
                        <w:jc w:val="both"/>
                        <w:rPr>
                          <w:b/>
                          <w:sz w:val="23"/>
                          <w:szCs w:val="23"/>
                        </w:rPr>
                      </w:pPr>
                    </w:p>
                    <w:p w:rsidR="009C56BF" w:rsidRDefault="009C56BF" w:rsidP="00CB40AC">
                      <w:pPr>
                        <w:pStyle w:val="Obsahrmce"/>
                        <w:spacing w:after="0"/>
                        <w:jc w:val="both"/>
                        <w:rPr>
                          <w:rFonts w:cstheme="minorHAnsi"/>
                          <w:b/>
                          <w:bCs/>
                          <w:sz w:val="24"/>
                          <w:szCs w:val="24"/>
                        </w:rPr>
                      </w:pPr>
                    </w:p>
                    <w:p w:rsidR="009C56BF" w:rsidRDefault="009C56BF" w:rsidP="00CB40AC">
                      <w:pPr>
                        <w:pStyle w:val="Obsahrmce"/>
                        <w:spacing w:after="0"/>
                        <w:jc w:val="both"/>
                        <w:rPr>
                          <w:b/>
                          <w:sz w:val="23"/>
                          <w:szCs w:val="23"/>
                        </w:rPr>
                      </w:pPr>
                    </w:p>
                    <w:p w:rsidR="009C56BF" w:rsidRDefault="009C56BF" w:rsidP="00CB40AC">
                      <w:pPr>
                        <w:pStyle w:val="Obsahrmce"/>
                        <w:spacing w:after="0"/>
                        <w:jc w:val="both"/>
                        <w:rPr>
                          <w:b/>
                          <w:sz w:val="23"/>
                          <w:szCs w:val="23"/>
                        </w:rPr>
                      </w:pPr>
                    </w:p>
                    <w:p w:rsidR="009C56BF" w:rsidRDefault="009C56BF" w:rsidP="00CB40AC">
                      <w:pPr>
                        <w:pStyle w:val="Obsahrmce"/>
                        <w:spacing w:after="0"/>
                        <w:jc w:val="both"/>
                        <w:rPr>
                          <w:b/>
                          <w:sz w:val="23"/>
                          <w:szCs w:val="23"/>
                        </w:rPr>
                      </w:pPr>
                    </w:p>
                    <w:p w:rsidR="009C56BF" w:rsidRDefault="009C56BF" w:rsidP="00CB40AC">
                      <w:pPr>
                        <w:pStyle w:val="Obsahrmce"/>
                        <w:spacing w:after="0"/>
                        <w:jc w:val="both"/>
                        <w:rPr>
                          <w:b/>
                          <w:sz w:val="23"/>
                          <w:szCs w:val="23"/>
                        </w:rPr>
                      </w:pPr>
                    </w:p>
                  </w:txbxContent>
                </v:textbox>
                <w10:wrap anchorx="margin"/>
              </v:shape>
            </w:pict>
          </mc:Fallback>
        </mc:AlternateContent>
      </w:r>
    </w:p>
    <w:p w:rsidR="00CB40AC" w:rsidRDefault="00CB40AC">
      <w:pPr>
        <w:spacing w:before="240" w:after="0"/>
        <w:rPr>
          <w:rFonts w:cstheme="minorHAnsi"/>
        </w:rPr>
      </w:pPr>
    </w:p>
    <w:p w:rsidR="00CB40AC" w:rsidRDefault="00CB40AC">
      <w:pPr>
        <w:spacing w:before="240" w:after="0"/>
        <w:rPr>
          <w:rFonts w:cstheme="minorHAnsi"/>
        </w:rPr>
      </w:pPr>
    </w:p>
    <w:p w:rsidR="00CB40AC" w:rsidRDefault="00CB40AC">
      <w:pPr>
        <w:spacing w:before="240" w:after="0"/>
        <w:rPr>
          <w:rFonts w:cstheme="minorHAnsi"/>
        </w:rPr>
      </w:pPr>
    </w:p>
    <w:p w:rsidR="00CB40AC" w:rsidRDefault="00CB40AC">
      <w:pPr>
        <w:spacing w:before="240" w:after="0"/>
        <w:rPr>
          <w:rFonts w:cstheme="minorHAnsi"/>
        </w:rPr>
      </w:pPr>
    </w:p>
    <w:p w:rsidR="00CB40AC" w:rsidRDefault="00CB40AC">
      <w:pPr>
        <w:spacing w:before="240" w:after="0"/>
        <w:rPr>
          <w:rFonts w:cstheme="minorHAnsi"/>
        </w:rPr>
      </w:pPr>
    </w:p>
    <w:p w:rsidR="00CB40AC" w:rsidRDefault="00CB40AC">
      <w:pPr>
        <w:spacing w:before="240" w:after="0"/>
        <w:rPr>
          <w:rFonts w:cstheme="minorHAnsi"/>
        </w:rPr>
      </w:pPr>
    </w:p>
    <w:p w:rsidR="00CB40AC" w:rsidRDefault="00CB40AC">
      <w:pPr>
        <w:spacing w:before="240" w:after="0"/>
        <w:rPr>
          <w:rFonts w:cstheme="minorHAnsi"/>
        </w:rPr>
      </w:pPr>
    </w:p>
    <w:p w:rsidR="00CB40AC" w:rsidRDefault="00CB40AC">
      <w:pPr>
        <w:spacing w:before="240" w:after="0"/>
        <w:rPr>
          <w:rFonts w:cstheme="minorHAnsi"/>
        </w:rPr>
      </w:pPr>
    </w:p>
    <w:p w:rsidR="00CB40AC" w:rsidRDefault="00CB40AC">
      <w:pPr>
        <w:spacing w:before="240" w:after="0"/>
        <w:rPr>
          <w:rFonts w:cstheme="minorHAnsi"/>
        </w:rPr>
      </w:pPr>
    </w:p>
    <w:p w:rsidR="00CB40AC" w:rsidRDefault="00CB40AC">
      <w:pPr>
        <w:spacing w:before="240" w:after="0"/>
        <w:rPr>
          <w:rFonts w:cstheme="minorHAnsi"/>
        </w:rPr>
      </w:pPr>
    </w:p>
    <w:p w:rsidR="00033807" w:rsidRDefault="00C071AF">
      <w:pPr>
        <w:spacing w:before="240" w:after="0"/>
        <w:rPr>
          <w:rFonts w:cstheme="minorHAnsi"/>
        </w:rPr>
      </w:pPr>
      <w:r>
        <w:rPr>
          <w:rFonts w:cstheme="minorHAnsi"/>
        </w:rPr>
        <w:t xml:space="preserve">Zpracoval: Mgr. Jaroslav Duda                                                   </w:t>
      </w:r>
      <w:r w:rsidR="0074658E">
        <w:rPr>
          <w:rFonts w:cstheme="minorHAnsi"/>
        </w:rPr>
        <w:t>19. 8</w:t>
      </w:r>
      <w:r>
        <w:rPr>
          <w:rFonts w:cstheme="minorHAnsi"/>
        </w:rPr>
        <w:t>. 2024</w:t>
      </w:r>
    </w:p>
    <w:p w:rsidR="00033807" w:rsidRDefault="00033807">
      <w:pPr>
        <w:spacing w:after="0"/>
        <w:rPr>
          <w:rFonts w:cstheme="minorHAnsi"/>
          <w:u w:val="single"/>
        </w:rPr>
      </w:pPr>
    </w:p>
    <w:p w:rsidR="00FA3015" w:rsidRPr="00FA3015" w:rsidRDefault="00FA3015">
      <w:pPr>
        <w:spacing w:after="0"/>
        <w:rPr>
          <w:rFonts w:cstheme="minorHAnsi"/>
          <w:b/>
          <w:color w:val="FF0000"/>
          <w:u w:val="single"/>
        </w:rPr>
      </w:pPr>
      <w:r w:rsidRPr="00FA3015">
        <w:rPr>
          <w:rFonts w:cstheme="minorHAnsi"/>
          <w:b/>
          <w:color w:val="FF0000"/>
          <w:u w:val="single"/>
        </w:rPr>
        <w:t>Ostatní poznámky a přílohy jsou k dispozici u autora této FE analýzy!</w:t>
      </w:r>
    </w:p>
    <w:p w:rsidR="00FA3015" w:rsidRDefault="00FA3015">
      <w:pPr>
        <w:spacing w:after="0"/>
        <w:rPr>
          <w:rFonts w:cstheme="minorHAnsi"/>
          <w:u w:val="single"/>
        </w:rPr>
      </w:pPr>
    </w:p>
    <w:p w:rsidR="00033807" w:rsidRDefault="00C071AF">
      <w:pPr>
        <w:spacing w:after="0"/>
        <w:rPr>
          <w:rFonts w:cstheme="minorHAnsi"/>
          <w:u w:val="single"/>
        </w:rPr>
      </w:pPr>
      <w:r>
        <w:rPr>
          <w:rFonts w:cstheme="minorHAnsi"/>
          <w:u w:val="single"/>
        </w:rPr>
        <w:t>Poznámky a literatura:</w:t>
      </w:r>
    </w:p>
    <w:p w:rsidR="00033807" w:rsidRDefault="00033807">
      <w:pPr>
        <w:spacing w:after="0"/>
        <w:rPr>
          <w:rFonts w:cstheme="minorHAnsi"/>
          <w:sz w:val="10"/>
          <w:szCs w:val="10"/>
          <w:u w:val="single"/>
        </w:rPr>
      </w:pPr>
    </w:p>
    <w:p w:rsidR="00033807" w:rsidRDefault="00C071AF">
      <w:pPr>
        <w:pStyle w:val="Odstavecseseznamem"/>
        <w:numPr>
          <w:ilvl w:val="0"/>
          <w:numId w:val="1"/>
        </w:numPr>
        <w:jc w:val="both"/>
        <w:rPr>
          <w:sz w:val="20"/>
          <w:szCs w:val="20"/>
        </w:rPr>
      </w:pPr>
      <w:r>
        <w:rPr>
          <w:sz w:val="20"/>
          <w:szCs w:val="20"/>
        </w:rPr>
        <w:t>Dle https://www.ema.europa.eu/en/medicines/human/EPAR/kinpeygo z 1.</w:t>
      </w:r>
      <w:r w:rsidR="000E6DFD">
        <w:rPr>
          <w:sz w:val="20"/>
          <w:szCs w:val="20"/>
        </w:rPr>
        <w:t xml:space="preserve"> </w:t>
      </w:r>
      <w:r>
        <w:rPr>
          <w:sz w:val="20"/>
          <w:szCs w:val="20"/>
        </w:rPr>
        <w:t>8.</w:t>
      </w:r>
      <w:r w:rsidR="000E6DFD">
        <w:rPr>
          <w:sz w:val="20"/>
          <w:szCs w:val="20"/>
        </w:rPr>
        <w:t xml:space="preserve"> </w:t>
      </w:r>
      <w:r>
        <w:rPr>
          <w:sz w:val="20"/>
          <w:szCs w:val="20"/>
        </w:rPr>
        <w:t xml:space="preserve">2024 </w:t>
      </w:r>
    </w:p>
    <w:p w:rsidR="00033807" w:rsidRDefault="00C071AF">
      <w:pPr>
        <w:pStyle w:val="Odstavecseseznamem"/>
        <w:numPr>
          <w:ilvl w:val="0"/>
          <w:numId w:val="1"/>
        </w:numPr>
        <w:jc w:val="both"/>
        <w:rPr>
          <w:sz w:val="20"/>
          <w:szCs w:val="20"/>
        </w:rPr>
      </w:pPr>
      <w:r>
        <w:rPr>
          <w:sz w:val="20"/>
          <w:szCs w:val="20"/>
        </w:rPr>
        <w:t>Databáze léků na ww.sukl.cz k</w:t>
      </w:r>
      <w:r w:rsidR="00222122">
        <w:rPr>
          <w:sz w:val="20"/>
          <w:szCs w:val="20"/>
        </w:rPr>
        <w:t> 16. 8</w:t>
      </w:r>
      <w:r>
        <w:rPr>
          <w:sz w:val="20"/>
          <w:szCs w:val="20"/>
        </w:rPr>
        <w:t xml:space="preserve">. 7. 2024 – LP KINPEYGO, FORXIGA, JARDIANCE, FILSPARI, </w:t>
      </w:r>
      <w:r w:rsidR="000E6DFD">
        <w:rPr>
          <w:sz w:val="20"/>
          <w:szCs w:val="20"/>
        </w:rPr>
        <w:t>ACLASTA, TERROSA, MEDROL</w:t>
      </w:r>
      <w:r>
        <w:rPr>
          <w:sz w:val="20"/>
          <w:szCs w:val="20"/>
        </w:rPr>
        <w:t xml:space="preserve"> </w:t>
      </w:r>
    </w:p>
    <w:p w:rsidR="00033807" w:rsidRDefault="00C071AF">
      <w:pPr>
        <w:pStyle w:val="Odstavecseseznamem"/>
        <w:numPr>
          <w:ilvl w:val="0"/>
          <w:numId w:val="1"/>
        </w:numPr>
        <w:jc w:val="both"/>
        <w:rPr>
          <w:sz w:val="20"/>
          <w:szCs w:val="20"/>
        </w:rPr>
      </w:pPr>
      <w:r>
        <w:rPr>
          <w:sz w:val="20"/>
          <w:szCs w:val="20"/>
        </w:rPr>
        <w:t>Informace o průběhu správních řízení na ww.sukl.cz k</w:t>
      </w:r>
      <w:r w:rsidR="000E6DFD">
        <w:rPr>
          <w:sz w:val="20"/>
          <w:szCs w:val="20"/>
        </w:rPr>
        <w:t xml:space="preserve"> 16. 8. </w:t>
      </w:r>
      <w:r>
        <w:rPr>
          <w:sz w:val="20"/>
          <w:szCs w:val="20"/>
        </w:rPr>
        <w:t>2024</w:t>
      </w:r>
    </w:p>
    <w:p w:rsidR="00033807" w:rsidRDefault="00C071AF">
      <w:pPr>
        <w:pStyle w:val="Odstavecseseznamem"/>
        <w:numPr>
          <w:ilvl w:val="0"/>
          <w:numId w:val="1"/>
        </w:numPr>
        <w:spacing w:after="0"/>
        <w:jc w:val="both"/>
        <w:rPr>
          <w:sz w:val="20"/>
          <w:szCs w:val="20"/>
        </w:rPr>
      </w:pPr>
      <w:r>
        <w:rPr>
          <w:sz w:val="20"/>
          <w:szCs w:val="20"/>
        </w:rPr>
        <w:t>European Medicines agency. Filspari. Assessment report. Procedure No. EMEA/H/C/005783/0000. 22 February 2024</w:t>
      </w:r>
    </w:p>
    <w:p w:rsidR="00033807" w:rsidRDefault="00C071AF">
      <w:pPr>
        <w:pStyle w:val="Odstavecseseznamem"/>
        <w:numPr>
          <w:ilvl w:val="0"/>
          <w:numId w:val="1"/>
        </w:numPr>
        <w:spacing w:after="0"/>
        <w:jc w:val="both"/>
        <w:rPr>
          <w:sz w:val="20"/>
          <w:szCs w:val="20"/>
        </w:rPr>
      </w:pPr>
      <w:r>
        <w:rPr>
          <w:sz w:val="20"/>
          <w:szCs w:val="20"/>
        </w:rPr>
        <w:t xml:space="preserve">STADA PHARMA CZ. KINPEYGO. Strukturované </w:t>
      </w:r>
      <w:proofErr w:type="gramStart"/>
      <w:r>
        <w:rPr>
          <w:sz w:val="20"/>
          <w:szCs w:val="20"/>
        </w:rPr>
        <w:t>podání - příloha</w:t>
      </w:r>
      <w:proofErr w:type="gramEnd"/>
      <w:r>
        <w:rPr>
          <w:sz w:val="20"/>
          <w:szCs w:val="20"/>
        </w:rPr>
        <w:t xml:space="preserve"> k žádosti o výši a podmínkách úhrady léčivého přípravku nebo potraviny pro zvláštní lékařské účely předkládané SÚKLu z 10.5.2023. Verze 2023-07-17 – staženo ze zdroje uvedeného výše pod pozn. 3 ze SŘ pod sp. zn. SUKLS181711/2023</w:t>
      </w:r>
    </w:p>
    <w:p w:rsidR="00033807" w:rsidRDefault="00C071AF">
      <w:pPr>
        <w:pStyle w:val="Odstavecseseznamem"/>
        <w:numPr>
          <w:ilvl w:val="0"/>
          <w:numId w:val="1"/>
        </w:numPr>
        <w:spacing w:after="0"/>
        <w:jc w:val="both"/>
        <w:rPr>
          <w:b/>
          <w:color w:val="FF0000"/>
          <w:sz w:val="20"/>
          <w:szCs w:val="20"/>
        </w:rPr>
      </w:pPr>
      <w:r>
        <w:rPr>
          <w:b/>
          <w:color w:val="FF0000"/>
          <w:sz w:val="20"/>
          <w:szCs w:val="20"/>
          <w:u w:val="single"/>
        </w:rPr>
        <w:t xml:space="preserve">LP KINPEYGO má od 30.7.2024 již standardní (řádnou, resp. trvalou) registraci (viz výše pozn. 1), v rámci které došlo i k rozšíření terapeutické indikace přípravku KINPEYGO - podle které je přípravek KINPEYGO indikován k léčbě dospělých s primární imunoglobulin A nefropatií (IgAN </w:t>
      </w:r>
      <w:r>
        <w:rPr>
          <w:b/>
          <w:color w:val="FF0000"/>
          <w:sz w:val="20"/>
          <w:szCs w:val="20"/>
        </w:rPr>
        <w:t>– viz také níže pozn. 24</w:t>
      </w:r>
      <w:r>
        <w:rPr>
          <w:b/>
          <w:color w:val="FF0000"/>
          <w:sz w:val="20"/>
          <w:szCs w:val="20"/>
          <w:u w:val="single"/>
        </w:rPr>
        <w:t xml:space="preserve">) s proteinurií ≥ 1 g/d (nebo s poměrem proteinu a kreatininu v moči (tzv. UPCR </w:t>
      </w:r>
      <w:r>
        <w:rPr>
          <w:b/>
          <w:color w:val="FF0000"/>
          <w:sz w:val="20"/>
          <w:szCs w:val="20"/>
        </w:rPr>
        <w:t xml:space="preserve">– viz níže pozn. 10) </w:t>
      </w:r>
      <w:r>
        <w:rPr>
          <w:b/>
          <w:color w:val="FF0000"/>
          <w:sz w:val="20"/>
          <w:szCs w:val="20"/>
          <w:u w:val="single"/>
        </w:rPr>
        <w:t xml:space="preserve">≥ 0,8 g/gram) </w:t>
      </w:r>
      <w:r>
        <w:rPr>
          <w:b/>
          <w:color w:val="FF0000"/>
          <w:sz w:val="20"/>
          <w:szCs w:val="20"/>
        </w:rPr>
        <w:t>– viz také níže pozn. 9.</w:t>
      </w:r>
      <w:r>
        <w:rPr>
          <w:b/>
          <w:color w:val="FF0000"/>
          <w:sz w:val="20"/>
          <w:szCs w:val="20"/>
          <w:u w:val="single"/>
        </w:rPr>
        <w:t xml:space="preserve"> Rozšíření stávající indikace doporučil výbor CHMP dne 30.5.2024</w:t>
      </w:r>
      <w:r>
        <w:rPr>
          <w:sz w:val="20"/>
          <w:szCs w:val="20"/>
          <w:vertAlign w:val="superscript"/>
        </w:rPr>
        <w:t>8</w:t>
      </w:r>
      <w:r>
        <w:rPr>
          <w:sz w:val="20"/>
          <w:szCs w:val="20"/>
        </w:rPr>
        <w:t xml:space="preserve">. </w:t>
      </w:r>
      <w:r>
        <w:rPr>
          <w:b/>
          <w:color w:val="FF0000"/>
          <w:sz w:val="20"/>
          <w:szCs w:val="20"/>
        </w:rPr>
        <w:t>Na základě předem specifikované analýzy ve studii NefIgArd s LP KINPEYGO (viz detailněji výše informace v odstavci „Postavení léčiva v …“) byl u podskupiny pacientů (se vstupní hodnotou UPCR ≥1,5 g/g (celkem 73 pacientů; 38 v rameni placeba, 35 v rameni budesonidu) v parametru eGFR zaznamenán větší přínos budesonidu (zlepšení eGFR o 17 % [95 %CI: 8-27 %] v porovnání s placebem v 9. měsíci oproti přínosu pozorovanému u celé populace pacientů zařazených do studie (jednalo se o výsledek tzv. části A studie NefIgArd publikované v roce 2022, která sloužila pro registrační proceduru na EMA pro prokázání pozitivního poměru riziko/benefit) –</w:t>
      </w:r>
      <w:r>
        <w:rPr>
          <w:b/>
          <w:color w:val="FF0000"/>
          <w:sz w:val="20"/>
          <w:szCs w:val="20"/>
          <w:u w:val="single"/>
        </w:rPr>
        <w:t xml:space="preserve"> proto byla do 30.7.2024 (dle EMA) zahrnuta do indikace jen vstupní hodnotou UPCR ve výši ≥1,5 g/g</w:t>
      </w:r>
      <w:r>
        <w:rPr>
          <w:b/>
          <w:color w:val="FF0000"/>
          <w:sz w:val="20"/>
          <w:szCs w:val="20"/>
          <w:vertAlign w:val="superscript"/>
        </w:rPr>
        <w:t>28</w:t>
      </w:r>
      <w:r>
        <w:rPr>
          <w:b/>
          <w:color w:val="FF0000"/>
          <w:sz w:val="20"/>
          <w:szCs w:val="20"/>
        </w:rPr>
        <w:t>.</w:t>
      </w:r>
    </w:p>
    <w:p w:rsidR="00033807" w:rsidRDefault="00C071AF">
      <w:pPr>
        <w:pStyle w:val="Odstavecseseznamem"/>
        <w:spacing w:after="0"/>
        <w:jc w:val="both"/>
        <w:rPr>
          <w:b/>
          <w:color w:val="FF0000"/>
          <w:sz w:val="20"/>
          <w:szCs w:val="20"/>
        </w:rPr>
      </w:pPr>
      <w:r>
        <w:rPr>
          <w:b/>
          <w:color w:val="FF0000"/>
          <w:sz w:val="20"/>
          <w:szCs w:val="20"/>
          <w:u w:val="single"/>
        </w:rPr>
        <w:t>Naopak účinnost KINPEYGA na zpomalení poklesu eGFR pozorovaná v měsíci 24 (tzv. část B studie publikovaná až v roce 2023) nebyla závislá na vstupní hodnotě proteinurie -vážený průměr změn eGFR oproti počátečnímu stavu během 2 let nebyl závislý na vstupní hodnotě proteinuri</w:t>
      </w:r>
      <w:r>
        <w:rPr>
          <w:b/>
          <w:color w:val="FF0000"/>
          <w:sz w:val="20"/>
          <w:szCs w:val="20"/>
        </w:rPr>
        <w:t>e</w:t>
      </w:r>
      <w:r>
        <w:rPr>
          <w:b/>
          <w:color w:val="FF0000"/>
          <w:sz w:val="20"/>
          <w:szCs w:val="20"/>
          <w:vertAlign w:val="superscript"/>
        </w:rPr>
        <w:t>28</w:t>
      </w:r>
      <w:r>
        <w:rPr>
          <w:b/>
          <w:color w:val="FF0000"/>
          <w:sz w:val="20"/>
          <w:szCs w:val="20"/>
        </w:rPr>
        <w:t>.</w:t>
      </w:r>
    </w:p>
    <w:p w:rsidR="00033807" w:rsidRPr="002F4E16" w:rsidRDefault="00362DCA" w:rsidP="002F4E16">
      <w:pPr>
        <w:pStyle w:val="Odstavecseseznamem"/>
        <w:numPr>
          <w:ilvl w:val="0"/>
          <w:numId w:val="9"/>
        </w:numPr>
        <w:spacing w:after="0"/>
        <w:jc w:val="both"/>
        <w:rPr>
          <w:rFonts w:cstheme="minorHAnsi"/>
          <w:sz w:val="20"/>
          <w:szCs w:val="20"/>
        </w:rPr>
      </w:pPr>
      <w:r>
        <w:rPr>
          <w:rFonts w:cstheme="minorHAnsi"/>
          <w:sz w:val="20"/>
          <w:szCs w:val="20"/>
          <w:u w:val="single"/>
        </w:rPr>
        <w:t xml:space="preserve"> </w:t>
      </w:r>
      <w:r w:rsidR="00C071AF" w:rsidRPr="002F4E16">
        <w:rPr>
          <w:rFonts w:cstheme="minorHAnsi"/>
          <w:sz w:val="20"/>
          <w:szCs w:val="20"/>
          <w:u w:val="single"/>
        </w:rPr>
        <w:t xml:space="preserve">Preferovaným režimem pro profylaxi </w:t>
      </w:r>
      <w:r w:rsidR="00C071AF" w:rsidRPr="002F4E16">
        <w:rPr>
          <w:rFonts w:cstheme="minorHAnsi"/>
          <w:i/>
          <w:sz w:val="20"/>
          <w:szCs w:val="20"/>
          <w:u w:val="single"/>
        </w:rPr>
        <w:t>Pneumocystis jiroveci</w:t>
      </w:r>
      <w:r w:rsidR="00C071AF" w:rsidRPr="002F4E16">
        <w:rPr>
          <w:rFonts w:cstheme="minorHAnsi"/>
          <w:sz w:val="20"/>
          <w:szCs w:val="20"/>
          <w:u w:val="single"/>
        </w:rPr>
        <w:t xml:space="preserve"> pneumonie (viz výše pozn. 97) u dospělých a dospívajících je (dle UpToDate</w:t>
      </w:r>
      <w:r w:rsidR="00C071AF" w:rsidRPr="002F4E16">
        <w:rPr>
          <w:rFonts w:cstheme="minorHAnsi"/>
          <w:sz w:val="20"/>
          <w:szCs w:val="20"/>
          <w:u w:val="single"/>
          <w:vertAlign w:val="superscript"/>
        </w:rPr>
        <w:t>99</w:t>
      </w:r>
      <w:r w:rsidR="00C071AF" w:rsidRPr="002F4E16">
        <w:rPr>
          <w:rFonts w:cstheme="minorHAnsi"/>
          <w:sz w:val="20"/>
          <w:szCs w:val="20"/>
          <w:u w:val="single"/>
        </w:rPr>
        <w:t>) trimetoprim-sulfomethoxazol</w:t>
      </w:r>
      <w:r w:rsidR="00C071AF" w:rsidRPr="002F4E16">
        <w:rPr>
          <w:rFonts w:cstheme="minorHAnsi"/>
          <w:sz w:val="20"/>
          <w:szCs w:val="20"/>
        </w:rPr>
        <w:t xml:space="preserve"> v dáce 1x denně 160/800mg, s redukcí dávky při CrCl 30 ml/min a méně</w:t>
      </w:r>
      <w:r w:rsidR="00C071AF" w:rsidRPr="002F4E16">
        <w:rPr>
          <w:rFonts w:cstheme="minorHAnsi"/>
          <w:sz w:val="20"/>
          <w:szCs w:val="20"/>
          <w:vertAlign w:val="superscript"/>
        </w:rPr>
        <w:t>99</w:t>
      </w:r>
      <w:r w:rsidR="00C071AF" w:rsidRPr="002F4E16">
        <w:rPr>
          <w:rFonts w:cstheme="minorHAnsi"/>
          <w:sz w:val="20"/>
          <w:szCs w:val="20"/>
        </w:rPr>
        <w:t>.</w:t>
      </w:r>
    </w:p>
    <w:p w:rsidR="00033807" w:rsidRDefault="00C071AF" w:rsidP="002F4E16">
      <w:pPr>
        <w:pStyle w:val="Odstavecseseznamem"/>
        <w:numPr>
          <w:ilvl w:val="0"/>
          <w:numId w:val="9"/>
        </w:numPr>
        <w:spacing w:after="0"/>
        <w:jc w:val="both"/>
        <w:rPr>
          <w:rFonts w:cstheme="minorHAnsi"/>
          <w:sz w:val="20"/>
          <w:szCs w:val="20"/>
        </w:rPr>
      </w:pPr>
      <w:r>
        <w:rPr>
          <w:rFonts w:cstheme="minorHAnsi"/>
          <w:sz w:val="20"/>
          <w:szCs w:val="20"/>
        </w:rPr>
        <w:t xml:space="preserve"> Rosen HN, Saag KG. Prevention and treatment of glucocorticoid-induced osteoporosis. UpToDate. Topic 2034. Version 31.0</w:t>
      </w:r>
    </w:p>
    <w:p w:rsidR="00033807" w:rsidRPr="00362DCA" w:rsidRDefault="00362DCA" w:rsidP="00362DCA">
      <w:pPr>
        <w:spacing w:after="0"/>
        <w:ind w:left="360"/>
        <w:jc w:val="both"/>
        <w:rPr>
          <w:rFonts w:cstheme="minorHAnsi"/>
          <w:sz w:val="20"/>
          <w:szCs w:val="20"/>
        </w:rPr>
      </w:pPr>
      <w:r>
        <w:rPr>
          <w:rFonts w:cstheme="minorHAnsi"/>
          <w:sz w:val="20"/>
          <w:szCs w:val="20"/>
        </w:rPr>
        <w:t>102.</w:t>
      </w:r>
      <w:r w:rsidR="00C071AF" w:rsidRPr="00362DCA">
        <w:rPr>
          <w:rFonts w:cstheme="minorHAnsi"/>
          <w:sz w:val="20"/>
          <w:szCs w:val="20"/>
        </w:rPr>
        <w:t xml:space="preserve"> </w:t>
      </w:r>
      <w:r w:rsidR="00C071AF" w:rsidRPr="00362DCA">
        <w:rPr>
          <w:rFonts w:cstheme="minorHAnsi"/>
          <w:sz w:val="20"/>
          <w:szCs w:val="20"/>
          <w:u w:val="single"/>
        </w:rPr>
        <w:t>Pro prevenci glukokortikoidy indukovaného úbytku kostní hmoty (viz výše pozn. 97)</w:t>
      </w:r>
      <w:r w:rsidR="00C071AF" w:rsidRPr="00362DCA">
        <w:rPr>
          <w:rFonts w:cstheme="minorHAnsi"/>
          <w:sz w:val="20"/>
          <w:szCs w:val="20"/>
        </w:rPr>
        <w:t xml:space="preserve"> se </w:t>
      </w:r>
      <w:r w:rsidR="00C071AF" w:rsidRPr="00362DCA">
        <w:rPr>
          <w:rFonts w:cstheme="minorHAnsi"/>
          <w:b/>
          <w:sz w:val="20"/>
          <w:szCs w:val="20"/>
        </w:rPr>
        <w:t xml:space="preserve">u všech pacientů, u nichž je předpoklad jakékoliv dávky p.o. glukokortikoidů min. 3 měsíce, doporučuje suplementaci </w:t>
      </w:r>
      <w:proofErr w:type="gramStart"/>
      <w:r w:rsidR="00C071AF" w:rsidRPr="00362DCA">
        <w:rPr>
          <w:rFonts w:cstheme="minorHAnsi"/>
          <w:b/>
          <w:sz w:val="20"/>
          <w:szCs w:val="20"/>
        </w:rPr>
        <w:t>1000-1200mg</w:t>
      </w:r>
      <w:proofErr w:type="gramEnd"/>
      <w:r w:rsidR="00C071AF" w:rsidRPr="00362DCA">
        <w:rPr>
          <w:rFonts w:cstheme="minorHAnsi"/>
          <w:b/>
          <w:sz w:val="20"/>
          <w:szCs w:val="20"/>
        </w:rPr>
        <w:t xml:space="preserve"> vápníku denně a 800 UI vitamínu D denně.</w:t>
      </w:r>
      <w:r w:rsidR="00C071AF" w:rsidRPr="00362DCA">
        <w:rPr>
          <w:rFonts w:cstheme="minorHAnsi"/>
          <w:sz w:val="20"/>
          <w:szCs w:val="20"/>
        </w:rPr>
        <w:t xml:space="preserve"> Další farmakoterapie je obecně doporučována mj. u pacientů užívajících dávku prednisonu (či ekvivalentu) 30 mg/den a více po dobu delší 1 měsíc (viz výše poz. 97): 1. volbou jsou, dle UpToDate</w:t>
      </w:r>
      <w:r w:rsidR="00C071AF" w:rsidRPr="00362DCA">
        <w:rPr>
          <w:rFonts w:cstheme="minorHAnsi"/>
          <w:sz w:val="20"/>
          <w:szCs w:val="20"/>
          <w:vertAlign w:val="superscript"/>
        </w:rPr>
        <w:t>82</w:t>
      </w:r>
      <w:r w:rsidR="00C071AF" w:rsidRPr="00362DCA">
        <w:rPr>
          <w:rFonts w:cstheme="minorHAnsi"/>
          <w:sz w:val="20"/>
          <w:szCs w:val="20"/>
        </w:rPr>
        <w:t xml:space="preserve">, p.o. bisfosfonáty (alendronát a risendronát), event. </w:t>
      </w:r>
      <w:r w:rsidR="00C071AF" w:rsidRPr="00362DCA">
        <w:rPr>
          <w:rFonts w:cstheme="minorHAnsi"/>
          <w:b/>
          <w:sz w:val="20"/>
          <w:szCs w:val="20"/>
        </w:rPr>
        <w:t>parenterální kyselina zolendrová (CAVE! jen ta má v ČR k datu 31.7.2024 úhradu pro tuto indikaci</w:t>
      </w:r>
      <w:r w:rsidR="00C071AF" w:rsidRPr="00362DCA">
        <w:rPr>
          <w:rFonts w:cstheme="minorHAnsi"/>
          <w:b/>
          <w:sz w:val="20"/>
          <w:szCs w:val="20"/>
          <w:vertAlign w:val="superscript"/>
        </w:rPr>
        <w:t>2</w:t>
      </w:r>
      <w:r w:rsidR="00C071AF" w:rsidRPr="00362DCA">
        <w:rPr>
          <w:rFonts w:cstheme="minorHAnsi"/>
          <w:b/>
          <w:sz w:val="20"/>
          <w:szCs w:val="20"/>
        </w:rPr>
        <w:t>!</w:t>
      </w:r>
      <w:r w:rsidR="00C071AF" w:rsidRPr="00362DCA">
        <w:rPr>
          <w:rFonts w:cstheme="minorHAnsi"/>
          <w:sz w:val="20"/>
          <w:szCs w:val="20"/>
        </w:rPr>
        <w:t xml:space="preserve">), a to při ClCr 35 ml/min a více. </w:t>
      </w:r>
      <w:r w:rsidR="00C071AF" w:rsidRPr="00362DCA">
        <w:rPr>
          <w:rFonts w:cstheme="minorHAnsi"/>
          <w:b/>
          <w:sz w:val="20"/>
          <w:szCs w:val="20"/>
        </w:rPr>
        <w:t>U pacientů s velmi vysokým odhadovaným rizikem zlomeniny či s kontraindikací pro bisfosfonáty je pak doporučován injekční teriparatid (CAVE! k datu 31.72024 jsou podmínky úhrady pro tuto indikaci následující: „</w:t>
      </w:r>
      <w:r w:rsidR="00C071AF" w:rsidRPr="00362DCA">
        <w:rPr>
          <w:rFonts w:cstheme="minorHAnsi"/>
          <w:b/>
          <w:i/>
          <w:sz w:val="20"/>
          <w:szCs w:val="20"/>
        </w:rPr>
        <w:t>u žen a mužů léčených glukokortikoidy v denní dávce odpovídající 5 mg nebo více prednisonu po dobu nejméně 6 měsíců, pokud mají T-skóre v oblasti bederní páteře nebo proximálního femuru či krčku femuru (při nemožnosti měření v oblasti bederní páteře) menší nebo rovno -2,5 SD</w:t>
      </w:r>
      <w:r w:rsidR="00C071AF" w:rsidRPr="00362DCA">
        <w:rPr>
          <w:rFonts w:cstheme="minorHAnsi"/>
          <w:b/>
          <w:sz w:val="20"/>
          <w:szCs w:val="20"/>
        </w:rPr>
        <w:t>“ a LP mohou předepisovat jen kliničtí osteologové!</w:t>
      </w:r>
      <w:r w:rsidR="00C071AF" w:rsidRPr="00362DCA">
        <w:rPr>
          <w:rFonts w:cstheme="minorHAnsi"/>
          <w:sz w:val="20"/>
          <w:szCs w:val="20"/>
          <w:vertAlign w:val="superscript"/>
        </w:rPr>
        <w:t>2</w:t>
      </w:r>
      <w:r w:rsidR="00C071AF" w:rsidRPr="00362DCA">
        <w:rPr>
          <w:rFonts w:cstheme="minorHAnsi"/>
          <w:sz w:val="20"/>
          <w:szCs w:val="20"/>
        </w:rPr>
        <w:t>).</w:t>
      </w:r>
      <w:r w:rsidR="00C071AF" w:rsidRPr="00362DCA">
        <w:rPr>
          <w:rFonts w:cstheme="minorHAnsi"/>
          <w:sz w:val="20"/>
          <w:szCs w:val="20"/>
          <w:vertAlign w:val="superscript"/>
        </w:rPr>
        <w:t>101</w:t>
      </w:r>
    </w:p>
    <w:p w:rsidR="00033807" w:rsidRPr="002F4E16" w:rsidRDefault="002F4E16" w:rsidP="002F4E16">
      <w:pPr>
        <w:pStyle w:val="Odstavecseseznamem"/>
        <w:numPr>
          <w:ilvl w:val="0"/>
          <w:numId w:val="8"/>
        </w:numPr>
        <w:spacing w:after="0"/>
        <w:jc w:val="both"/>
        <w:rPr>
          <w:rFonts w:cstheme="minorHAnsi"/>
          <w:sz w:val="20"/>
          <w:szCs w:val="20"/>
        </w:rPr>
      </w:pPr>
      <w:r>
        <w:rPr>
          <w:rFonts w:cstheme="minorHAnsi"/>
          <w:sz w:val="20"/>
          <w:szCs w:val="20"/>
        </w:rPr>
        <w:t>S</w:t>
      </w:r>
      <w:r w:rsidR="00C071AF" w:rsidRPr="002F4E16">
        <w:rPr>
          <w:rFonts w:cstheme="minorHAnsi"/>
          <w:sz w:val="20"/>
          <w:szCs w:val="20"/>
        </w:rPr>
        <w:t xml:space="preserve">TADA PHARMA CZ. KINPEYGO. </w:t>
      </w:r>
      <w:r w:rsidR="00C071AF" w:rsidRPr="002F4E16">
        <w:rPr>
          <w:rFonts w:cs="Calibri"/>
          <w:color w:val="000000"/>
          <w:sz w:val="20"/>
          <w:szCs w:val="20"/>
        </w:rPr>
        <w:t>Odpov</w:t>
      </w:r>
      <w:r w:rsidR="00C071AF" w:rsidRPr="002F4E16">
        <w:rPr>
          <w:color w:val="000000"/>
          <w:sz w:val="20"/>
          <w:szCs w:val="20"/>
        </w:rPr>
        <w:t xml:space="preserve">ěď na výzvu k součinnosti poskytování informací ze dne 3. 10. 2023 ve správním </w:t>
      </w:r>
      <w:proofErr w:type="gramStart"/>
      <w:r w:rsidR="00C071AF" w:rsidRPr="002F4E16">
        <w:rPr>
          <w:color w:val="000000"/>
          <w:sz w:val="20"/>
          <w:szCs w:val="20"/>
        </w:rPr>
        <w:t>řízení  sp.zn.</w:t>
      </w:r>
      <w:proofErr w:type="gramEnd"/>
      <w:r w:rsidR="00C071AF" w:rsidRPr="002F4E16">
        <w:rPr>
          <w:color w:val="000000"/>
          <w:sz w:val="20"/>
          <w:szCs w:val="20"/>
        </w:rPr>
        <w:t>: SUKLS181711/2023 o stanovení maximální ceny a výše a podmínek  úhrady léčivého  přípravku KINPYEGO určeného k léčbě vzácného onemocnění - primární IgAN předkládané S ze dne 16.10.</w:t>
      </w:r>
      <w:r w:rsidR="00C071AF" w:rsidRPr="002F4E16">
        <w:rPr>
          <w:rFonts w:cstheme="minorHAnsi"/>
          <w:sz w:val="20"/>
          <w:szCs w:val="20"/>
        </w:rPr>
        <w:t>2023. Verze 2023-11-29 – staženo ze zdroje uvedeného výše pod pozn. 3 ze SŘ pod sp. zn. SUKLS181711/2023</w:t>
      </w:r>
    </w:p>
    <w:p w:rsidR="00033807" w:rsidRDefault="00C071AF" w:rsidP="002F4E16">
      <w:pPr>
        <w:numPr>
          <w:ilvl w:val="0"/>
          <w:numId w:val="8"/>
        </w:numPr>
        <w:spacing w:after="0"/>
        <w:contextualSpacing/>
        <w:jc w:val="both"/>
        <w:rPr>
          <w:rFonts w:cstheme="minorHAnsi"/>
          <w:sz w:val="20"/>
          <w:szCs w:val="20"/>
        </w:rPr>
      </w:pPr>
      <w:r>
        <w:rPr>
          <w:rFonts w:cstheme="minorHAnsi"/>
          <w:b/>
          <w:bCs/>
          <w:sz w:val="20"/>
          <w:szCs w:val="20"/>
        </w:rPr>
        <w:t xml:space="preserve"> </w:t>
      </w:r>
      <w:r>
        <w:rPr>
          <w:rFonts w:cstheme="minorHAnsi"/>
          <w:b/>
          <w:bCs/>
          <w:sz w:val="20"/>
          <w:szCs w:val="20"/>
          <w:u w:val="single"/>
        </w:rPr>
        <w:t>Z celoživotní perspektivy jsou převzaty následující (diskontované</w:t>
      </w:r>
      <w:r w:rsidR="00390EEF">
        <w:rPr>
          <w:rFonts w:cstheme="minorHAnsi"/>
          <w:b/>
          <w:bCs/>
          <w:sz w:val="20"/>
          <w:szCs w:val="20"/>
          <w:u w:val="single"/>
        </w:rPr>
        <w:t xml:space="preserve"> roční sazbou </w:t>
      </w:r>
      <w:proofErr w:type="gramStart"/>
      <w:r w:rsidR="00390EEF">
        <w:rPr>
          <w:rFonts w:cstheme="minorHAnsi"/>
          <w:b/>
          <w:bCs/>
          <w:sz w:val="20"/>
          <w:szCs w:val="20"/>
          <w:u w:val="single"/>
        </w:rPr>
        <w:t>3%</w:t>
      </w:r>
      <w:proofErr w:type="gramEnd"/>
      <w:r>
        <w:rPr>
          <w:rFonts w:cstheme="minorHAnsi"/>
          <w:b/>
          <w:bCs/>
          <w:sz w:val="20"/>
          <w:szCs w:val="20"/>
          <w:u w:val="single"/>
        </w:rPr>
        <w:t>) další zdravotnické náklady</w:t>
      </w:r>
      <w:r>
        <w:rPr>
          <w:rFonts w:cstheme="minorHAnsi"/>
          <w:sz w:val="20"/>
          <w:szCs w:val="20"/>
          <w:u w:val="single"/>
        </w:rPr>
        <w:t xml:space="preserve"> (dle modelace STADy předkládané SUKLu</w:t>
      </w:r>
      <w:r>
        <w:rPr>
          <w:rFonts w:cstheme="minorHAnsi"/>
          <w:sz w:val="20"/>
          <w:szCs w:val="20"/>
          <w:u w:val="single"/>
          <w:vertAlign w:val="superscript"/>
        </w:rPr>
        <w:t>133</w:t>
      </w:r>
      <w:r>
        <w:rPr>
          <w:rFonts w:cstheme="minorHAnsi"/>
          <w:sz w:val="20"/>
          <w:szCs w:val="20"/>
          <w:u w:val="single"/>
        </w:rPr>
        <w:t>)</w:t>
      </w:r>
      <w:r>
        <w:rPr>
          <w:rFonts w:cstheme="minorHAnsi"/>
          <w:sz w:val="20"/>
          <w:szCs w:val="20"/>
        </w:rPr>
        <w:t xml:space="preserve">: </w:t>
      </w:r>
      <w:r>
        <w:rPr>
          <w:rFonts w:cstheme="minorHAnsi"/>
          <w:sz w:val="20"/>
          <w:szCs w:val="20"/>
          <w:u w:val="single"/>
        </w:rPr>
        <w:t xml:space="preserve">podpůrná léčba (cca 100% pac. RAASi, 30% pac. SGLT2i </w:t>
      </w:r>
      <w:r>
        <w:rPr>
          <w:rFonts w:cstheme="minorHAnsi"/>
          <w:sz w:val="20"/>
          <w:szCs w:val="20"/>
        </w:rPr>
        <w:t xml:space="preserve">- viz výše pozn. 92, resp. 93) – celkově </w:t>
      </w:r>
      <w:r>
        <w:rPr>
          <w:rFonts w:cstheme="minorHAnsi"/>
          <w:b/>
          <w:bCs/>
          <w:sz w:val="20"/>
          <w:szCs w:val="20"/>
        </w:rPr>
        <w:t>cca</w:t>
      </w:r>
      <w:r>
        <w:rPr>
          <w:rFonts w:cstheme="minorHAnsi"/>
          <w:sz w:val="20"/>
          <w:szCs w:val="20"/>
        </w:rPr>
        <w:t xml:space="preserve"> </w:t>
      </w:r>
      <w:r>
        <w:rPr>
          <w:rFonts w:cstheme="minorHAnsi"/>
          <w:b/>
          <w:bCs/>
          <w:sz w:val="20"/>
          <w:szCs w:val="20"/>
        </w:rPr>
        <w:t xml:space="preserve">33.000 Kč </w:t>
      </w:r>
      <w:r>
        <w:rPr>
          <w:rFonts w:cstheme="minorHAnsi"/>
          <w:sz w:val="20"/>
          <w:szCs w:val="20"/>
        </w:rPr>
        <w:t xml:space="preserve">(stejné jak pro KINPEYGO, tak syst. kortikoidy, či jen samotnou podpůrnou léčbu), </w:t>
      </w:r>
      <w:r>
        <w:rPr>
          <w:rFonts w:cstheme="minorHAnsi"/>
          <w:sz w:val="20"/>
          <w:szCs w:val="20"/>
          <w:u w:val="single"/>
        </w:rPr>
        <w:t>nežádoucí účinky léčby</w:t>
      </w:r>
      <w:r>
        <w:rPr>
          <w:rFonts w:cstheme="minorHAnsi"/>
          <w:sz w:val="20"/>
          <w:szCs w:val="20"/>
        </w:rPr>
        <w:t xml:space="preserve"> – celkově </w:t>
      </w:r>
      <w:r>
        <w:rPr>
          <w:rFonts w:cstheme="minorHAnsi"/>
          <w:b/>
          <w:bCs/>
          <w:sz w:val="20"/>
          <w:szCs w:val="20"/>
        </w:rPr>
        <w:t>cca 5.000 Kč</w:t>
      </w:r>
      <w:r>
        <w:rPr>
          <w:rFonts w:cstheme="minorHAnsi"/>
          <w:sz w:val="20"/>
          <w:szCs w:val="20"/>
        </w:rPr>
        <w:t xml:space="preserve">  (stejné pro KINPEYGO, tak syst. kortikoidy) a </w:t>
      </w:r>
      <w:r>
        <w:rPr>
          <w:rFonts w:cstheme="minorHAnsi"/>
          <w:b/>
          <w:bCs/>
          <w:sz w:val="20"/>
          <w:szCs w:val="20"/>
        </w:rPr>
        <w:t>cca 3.000 Kč</w:t>
      </w:r>
      <w:r>
        <w:rPr>
          <w:rFonts w:cstheme="minorHAnsi"/>
          <w:sz w:val="20"/>
          <w:szCs w:val="20"/>
        </w:rPr>
        <w:t xml:space="preserve"> (pro samotnou podpůrnou léčbu), </w:t>
      </w:r>
      <w:r>
        <w:rPr>
          <w:rFonts w:cstheme="minorHAnsi"/>
          <w:sz w:val="20"/>
          <w:szCs w:val="20"/>
          <w:u w:val="single"/>
        </w:rPr>
        <w:t>management onemocnění CKD (viz výše pozn. 87)</w:t>
      </w:r>
      <w:r>
        <w:rPr>
          <w:rFonts w:cstheme="minorHAnsi"/>
          <w:sz w:val="20"/>
          <w:szCs w:val="20"/>
        </w:rPr>
        <w:t xml:space="preserve"> – celkově </w:t>
      </w:r>
      <w:r>
        <w:rPr>
          <w:rFonts w:cstheme="minorHAnsi"/>
          <w:b/>
          <w:bCs/>
          <w:sz w:val="20"/>
          <w:szCs w:val="20"/>
        </w:rPr>
        <w:t>cca 370.000 Kč</w:t>
      </w:r>
      <w:r>
        <w:rPr>
          <w:rFonts w:cstheme="minorHAnsi"/>
          <w:sz w:val="20"/>
          <w:szCs w:val="20"/>
        </w:rPr>
        <w:t xml:space="preserve"> (stejné jak pro KINPEYGO, tak syst. kortikoidy, či jen samotnou podpůrnou léčbu), </w:t>
      </w:r>
      <w:r>
        <w:rPr>
          <w:rFonts w:cstheme="minorHAnsi"/>
          <w:sz w:val="20"/>
          <w:szCs w:val="20"/>
          <w:u w:val="single"/>
        </w:rPr>
        <w:t>management ESRD (tj. dialýza, transplantace ledviny - viz výše pozn. 87)</w:t>
      </w:r>
      <w:r>
        <w:rPr>
          <w:rFonts w:cstheme="minorHAnsi"/>
          <w:sz w:val="20"/>
          <w:szCs w:val="20"/>
        </w:rPr>
        <w:t xml:space="preserve"> – celkově </w:t>
      </w:r>
      <w:r>
        <w:rPr>
          <w:rFonts w:cstheme="minorHAnsi"/>
          <w:b/>
          <w:bCs/>
          <w:sz w:val="20"/>
          <w:szCs w:val="20"/>
        </w:rPr>
        <w:t xml:space="preserve">cca 4,9 mil. Kč </w:t>
      </w:r>
      <w:r>
        <w:rPr>
          <w:rFonts w:cstheme="minorHAnsi"/>
          <w:sz w:val="20"/>
          <w:szCs w:val="20"/>
        </w:rPr>
        <w:t xml:space="preserve">(pro KINPEYGO – </w:t>
      </w:r>
      <w:r>
        <w:rPr>
          <w:rFonts w:cstheme="minorHAnsi"/>
          <w:b/>
          <w:bCs/>
          <w:color w:val="C9211E"/>
          <w:sz w:val="20"/>
          <w:szCs w:val="20"/>
        </w:rPr>
        <w:t>CAVE! při přetrvávání efektu KINPEYGA 3 a více let (viz níže pozn. 135 a Přílohu č. 27), či velmi pravděpodobně efektivním retreatmentu části pacientů by byly tyto náklady nižší!</w:t>
      </w:r>
      <w:r>
        <w:rPr>
          <w:rFonts w:cstheme="minorHAnsi"/>
          <w:sz w:val="20"/>
          <w:szCs w:val="20"/>
        </w:rPr>
        <w:t xml:space="preserve">), </w:t>
      </w:r>
      <w:r>
        <w:rPr>
          <w:rFonts w:cstheme="minorHAnsi"/>
          <w:b/>
          <w:bCs/>
          <w:sz w:val="20"/>
          <w:szCs w:val="20"/>
        </w:rPr>
        <w:t>5,3 mil. Kč</w:t>
      </w:r>
      <w:r>
        <w:rPr>
          <w:rFonts w:cstheme="minorHAnsi"/>
          <w:sz w:val="20"/>
          <w:szCs w:val="20"/>
        </w:rPr>
        <w:t xml:space="preserve"> (pro jen podpůrnou léčbu, tak pro syst. kortikoidy při předpokladu jejich efektu max. 1 rok – </w:t>
      </w:r>
      <w:r>
        <w:rPr>
          <w:rFonts w:cstheme="minorHAnsi"/>
          <w:b/>
          <w:bCs/>
          <w:color w:val="C9211E"/>
          <w:sz w:val="20"/>
          <w:szCs w:val="20"/>
        </w:rPr>
        <w:t>CAVE! naopak při předpokladu efektu syst. kortikoidů 2 roky (</w:t>
      </w:r>
      <w:r w:rsidR="00496648">
        <w:rPr>
          <w:rFonts w:cstheme="minorHAnsi"/>
          <w:b/>
          <w:bCs/>
          <w:color w:val="C9211E"/>
          <w:sz w:val="20"/>
          <w:szCs w:val="20"/>
        </w:rPr>
        <w:t xml:space="preserve">bez retreatmentu, </w:t>
      </w:r>
      <w:r>
        <w:rPr>
          <w:rFonts w:cstheme="minorHAnsi"/>
          <w:b/>
          <w:bCs/>
          <w:color w:val="C9211E"/>
          <w:sz w:val="20"/>
          <w:szCs w:val="20"/>
        </w:rPr>
        <w:t>viz níže pozn. 135) by tyto náklady byly cca stejně vysoké jako pro KINPEYGO v základním konzervativním scénáři!</w:t>
      </w:r>
      <w:r>
        <w:rPr>
          <w:rFonts w:cstheme="minorHAnsi"/>
          <w:sz w:val="20"/>
          <w:szCs w:val="20"/>
        </w:rPr>
        <w:t>).</w:t>
      </w:r>
      <w:r>
        <w:rPr>
          <w:rFonts w:cstheme="minorHAnsi"/>
          <w:sz w:val="20"/>
          <w:szCs w:val="20"/>
          <w:vertAlign w:val="superscript"/>
        </w:rPr>
        <w:t>133</w:t>
      </w:r>
    </w:p>
    <w:p w:rsidR="00033807" w:rsidRDefault="00C071AF" w:rsidP="002F4E16">
      <w:pPr>
        <w:numPr>
          <w:ilvl w:val="0"/>
          <w:numId w:val="8"/>
        </w:numPr>
        <w:spacing w:after="0"/>
        <w:contextualSpacing/>
        <w:jc w:val="both"/>
        <w:rPr>
          <w:rFonts w:cstheme="minorHAnsi"/>
          <w:sz w:val="20"/>
          <w:szCs w:val="20"/>
        </w:rPr>
      </w:pPr>
      <w:r>
        <w:rPr>
          <w:rFonts w:cstheme="minorHAnsi"/>
          <w:sz w:val="20"/>
          <w:szCs w:val="20"/>
        </w:rPr>
        <w:t xml:space="preserve"> </w:t>
      </w:r>
      <w:r>
        <w:rPr>
          <w:rFonts w:cstheme="minorHAnsi"/>
          <w:b/>
          <w:bCs/>
          <w:sz w:val="20"/>
          <w:szCs w:val="20"/>
          <w:shd w:val="clear" w:color="auto" w:fill="DEE6EF"/>
        </w:rPr>
        <w:t>P</w:t>
      </w:r>
      <w:r>
        <w:rPr>
          <w:rFonts w:cs="Calibri"/>
          <w:b/>
          <w:bCs/>
          <w:color w:val="000000"/>
          <w:sz w:val="20"/>
          <w:szCs w:val="20"/>
          <w:shd w:val="clear" w:color="auto" w:fill="DEE6EF"/>
        </w:rPr>
        <w:t xml:space="preserve">ro </w:t>
      </w:r>
      <w:r>
        <w:rPr>
          <w:b/>
          <w:bCs/>
          <w:color w:val="000000"/>
          <w:sz w:val="20"/>
          <w:szCs w:val="20"/>
          <w:shd w:val="clear" w:color="auto" w:fill="DEE6EF"/>
        </w:rPr>
        <w:t>účely modelace STADA konzervativně předpokládá</w:t>
      </w:r>
      <w:r w:rsidR="00EF58A5">
        <w:rPr>
          <w:b/>
          <w:bCs/>
          <w:color w:val="000000"/>
          <w:sz w:val="20"/>
          <w:szCs w:val="20"/>
          <w:shd w:val="clear" w:color="auto" w:fill="DEE6EF"/>
        </w:rPr>
        <w:t xml:space="preserve"> V ZÁKLADNÍM SCÉNÁŘI</w:t>
      </w:r>
      <w:r>
        <w:rPr>
          <w:b/>
          <w:bCs/>
          <w:color w:val="000000"/>
          <w:sz w:val="20"/>
          <w:szCs w:val="20"/>
          <w:shd w:val="clear" w:color="auto" w:fill="DEE6EF"/>
        </w:rPr>
        <w:t xml:space="preserve">, že efekt léčby LP KINPEYGO přetrvává pouze po dobu 1. a 2. modelovaného roku </w:t>
      </w:r>
      <w:r>
        <w:rPr>
          <w:rFonts w:cstheme="minorHAnsi"/>
          <w:b/>
          <w:bCs/>
          <w:color w:val="000000"/>
          <w:sz w:val="20"/>
          <w:szCs w:val="20"/>
          <w:shd w:val="clear" w:color="auto" w:fill="DEE6EF"/>
        </w:rPr>
        <w:t xml:space="preserve">(uvedeno v prvotní modelaci STADy  pod pozn. 5) + bez retreatmentu KINPEYGEM,  </w:t>
      </w:r>
      <w:r>
        <w:rPr>
          <w:b/>
          <w:bCs/>
          <w:color w:val="000000"/>
          <w:sz w:val="20"/>
          <w:szCs w:val="20"/>
          <w:shd w:val="clear" w:color="auto" w:fill="DEE6EF"/>
        </w:rPr>
        <w:t>a přechodové pravděpodobnosti určující progresi pacientů mezi stádii CKD ve  2. roce a následných letech od zahájení léčby v případě systémových kortikosteroidů STADA předpokládá shodné s placebem, resp. optimálně nastavenou podpůrnou léčbou (tzn. efekt systémových kortikosteroidů, dle STADy, nepřesahuje 1 rok</w:t>
      </w:r>
      <w:r>
        <w:rPr>
          <w:b/>
          <w:bCs/>
          <w:color w:val="000000"/>
          <w:sz w:val="20"/>
          <w:szCs w:val="20"/>
          <w:shd w:val="clear" w:color="auto" w:fill="DEE6EF"/>
          <w:vertAlign w:val="superscript"/>
        </w:rPr>
        <w:t xml:space="preserve">133 </w:t>
      </w:r>
      <w:r>
        <w:rPr>
          <w:b/>
          <w:bCs/>
          <w:color w:val="000000"/>
          <w:sz w:val="20"/>
          <w:szCs w:val="20"/>
          <w:shd w:val="clear" w:color="auto" w:fill="DEE6EF"/>
        </w:rPr>
        <w:t>–</w:t>
      </w:r>
      <w:r>
        <w:rPr>
          <w:color w:val="000000"/>
          <w:sz w:val="20"/>
          <w:szCs w:val="20"/>
          <w:u w:val="single"/>
          <w:shd w:val="clear" w:color="auto" w:fill="DEE6EF"/>
        </w:rPr>
        <w:t xml:space="preserve"> </w:t>
      </w:r>
      <w:r>
        <w:rPr>
          <w:b/>
          <w:bCs/>
          <w:color w:val="C9211E"/>
          <w:sz w:val="20"/>
          <w:szCs w:val="20"/>
          <w:u w:val="single"/>
          <w:shd w:val="clear" w:color="auto" w:fill="DEE6EF"/>
        </w:rPr>
        <w:t>CAVE! srovnej ale rozdílné výsledky studie TESTING publikované v roce 2024 (viz výše pozn. 130), podle nichž  by bylo možné předpokládat přetrvávající efekt léčby syst. kortikoidů také po dobu 1. a 2. roku (viz Přílohu č. 24), jak předpokládá konzervativně STADA u LP KINPEYGO</w:t>
      </w:r>
      <w:r>
        <w:rPr>
          <w:b/>
          <w:bCs/>
          <w:color w:val="C9211E"/>
          <w:sz w:val="20"/>
          <w:szCs w:val="20"/>
        </w:rPr>
        <w:t>!</w:t>
      </w:r>
    </w:p>
    <w:p w:rsidR="00033807" w:rsidRPr="00BA1D96" w:rsidRDefault="003040B6" w:rsidP="002F4E16">
      <w:pPr>
        <w:numPr>
          <w:ilvl w:val="0"/>
          <w:numId w:val="8"/>
        </w:numPr>
        <w:spacing w:after="0"/>
        <w:contextualSpacing/>
        <w:jc w:val="both"/>
        <w:rPr>
          <w:rFonts w:cstheme="minorHAnsi"/>
          <w:sz w:val="20"/>
          <w:szCs w:val="20"/>
        </w:rPr>
      </w:pPr>
      <w:r>
        <w:rPr>
          <w:color w:val="000000"/>
          <w:sz w:val="20"/>
          <w:szCs w:val="20"/>
        </w:rPr>
        <w:t xml:space="preserve"> KINPEYGO. Žádost II. Interní kliniky FN Olomouc o schválení nového léčivého přípravku ze dne 2.</w:t>
      </w:r>
      <w:r w:rsidR="00BA1D96">
        <w:rPr>
          <w:color w:val="000000"/>
          <w:sz w:val="20"/>
          <w:szCs w:val="20"/>
        </w:rPr>
        <w:t xml:space="preserve"> </w:t>
      </w:r>
      <w:r>
        <w:rPr>
          <w:color w:val="000000"/>
          <w:sz w:val="20"/>
          <w:szCs w:val="20"/>
        </w:rPr>
        <w:t>4.</w:t>
      </w:r>
      <w:r w:rsidR="00BA1D96">
        <w:rPr>
          <w:color w:val="000000"/>
          <w:sz w:val="20"/>
          <w:szCs w:val="20"/>
        </w:rPr>
        <w:t xml:space="preserve"> </w:t>
      </w:r>
      <w:r>
        <w:rPr>
          <w:color w:val="000000"/>
          <w:sz w:val="20"/>
          <w:szCs w:val="20"/>
        </w:rPr>
        <w:t>2024</w:t>
      </w:r>
    </w:p>
    <w:p w:rsidR="00BA1D96" w:rsidRDefault="00BA1D96" w:rsidP="002F4E16">
      <w:pPr>
        <w:numPr>
          <w:ilvl w:val="0"/>
          <w:numId w:val="8"/>
        </w:numPr>
        <w:spacing w:after="0"/>
        <w:contextualSpacing/>
        <w:jc w:val="both"/>
        <w:rPr>
          <w:rFonts w:cstheme="minorHAnsi"/>
          <w:sz w:val="20"/>
          <w:szCs w:val="20"/>
        </w:rPr>
      </w:pPr>
      <w:r>
        <w:rPr>
          <w:color w:val="000000"/>
          <w:sz w:val="20"/>
          <w:szCs w:val="20"/>
        </w:rPr>
        <w:t xml:space="preserve"> Rozhodnutí SUKLu o nepřiznání úhrady LP KINPEYGO ze zdravotního pojištění ze dne 8. 8. 2024 - </w:t>
      </w:r>
      <w:r>
        <w:rPr>
          <w:rFonts w:cstheme="minorHAnsi"/>
          <w:sz w:val="20"/>
          <w:szCs w:val="20"/>
        </w:rPr>
        <w:t>staženo ze zdroje uvedeného výše pod pozn. 3 ze SŘ pod sp. zn. SUKLS181711/2023</w:t>
      </w:r>
    </w:p>
    <w:p w:rsidR="00E60E68" w:rsidRDefault="00BA1D96" w:rsidP="002F4E16">
      <w:pPr>
        <w:numPr>
          <w:ilvl w:val="0"/>
          <w:numId w:val="8"/>
        </w:numPr>
        <w:spacing w:after="0"/>
        <w:contextualSpacing/>
        <w:jc w:val="both"/>
        <w:rPr>
          <w:rFonts w:cstheme="minorHAnsi"/>
          <w:sz w:val="20"/>
          <w:szCs w:val="20"/>
        </w:rPr>
      </w:pPr>
      <w:r>
        <w:rPr>
          <w:rFonts w:cstheme="minorHAnsi"/>
          <w:sz w:val="20"/>
          <w:szCs w:val="20"/>
        </w:rPr>
        <w:t xml:space="preserve"> Závazné </w:t>
      </w:r>
      <w:r w:rsidR="00E60E68">
        <w:rPr>
          <w:rFonts w:cstheme="minorHAnsi"/>
          <w:sz w:val="20"/>
          <w:szCs w:val="20"/>
        </w:rPr>
        <w:t xml:space="preserve">stanovisko Ministerstva zdravotnictví ke stanovení úhrady LPVO KINPEYGO z prostředků zdravotního pojištění ze dne 20. 6. 2024 </w:t>
      </w:r>
      <w:r w:rsidR="00E60E68">
        <w:rPr>
          <w:color w:val="000000"/>
          <w:sz w:val="20"/>
          <w:szCs w:val="20"/>
        </w:rPr>
        <w:t xml:space="preserve">- </w:t>
      </w:r>
      <w:r w:rsidR="00E60E68">
        <w:rPr>
          <w:rFonts w:cstheme="minorHAnsi"/>
          <w:sz w:val="20"/>
          <w:szCs w:val="20"/>
        </w:rPr>
        <w:t>staženo ze zdroje uvedeného výše pod pozn. 3 ze SŘ pod sp. zn. SUKLS181711/2023</w:t>
      </w:r>
    </w:p>
    <w:p w:rsidR="00A47A3A" w:rsidRDefault="00A47A3A" w:rsidP="002F4E16">
      <w:pPr>
        <w:numPr>
          <w:ilvl w:val="0"/>
          <w:numId w:val="8"/>
        </w:numPr>
        <w:spacing w:after="0"/>
        <w:contextualSpacing/>
        <w:jc w:val="both"/>
        <w:rPr>
          <w:rFonts w:cstheme="minorHAnsi"/>
          <w:sz w:val="20"/>
          <w:szCs w:val="20"/>
        </w:rPr>
      </w:pPr>
      <w:r>
        <w:rPr>
          <w:rFonts w:cstheme="minorHAnsi"/>
          <w:sz w:val="20"/>
          <w:szCs w:val="20"/>
        </w:rPr>
        <w:t xml:space="preserve"> </w:t>
      </w:r>
      <w:r w:rsidRPr="00A47A3A">
        <w:rPr>
          <w:rFonts w:cstheme="minorHAnsi"/>
          <w:sz w:val="20"/>
          <w:szCs w:val="20"/>
        </w:rPr>
        <w:t>Podnět držitele rozhodnutí o registraci (žadatele) na přezkum proti závaznému stanovisku MZ vydanému ve správním řízení o stanovení maximální ceny a výše a podmínek úhrady léčivého přípravku určeného k léčbě vzácných onemocnění KINPEYGO (§ 39da)</w:t>
      </w:r>
      <w:r>
        <w:rPr>
          <w:rFonts w:cstheme="minorHAnsi"/>
          <w:sz w:val="20"/>
          <w:szCs w:val="20"/>
        </w:rPr>
        <w:t xml:space="preserve"> ze dne 17. 7. 2024 </w:t>
      </w:r>
      <w:r>
        <w:rPr>
          <w:color w:val="000000"/>
          <w:sz w:val="20"/>
          <w:szCs w:val="20"/>
        </w:rPr>
        <w:t xml:space="preserve">- </w:t>
      </w:r>
      <w:r>
        <w:rPr>
          <w:rFonts w:cstheme="minorHAnsi"/>
          <w:sz w:val="20"/>
          <w:szCs w:val="20"/>
        </w:rPr>
        <w:t>staženo ze zdroje uvedeného výše pod pozn. 3 ze SŘ pod sp. zn. SUKLS181711/2023</w:t>
      </w:r>
    </w:p>
    <w:p w:rsidR="00BA1D96" w:rsidRDefault="00BA1D9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2F4E16" w:rsidRDefault="002F4E16" w:rsidP="002F4E16">
      <w:pPr>
        <w:spacing w:after="0"/>
        <w:ind w:left="1080"/>
        <w:contextualSpacing/>
        <w:jc w:val="both"/>
        <w:rPr>
          <w:rFonts w:cstheme="minorHAnsi"/>
          <w:sz w:val="20"/>
          <w:szCs w:val="20"/>
        </w:rPr>
      </w:pPr>
    </w:p>
    <w:p w:rsidR="00033807" w:rsidRDefault="00C071AF">
      <w:pPr>
        <w:spacing w:after="0"/>
        <w:contextualSpacing/>
        <w:jc w:val="both"/>
        <w:rPr>
          <w:rFonts w:cstheme="minorHAnsi"/>
          <w:b/>
          <w:sz w:val="24"/>
          <w:szCs w:val="24"/>
          <w:u w:val="single"/>
        </w:rPr>
      </w:pPr>
      <w:r>
        <w:rPr>
          <w:rFonts w:cstheme="minorHAnsi"/>
          <w:b/>
          <w:sz w:val="24"/>
          <w:szCs w:val="24"/>
          <w:u w:val="single"/>
        </w:rPr>
        <w:t>Přílohy:</w:t>
      </w:r>
    </w:p>
    <w:p w:rsidR="00033807" w:rsidRDefault="00033807">
      <w:pPr>
        <w:spacing w:after="0"/>
        <w:jc w:val="both"/>
        <w:rPr>
          <w:rFonts w:cstheme="minorHAnsi"/>
          <w:b/>
          <w:sz w:val="16"/>
          <w:szCs w:val="16"/>
        </w:rPr>
      </w:pPr>
    </w:p>
    <w:p w:rsidR="00033807" w:rsidRDefault="00C071AF">
      <w:pPr>
        <w:spacing w:after="0"/>
        <w:jc w:val="both"/>
        <w:rPr>
          <w:rFonts w:cstheme="minorHAnsi"/>
        </w:rPr>
      </w:pPr>
      <w:r>
        <w:rPr>
          <w:rFonts w:cstheme="minorHAnsi"/>
          <w:b/>
        </w:rPr>
        <w:t xml:space="preserve">Příloha č. 1: </w:t>
      </w:r>
      <w:r>
        <w:rPr>
          <w:rFonts w:cstheme="minorHAnsi"/>
          <w:sz w:val="21"/>
          <w:szCs w:val="21"/>
        </w:rPr>
        <w:t>podrobnější informace k lékové formě LP KINPEYGO (viz výše pozn. 13) a její srovnání s ostatními p.o. aplik. LP s obsahem budesonidu</w:t>
      </w:r>
      <w:r>
        <w:rPr>
          <w:rFonts w:cstheme="minorHAnsi"/>
          <w:sz w:val="21"/>
          <w:szCs w:val="21"/>
          <w:vertAlign w:val="superscript"/>
        </w:rPr>
        <w:t>26</w:t>
      </w:r>
      <w:r>
        <w:rPr>
          <w:rFonts w:cstheme="minorHAnsi"/>
          <w:sz w:val="21"/>
          <w:szCs w:val="21"/>
        </w:rPr>
        <w:t xml:space="preserve"> – dle zdrojů pod pozn. 2, 14, 15, 16</w:t>
      </w:r>
      <w:r>
        <w:rPr>
          <w:rFonts w:cstheme="minorHAnsi"/>
        </w:rPr>
        <w:t xml:space="preserve"> </w:t>
      </w:r>
      <w:r>
        <w:rPr>
          <w:rFonts w:cstheme="minorHAnsi"/>
          <w:sz w:val="18"/>
          <w:szCs w:val="18"/>
        </w:rPr>
        <w:t>(</w:t>
      </w:r>
      <w:r>
        <w:rPr>
          <w:rFonts w:cstheme="minorHAnsi"/>
          <w:b/>
          <w:color w:val="FF0000"/>
          <w:sz w:val="18"/>
          <w:szCs w:val="18"/>
        </w:rPr>
        <w:t>Autorem této FE analýzy byl zvýrazněn hodnocený LP KINPEYGO!</w:t>
      </w:r>
      <w:r>
        <w:rPr>
          <w:rFonts w:cstheme="minorHAnsi"/>
          <w:sz w:val="18"/>
          <w:szCs w:val="18"/>
        </w:rPr>
        <w:t>)</w:t>
      </w:r>
    </w:p>
    <w:p w:rsidR="00033807" w:rsidRDefault="00033807">
      <w:pPr>
        <w:spacing w:after="0"/>
        <w:jc w:val="both"/>
        <w:rPr>
          <w:rFonts w:cstheme="minorHAnsi"/>
          <w:sz w:val="2"/>
          <w:szCs w:val="2"/>
        </w:rPr>
      </w:pPr>
    </w:p>
    <w:p w:rsidR="00033807" w:rsidRDefault="00C071AF">
      <w:pPr>
        <w:spacing w:after="0"/>
        <w:jc w:val="both"/>
        <w:rPr>
          <w:rFonts w:cstheme="minorHAnsi"/>
        </w:rPr>
      </w:pPr>
      <w:r>
        <w:rPr>
          <w:noProof/>
          <w:lang w:eastAsia="cs-CZ"/>
        </w:rPr>
        <w:drawing>
          <wp:inline distT="0" distB="0" distL="0" distR="0">
            <wp:extent cx="6823710" cy="2353945"/>
            <wp:effectExtent l="0" t="0" r="0" b="0"/>
            <wp:docPr id="28"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126"/>
                    <pic:cNvPicPr>
                      <a:picLocks noChangeAspect="1" noChangeArrowheads="1"/>
                    </pic:cNvPicPr>
                  </pic:nvPicPr>
                  <pic:blipFill>
                    <a:blip r:embed="rId20"/>
                    <a:stretch>
                      <a:fillRect/>
                    </a:stretch>
                  </pic:blipFill>
                  <pic:spPr bwMode="auto">
                    <a:xfrm>
                      <a:off x="0" y="0"/>
                      <a:ext cx="6823710" cy="2353945"/>
                    </a:xfrm>
                    <a:prstGeom prst="rect">
                      <a:avLst/>
                    </a:prstGeom>
                  </pic:spPr>
                </pic:pic>
              </a:graphicData>
            </a:graphic>
          </wp:inline>
        </w:drawing>
      </w:r>
      <w:r>
        <w:rPr>
          <w:rFonts w:cstheme="minorHAnsi"/>
        </w:rPr>
        <w:t xml:space="preserve"> </w:t>
      </w:r>
    </w:p>
    <w:p w:rsidR="00033807" w:rsidRDefault="00033807">
      <w:pPr>
        <w:spacing w:after="0"/>
        <w:jc w:val="both"/>
        <w:rPr>
          <w:rFonts w:cstheme="minorHAnsi"/>
          <w:sz w:val="16"/>
          <w:szCs w:val="16"/>
        </w:rPr>
      </w:pPr>
    </w:p>
    <w:p w:rsidR="00033807" w:rsidRDefault="00C071AF">
      <w:pPr>
        <w:spacing w:after="0"/>
        <w:jc w:val="both"/>
        <w:rPr>
          <w:rFonts w:cstheme="minorHAnsi"/>
        </w:rPr>
      </w:pPr>
      <w:r>
        <w:rPr>
          <w:noProof/>
          <w:lang w:eastAsia="cs-CZ"/>
        </w:rPr>
        <w:drawing>
          <wp:inline distT="0" distB="0" distL="0" distR="0">
            <wp:extent cx="6834505" cy="2687320"/>
            <wp:effectExtent l="0" t="0" r="0" b="0"/>
            <wp:docPr id="29"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128"/>
                    <pic:cNvPicPr>
                      <a:picLocks noChangeAspect="1" noChangeArrowheads="1"/>
                    </pic:cNvPicPr>
                  </pic:nvPicPr>
                  <pic:blipFill>
                    <a:blip r:embed="rId21"/>
                    <a:stretch>
                      <a:fillRect/>
                    </a:stretch>
                  </pic:blipFill>
                  <pic:spPr bwMode="auto">
                    <a:xfrm>
                      <a:off x="0" y="0"/>
                      <a:ext cx="6834505" cy="2687320"/>
                    </a:xfrm>
                    <a:prstGeom prst="rect">
                      <a:avLst/>
                    </a:prstGeom>
                  </pic:spPr>
                </pic:pic>
              </a:graphicData>
            </a:graphic>
          </wp:inline>
        </w:drawing>
      </w:r>
    </w:p>
    <w:p w:rsidR="00033807" w:rsidRDefault="00033807">
      <w:pPr>
        <w:spacing w:after="0"/>
        <w:jc w:val="both"/>
        <w:rPr>
          <w:rFonts w:cstheme="minorHAnsi"/>
          <w:sz w:val="16"/>
          <w:szCs w:val="16"/>
        </w:rPr>
      </w:pPr>
    </w:p>
    <w:p w:rsidR="00033807" w:rsidRDefault="00C071AF">
      <w:pPr>
        <w:spacing w:after="0"/>
        <w:jc w:val="both"/>
        <w:rPr>
          <w:rFonts w:cstheme="minorHAnsi"/>
        </w:rPr>
      </w:pPr>
      <w:r>
        <w:rPr>
          <w:noProof/>
          <w:lang w:eastAsia="cs-CZ"/>
        </w:rPr>
        <w:drawing>
          <wp:inline distT="0" distB="0" distL="0" distR="0">
            <wp:extent cx="6838315" cy="3641725"/>
            <wp:effectExtent l="0" t="0" r="0" b="0"/>
            <wp:docPr id="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130"/>
                    <pic:cNvPicPr>
                      <a:picLocks noChangeAspect="1" noChangeArrowheads="1"/>
                    </pic:cNvPicPr>
                  </pic:nvPicPr>
                  <pic:blipFill>
                    <a:blip r:embed="rId22"/>
                    <a:stretch>
                      <a:fillRect/>
                    </a:stretch>
                  </pic:blipFill>
                  <pic:spPr bwMode="auto">
                    <a:xfrm>
                      <a:off x="0" y="0"/>
                      <a:ext cx="6838315" cy="3641725"/>
                    </a:xfrm>
                    <a:prstGeom prst="rect">
                      <a:avLst/>
                    </a:prstGeom>
                  </pic:spPr>
                </pic:pic>
              </a:graphicData>
            </a:graphic>
          </wp:inline>
        </w:drawing>
      </w:r>
    </w:p>
    <w:p w:rsidR="00033807" w:rsidRDefault="00FB71D2">
      <w:pPr>
        <w:spacing w:after="0"/>
        <w:jc w:val="both"/>
        <w:rPr>
          <w:rFonts w:cstheme="minorHAnsi"/>
          <w:sz w:val="21"/>
          <w:szCs w:val="21"/>
        </w:rPr>
      </w:pPr>
      <w:r>
        <w:rPr>
          <w:noProof/>
        </w:rPr>
        <mc:AlternateContent>
          <mc:Choice Requires="wps">
            <w:drawing>
              <wp:anchor distT="0" distB="0" distL="114300" distR="114300" simplePos="0" relativeHeight="251672576" behindDoc="0" locked="0" layoutInCell="0" allowOverlap="1">
                <wp:simplePos x="0" y="0"/>
                <wp:positionH relativeFrom="column">
                  <wp:posOffset>-29845</wp:posOffset>
                </wp:positionH>
                <wp:positionV relativeFrom="paragraph">
                  <wp:posOffset>539750</wp:posOffset>
                </wp:positionV>
                <wp:extent cx="6993255" cy="267335"/>
                <wp:effectExtent l="15875" t="18415" r="20320" b="19050"/>
                <wp:wrapNone/>
                <wp:docPr id="256"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3255" cy="267335"/>
                        </a:xfrm>
                        <a:prstGeom prst="rect">
                          <a:avLst/>
                        </a:prstGeom>
                        <a:solidFill>
                          <a:schemeClr val="tx1">
                            <a:lumMod val="100000"/>
                            <a:lumOff val="0"/>
                            <a:alpha val="13000"/>
                          </a:schemeClr>
                        </a:solidFill>
                        <a:ln w="25527">
                          <a:solidFill>
                            <a:schemeClr val="tx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9FBB5" id="Obdélník 2" o:spid="_x0000_s1026" style="position:absolute;margin-left:-2.35pt;margin-top:42.5pt;width:550.65pt;height:2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" o:allowincell="f" fillcolor="black [3213]" strokecolor="black [3213]" strokeweight="2.01pt">
                <v:fill opacity="8481f"/>
                <v:stroke joinstyle="round"/>
              </v:rect>
            </w:pict>
          </mc:Fallback>
        </mc:AlternateContent>
      </w:r>
      <w:r w:rsidR="00C071AF">
        <w:rPr>
          <w:rFonts w:cstheme="minorHAnsi"/>
          <w:b/>
        </w:rPr>
        <w:t xml:space="preserve">Příloha č. 18: </w:t>
      </w:r>
      <w:r w:rsidR="00C071AF">
        <w:rPr>
          <w:rFonts w:cstheme="minorHAnsi"/>
          <w:sz w:val="21"/>
          <w:szCs w:val="21"/>
        </w:rPr>
        <w:t>srovnání hlavních RCT studií s kortikosteroidy u IgAN (viz výše pozn. 24</w:t>
      </w:r>
      <w:r w:rsidR="00A41659">
        <w:rPr>
          <w:rFonts w:cstheme="minorHAnsi"/>
          <w:sz w:val="21"/>
          <w:szCs w:val="21"/>
        </w:rPr>
        <w:t xml:space="preserve"> a </w:t>
      </w:r>
      <w:r w:rsidR="00A41659" w:rsidRPr="00A41659">
        <w:rPr>
          <w:rFonts w:cstheme="minorHAnsi"/>
          <w:b/>
          <w:sz w:val="21"/>
          <w:szCs w:val="21"/>
        </w:rPr>
        <w:t>zejména níže Přílohu č. 24</w:t>
      </w:r>
      <w:r w:rsidR="00C071AF">
        <w:rPr>
          <w:rFonts w:cstheme="minorHAnsi"/>
          <w:sz w:val="21"/>
          <w:szCs w:val="21"/>
        </w:rPr>
        <w:t>) – upraveno dle zdroje pod pozn. 106</w:t>
      </w:r>
      <w:r w:rsidR="00A41659">
        <w:rPr>
          <w:rFonts w:cstheme="minorHAnsi"/>
          <w:sz w:val="21"/>
          <w:szCs w:val="21"/>
        </w:rPr>
        <w:t xml:space="preserve"> </w:t>
      </w:r>
      <w:r w:rsidR="00C071AF">
        <w:rPr>
          <w:rFonts w:cstheme="minorHAnsi"/>
          <w:b/>
          <w:bCs/>
          <w:color w:val="FF0000"/>
          <w:sz w:val="18"/>
          <w:szCs w:val="18"/>
          <w:u w:val="single"/>
        </w:rPr>
        <w:t xml:space="preserve">(Červeným orámováním jsou autorem této FE analýzy vyznačeny informace týkající se hodnoceného LP KINPEYGO! – pro </w:t>
      </w:r>
      <w:r w:rsidR="00A41659">
        <w:rPr>
          <w:rFonts w:cstheme="minorHAnsi"/>
          <w:b/>
          <w:bCs/>
          <w:color w:val="FF0000"/>
          <w:sz w:val="18"/>
          <w:szCs w:val="18"/>
          <w:u w:val="single"/>
        </w:rPr>
        <w:t>další</w:t>
      </w:r>
      <w:r w:rsidR="00C071AF">
        <w:rPr>
          <w:rFonts w:cstheme="minorHAnsi"/>
          <w:b/>
          <w:bCs/>
          <w:color w:val="FF0000"/>
          <w:sz w:val="18"/>
          <w:szCs w:val="18"/>
          <w:u w:val="single"/>
        </w:rPr>
        <w:t xml:space="preserve"> informace viz Přílohy č. 20 a 21</w:t>
      </w:r>
      <w:r w:rsidR="00C071AF">
        <w:rPr>
          <w:rFonts w:cstheme="minorHAnsi"/>
          <w:b/>
          <w:bCs/>
          <w:color w:val="FF0000"/>
          <w:sz w:val="18"/>
          <w:szCs w:val="18"/>
        </w:rPr>
        <w:t xml:space="preserve">, </w:t>
      </w:r>
      <w:r w:rsidR="00C071AF">
        <w:rPr>
          <w:rFonts w:cstheme="minorHAnsi"/>
          <w:b/>
          <w:bCs/>
          <w:sz w:val="18"/>
          <w:szCs w:val="18"/>
        </w:rPr>
        <w:t xml:space="preserve">pro </w:t>
      </w:r>
      <w:r w:rsidR="00A41659">
        <w:rPr>
          <w:rFonts w:cstheme="minorHAnsi"/>
          <w:b/>
          <w:bCs/>
          <w:sz w:val="18"/>
          <w:szCs w:val="18"/>
        </w:rPr>
        <w:t>další</w:t>
      </w:r>
      <w:r w:rsidR="00C071AF">
        <w:rPr>
          <w:rFonts w:cstheme="minorHAnsi"/>
          <w:b/>
          <w:bCs/>
          <w:sz w:val="18"/>
          <w:szCs w:val="18"/>
        </w:rPr>
        <w:t xml:space="preserve"> informace týkající sestudií se systémovými kortikosteroidy viz Přílohu č. 22</w:t>
      </w:r>
      <w:r w:rsidR="001534C2">
        <w:rPr>
          <w:rFonts w:cstheme="minorHAnsi"/>
          <w:b/>
          <w:bCs/>
          <w:sz w:val="18"/>
          <w:szCs w:val="18"/>
        </w:rPr>
        <w:t>, CAVE! doplnění ke studii TESTING: v „low dose“ skupině bylo zastoupení „bílých“ cca 7% a mezi „exclusion“ kritéria patřilo také MCD (viz níže pozn. 55), doplnění ke studii NefIgArd:</w:t>
      </w:r>
      <w:r w:rsidR="001534C2" w:rsidRPr="001534C2">
        <w:rPr>
          <w:rFonts w:cstheme="minorHAnsi"/>
          <w:b/>
          <w:bCs/>
          <w:sz w:val="18"/>
          <w:szCs w:val="18"/>
        </w:rPr>
        <w:t xml:space="preserve"> </w:t>
      </w:r>
      <w:r w:rsidR="001534C2">
        <w:rPr>
          <w:rFonts w:cstheme="minorHAnsi"/>
          <w:b/>
          <w:bCs/>
          <w:sz w:val="18"/>
          <w:szCs w:val="18"/>
        </w:rPr>
        <w:t>mezi „exclusion“ kritéria patřil také nefrotický syndrom (viz níže pozn. 58)!</w:t>
      </w:r>
      <w:r w:rsidR="00C071AF" w:rsidRPr="001534C2">
        <w:rPr>
          <w:rFonts w:cstheme="minorHAnsi"/>
          <w:b/>
          <w:bCs/>
          <w:sz w:val="18"/>
          <w:szCs w:val="18"/>
        </w:rPr>
        <w:t>)</w:t>
      </w:r>
    </w:p>
    <w:p w:rsidR="00033807" w:rsidRDefault="00033807">
      <w:pPr>
        <w:spacing w:after="0"/>
        <w:jc w:val="both"/>
        <w:rPr>
          <w:rFonts w:cstheme="minorHAnsi"/>
          <w:sz w:val="6"/>
          <w:szCs w:val="6"/>
        </w:rPr>
      </w:pPr>
    </w:p>
    <w:p w:rsidR="00033807" w:rsidRDefault="00C071AF">
      <w:pPr>
        <w:spacing w:after="0"/>
        <w:jc w:val="both"/>
        <w:rPr>
          <w:rFonts w:cstheme="minorHAnsi"/>
        </w:rPr>
      </w:pPr>
      <w:r>
        <w:rPr>
          <w:noProof/>
          <w:lang w:eastAsia="cs-CZ"/>
        </w:rPr>
        <mc:AlternateContent>
          <mc:Choice Requires="wps">
            <w:drawing>
              <wp:anchor distT="0" distB="0" distL="114300" distR="114300" simplePos="0" relativeHeight="388" behindDoc="0" locked="0" layoutInCell="0" allowOverlap="1" wp14:anchorId="6B6E86E8" wp14:editId="0A3A60CE">
                <wp:simplePos x="0" y="0"/>
                <wp:positionH relativeFrom="column">
                  <wp:posOffset>4755515</wp:posOffset>
                </wp:positionH>
                <wp:positionV relativeFrom="paragraph">
                  <wp:posOffset>13970</wp:posOffset>
                </wp:positionV>
                <wp:extent cx="2077720" cy="4693285"/>
                <wp:effectExtent l="12700" t="12700" r="12700" b="12700"/>
                <wp:wrapNone/>
                <wp:docPr id="116" name="Obdélník 116"/>
                <wp:cNvGraphicFramePr/>
                <a:graphic xmlns:a="http://schemas.openxmlformats.org/drawingml/2006/main">
                  <a:graphicData uri="http://schemas.microsoft.com/office/word/2010/wordprocessingShape">
                    <wps:wsp>
                      <wps:cNvSpPr/>
                      <wps:spPr>
                        <a:xfrm>
                          <a:off x="0" y="0"/>
                          <a:ext cx="2077560" cy="4693320"/>
                        </a:xfrm>
                        <a:prstGeom prst="rect">
                          <a:avLst/>
                        </a:prstGeom>
                        <a:solidFill>
                          <a:srgbClr val="FF0000">
                            <a:alpha val="13000"/>
                          </a:srgbClr>
                        </a:solidFill>
                        <a:ln w="25560">
                          <a:solidFill>
                            <a:srgbClr val="FF0000"/>
                          </a:solidFill>
                          <a:round/>
                        </a:ln>
                      </wps:spPr>
                      <wps:bodyPr/>
                    </wps:wsp>
                  </a:graphicData>
                </a:graphic>
              </wp:anchor>
            </w:drawing>
          </mc:Choice>
          <mc:Fallback>
            <w:pict>
              <v:rect w14:anchorId="1501C1B8" id="Obdélník 116" o:spid="_x0000_s1026" style="position:absolute;margin-left:374.45pt;margin-top:1.1pt;width:163.6pt;height:369.55pt;z-index:3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" o:allowincell="f" fillcolor="red" strokecolor="red" strokeweight=".71mm">
                <v:fill opacity="8481f"/>
                <v:stroke joinstyle="round"/>
              </v:rect>
            </w:pict>
          </mc:Fallback>
        </mc:AlternateContent>
      </w:r>
      <w:r>
        <w:rPr>
          <w:noProof/>
          <w:lang w:eastAsia="cs-CZ"/>
        </w:rPr>
        <w:drawing>
          <wp:inline distT="0" distB="0" distL="0" distR="0" wp14:anchorId="7CA06F50" wp14:editId="31DB3DE9">
            <wp:extent cx="6840855" cy="3140075"/>
            <wp:effectExtent l="0" t="0" r="0" b="0"/>
            <wp:docPr id="117"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Obrázek 152"/>
                    <pic:cNvPicPr>
                      <a:picLocks noChangeAspect="1" noChangeArrowheads="1"/>
                    </pic:cNvPicPr>
                  </pic:nvPicPr>
                  <pic:blipFill>
                    <a:blip r:embed="rId23"/>
                    <a:stretch>
                      <a:fillRect/>
                    </a:stretch>
                  </pic:blipFill>
                  <pic:spPr bwMode="auto">
                    <a:xfrm>
                      <a:off x="0" y="0"/>
                      <a:ext cx="6840855" cy="3140075"/>
                    </a:xfrm>
                    <a:prstGeom prst="rect">
                      <a:avLst/>
                    </a:prstGeom>
                  </pic:spPr>
                </pic:pic>
              </a:graphicData>
            </a:graphic>
          </wp:inline>
        </w:drawing>
      </w:r>
    </w:p>
    <w:p w:rsidR="00033807" w:rsidRDefault="00C071AF">
      <w:pPr>
        <w:spacing w:after="0"/>
        <w:jc w:val="both"/>
        <w:rPr>
          <w:rFonts w:cstheme="minorHAnsi"/>
        </w:rPr>
      </w:pPr>
      <w:r>
        <w:rPr>
          <w:noProof/>
          <w:lang w:eastAsia="cs-CZ"/>
        </w:rPr>
        <w:drawing>
          <wp:inline distT="0" distB="0" distL="0" distR="0">
            <wp:extent cx="6831965" cy="1941195"/>
            <wp:effectExtent l="0" t="0" r="0" b="0"/>
            <wp:docPr id="118"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Obrázek 153"/>
                    <pic:cNvPicPr>
                      <a:picLocks noChangeAspect="1" noChangeArrowheads="1"/>
                    </pic:cNvPicPr>
                  </pic:nvPicPr>
                  <pic:blipFill>
                    <a:blip r:embed="rId24"/>
                    <a:stretch>
                      <a:fillRect/>
                    </a:stretch>
                  </pic:blipFill>
                  <pic:spPr bwMode="auto">
                    <a:xfrm>
                      <a:off x="0" y="0"/>
                      <a:ext cx="6831965" cy="1941195"/>
                    </a:xfrm>
                    <a:prstGeom prst="rect">
                      <a:avLst/>
                    </a:prstGeom>
                  </pic:spPr>
                </pic:pic>
              </a:graphicData>
            </a:graphic>
          </wp:inline>
        </w:drawing>
      </w:r>
    </w:p>
    <w:p w:rsidR="00033807" w:rsidRDefault="00033807">
      <w:pPr>
        <w:spacing w:after="0"/>
        <w:jc w:val="both"/>
        <w:rPr>
          <w:rFonts w:cstheme="minorHAnsi"/>
        </w:rPr>
      </w:pPr>
    </w:p>
    <w:p w:rsidR="00033807" w:rsidRDefault="00033807">
      <w:pPr>
        <w:spacing w:after="0"/>
        <w:jc w:val="both"/>
        <w:rPr>
          <w:rFonts w:cstheme="minorHAnsi"/>
        </w:rPr>
      </w:pPr>
    </w:p>
    <w:p w:rsidR="00033807" w:rsidRDefault="00C071AF">
      <w:pPr>
        <w:spacing w:after="0"/>
        <w:jc w:val="both"/>
        <w:rPr>
          <w:rFonts w:cstheme="minorHAnsi"/>
        </w:rPr>
      </w:pPr>
      <w:r>
        <w:rPr>
          <w:rFonts w:cstheme="minorHAnsi"/>
          <w:b/>
        </w:rPr>
        <w:t xml:space="preserve">Příloha č. 19: </w:t>
      </w:r>
      <w:r>
        <w:rPr>
          <w:rFonts w:cstheme="minorHAnsi"/>
        </w:rPr>
        <w:t>zobrazení hlavních pilířů léčby (vč. teprve studovaných – viz Přílohu č. 15) - dle zdroje pod pozn. 108</w:t>
      </w:r>
    </w:p>
    <w:p w:rsidR="00033807" w:rsidRDefault="00C071AF">
      <w:pPr>
        <w:spacing w:after="0"/>
        <w:jc w:val="both"/>
        <w:rPr>
          <w:rFonts w:cstheme="minorHAnsi"/>
          <w:sz w:val="18"/>
          <w:szCs w:val="18"/>
        </w:rPr>
      </w:pPr>
      <w:r>
        <w:rPr>
          <w:rFonts w:cstheme="minorHAnsi"/>
          <w:sz w:val="18"/>
          <w:szCs w:val="18"/>
        </w:rPr>
        <w:t>(</w:t>
      </w:r>
      <w:r>
        <w:rPr>
          <w:rFonts w:cstheme="minorHAnsi"/>
          <w:sz w:val="18"/>
          <w:szCs w:val="18"/>
          <w:u w:val="single"/>
        </w:rPr>
        <w:t>Popis</w:t>
      </w:r>
      <w:r>
        <w:rPr>
          <w:rFonts w:cstheme="minorHAnsi"/>
          <w:sz w:val="18"/>
          <w:szCs w:val="18"/>
        </w:rPr>
        <w:t xml:space="preserve">: léčba pacientů s IgAN (viz výše pozn. 24) vyžaduje vedle základního kamene optimální podpůrné péče multimodální přístup zaměřený na převládající patogenní dráhy specifické pro každého pacienta v každém časovém bodě onemocnění – viz Přílohu č. 4. </w:t>
      </w:r>
      <w:r>
        <w:rPr>
          <w:rFonts w:cstheme="minorHAnsi"/>
          <w:sz w:val="18"/>
          <w:szCs w:val="18"/>
          <w:u w:val="single"/>
        </w:rPr>
        <w:t>Zkratky</w:t>
      </w:r>
      <w:r>
        <w:rPr>
          <w:rFonts w:cstheme="minorHAnsi"/>
          <w:sz w:val="18"/>
          <w:szCs w:val="18"/>
        </w:rPr>
        <w:t xml:space="preserve">: Gd-IgA1 - Galactose-deficient IgA1 (viz pozn. 30); RAAS - renin-angiotensin-aldosterone systém (viz pozn. 93); SGLT2 inhibitors - sodium-glucose cotransporter-2 inhibitors (viz pozn. 93); TRF-budesonide - Targeted Release Formulation of Budesonide, </w:t>
      </w:r>
      <w:r>
        <w:rPr>
          <w:rFonts w:cstheme="minorHAnsi"/>
          <w:b/>
          <w:color w:val="FF0000"/>
          <w:sz w:val="18"/>
          <w:szCs w:val="18"/>
        </w:rPr>
        <w:t>tj. hodnocený LP KINPEYGO</w:t>
      </w:r>
      <w:r>
        <w:rPr>
          <w:rFonts w:cstheme="minorHAnsi"/>
          <w:sz w:val="18"/>
          <w:szCs w:val="18"/>
        </w:rPr>
        <w:t xml:space="preserve"> (viz pozn. 13); BAFF - B Cell Activating Factor; APRIL - Proliferation-inducing Ligand; MMF - Mycophenolate Mofetil (viz pozn. 98); BP - blood pressure.)</w:t>
      </w:r>
    </w:p>
    <w:p w:rsidR="00033807" w:rsidRDefault="00033807">
      <w:pPr>
        <w:spacing w:after="0"/>
        <w:jc w:val="both"/>
        <w:rPr>
          <w:rFonts w:cstheme="minorHAnsi"/>
          <w:sz w:val="4"/>
          <w:szCs w:val="4"/>
        </w:rPr>
      </w:pPr>
    </w:p>
    <w:p w:rsidR="00033807" w:rsidRDefault="00C071AF">
      <w:pPr>
        <w:spacing w:after="0"/>
        <w:ind w:left="1757"/>
        <w:jc w:val="both"/>
        <w:rPr>
          <w:rFonts w:cstheme="minorHAnsi"/>
        </w:rPr>
      </w:pPr>
      <w:r>
        <w:rPr>
          <w:noProof/>
          <w:lang w:eastAsia="cs-CZ"/>
        </w:rPr>
        <mc:AlternateContent>
          <mc:Choice Requires="wps">
            <w:drawing>
              <wp:anchor distT="0" distB="0" distL="114300" distR="114300" simplePos="0" relativeHeight="389" behindDoc="0" locked="0" layoutInCell="0" allowOverlap="1">
                <wp:simplePos x="0" y="0"/>
                <wp:positionH relativeFrom="column">
                  <wp:posOffset>3485515</wp:posOffset>
                </wp:positionH>
                <wp:positionV relativeFrom="paragraph">
                  <wp:posOffset>1353221</wp:posOffset>
                </wp:positionV>
                <wp:extent cx="873125" cy="99695"/>
                <wp:effectExtent l="0" t="0" r="3175" b="0"/>
                <wp:wrapNone/>
                <wp:docPr id="119" name="Obdélník 119"/>
                <wp:cNvGraphicFramePr/>
                <a:graphic xmlns:a="http://schemas.openxmlformats.org/drawingml/2006/main">
                  <a:graphicData uri="http://schemas.microsoft.com/office/word/2010/wordprocessingShape">
                    <wps:wsp>
                      <wps:cNvSpPr/>
                      <wps:spPr>
                        <a:xfrm>
                          <a:off x="0" y="0"/>
                          <a:ext cx="873125" cy="99695"/>
                        </a:xfrm>
                        <a:prstGeom prst="rect">
                          <a:avLst/>
                        </a:prstGeom>
                        <a:solidFill>
                          <a:srgbClr val="FF0000">
                            <a:alpha val="13000"/>
                          </a:srgbClr>
                        </a:solidFill>
                        <a:ln w="25560">
                          <a:solidFill>
                            <a:srgbClr val="FF0000"/>
                          </a:solidFill>
                          <a:round/>
                        </a:ln>
                      </wps:spPr>
                      <wps:bodyPr/>
                    </wps:wsp>
                  </a:graphicData>
                </a:graphic>
              </wp:anchor>
            </w:drawing>
          </mc:Choice>
          <mc:Fallback>
            <w:pict>
              <v:rect w14:anchorId="0D71077B" id="Obdélník 119" o:spid="_x0000_s1026" style="position:absolute;margin-left:274.45pt;margin-top:106.55pt;width:68.75pt;height:7.85pt;z-index:3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" o:allowincell="f" fillcolor="red" strokecolor="red" strokeweight=".71mm">
                <v:fill opacity="8481f"/>
                <v:stroke joinstyle="round"/>
              </v:rect>
            </w:pict>
          </mc:Fallback>
        </mc:AlternateContent>
      </w:r>
      <w:r>
        <w:rPr>
          <w:noProof/>
          <w:lang w:eastAsia="cs-CZ"/>
        </w:rPr>
        <w:drawing>
          <wp:inline distT="0" distB="0" distL="0" distR="0">
            <wp:extent cx="4511615" cy="2406770"/>
            <wp:effectExtent l="0" t="0" r="0" b="0"/>
            <wp:docPr id="120"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Obrázek 154"/>
                    <pic:cNvPicPr>
                      <a:picLocks noChangeAspect="1" noChangeArrowheads="1"/>
                    </pic:cNvPicPr>
                  </pic:nvPicPr>
                  <pic:blipFill>
                    <a:blip r:embed="rId25"/>
                    <a:stretch>
                      <a:fillRect/>
                    </a:stretch>
                  </pic:blipFill>
                  <pic:spPr bwMode="auto">
                    <a:xfrm>
                      <a:off x="0" y="0"/>
                      <a:ext cx="4511675" cy="2406802"/>
                    </a:xfrm>
                    <a:prstGeom prst="rect">
                      <a:avLst/>
                    </a:prstGeom>
                  </pic:spPr>
                </pic:pic>
              </a:graphicData>
            </a:graphic>
          </wp:inline>
        </w:drawing>
      </w:r>
    </w:p>
    <w:p w:rsidR="00033807" w:rsidRDefault="00C071AF">
      <w:pPr>
        <w:spacing w:after="0"/>
        <w:jc w:val="both"/>
        <w:rPr>
          <w:rFonts w:cstheme="minorHAnsi"/>
        </w:rPr>
      </w:pPr>
      <w:r>
        <w:rPr>
          <w:rFonts w:cstheme="minorHAnsi"/>
          <w:b/>
        </w:rPr>
        <w:t xml:space="preserve">říloha č. 21: </w:t>
      </w:r>
      <w:r>
        <w:rPr>
          <w:rFonts w:cstheme="minorHAnsi"/>
        </w:rPr>
        <w:t>výsledky RCT s LP KINPEYGO (viz výše pozn. 13, 103 a Přílohu č. 20) – upraveno dle zdrojů uvedených výše pod pozn. 111, 116</w:t>
      </w:r>
    </w:p>
    <w:p w:rsidR="00033807" w:rsidRDefault="00033807">
      <w:pPr>
        <w:spacing w:after="0"/>
        <w:jc w:val="both"/>
        <w:rPr>
          <w:rFonts w:cstheme="minorHAnsi"/>
          <w:sz w:val="6"/>
          <w:szCs w:val="6"/>
        </w:rPr>
      </w:pPr>
    </w:p>
    <w:p w:rsidR="00033807" w:rsidRDefault="00C071AF">
      <w:pPr>
        <w:spacing w:after="0"/>
        <w:jc w:val="center"/>
        <w:rPr>
          <w:rFonts w:cstheme="minorHAnsi"/>
          <w:sz w:val="6"/>
          <w:szCs w:val="6"/>
        </w:rPr>
      </w:pPr>
      <w:r>
        <w:rPr>
          <w:b/>
          <w:sz w:val="28"/>
          <w:szCs w:val="28"/>
          <w:u w:val="single"/>
        </w:rPr>
        <w:t xml:space="preserve">Výsledky parametrů účinnosti části A studie </w:t>
      </w:r>
      <w:r>
        <w:rPr>
          <w:rFonts w:cstheme="minorHAnsi"/>
          <w:b/>
          <w:sz w:val="28"/>
          <w:szCs w:val="28"/>
          <w:u w:val="single"/>
        </w:rPr>
        <w:t>NefIgArd</w:t>
      </w:r>
      <w:r>
        <w:rPr>
          <w:rFonts w:cstheme="minorHAnsi"/>
          <w:b/>
          <w:sz w:val="24"/>
          <w:szCs w:val="24"/>
          <w:vertAlign w:val="superscript"/>
        </w:rPr>
        <w:t>111</w:t>
      </w:r>
      <w:r>
        <w:rPr>
          <w:b/>
          <w:sz w:val="24"/>
          <w:szCs w:val="24"/>
        </w:rPr>
        <w:t xml:space="preserve">                                                         </w:t>
      </w:r>
    </w:p>
    <w:p w:rsidR="00033807" w:rsidRDefault="00033807">
      <w:pPr>
        <w:spacing w:after="0"/>
        <w:jc w:val="both"/>
        <w:rPr>
          <w:rFonts w:cstheme="minorHAnsi"/>
          <w:sz w:val="6"/>
          <w:szCs w:val="6"/>
        </w:rPr>
      </w:pPr>
    </w:p>
    <w:p w:rsidR="00033807" w:rsidRDefault="00C071AF">
      <w:pPr>
        <w:spacing w:after="0"/>
        <w:jc w:val="both"/>
        <w:rPr>
          <w:rFonts w:cstheme="minorHAnsi"/>
          <w:sz w:val="6"/>
          <w:szCs w:val="6"/>
        </w:rPr>
      </w:pPr>
      <w:r>
        <w:rPr>
          <w:noProof/>
          <w:lang w:eastAsia="cs-CZ"/>
        </w:rPr>
        <w:drawing>
          <wp:inline distT="0" distB="0" distL="0" distR="0">
            <wp:extent cx="6831965" cy="948690"/>
            <wp:effectExtent l="0" t="0" r="0" b="0"/>
            <wp:docPr id="138"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Obrázek 165"/>
                    <pic:cNvPicPr>
                      <a:picLocks noChangeAspect="1" noChangeArrowheads="1"/>
                    </pic:cNvPicPr>
                  </pic:nvPicPr>
                  <pic:blipFill>
                    <a:blip r:embed="rId26"/>
                    <a:stretch>
                      <a:fillRect/>
                    </a:stretch>
                  </pic:blipFill>
                  <pic:spPr bwMode="auto">
                    <a:xfrm>
                      <a:off x="0" y="0"/>
                      <a:ext cx="6831965" cy="948690"/>
                    </a:xfrm>
                    <a:prstGeom prst="rect">
                      <a:avLst/>
                    </a:prstGeom>
                  </pic:spPr>
                </pic:pic>
              </a:graphicData>
            </a:graphic>
          </wp:inline>
        </w:drawing>
      </w:r>
    </w:p>
    <w:p w:rsidR="00033807" w:rsidRDefault="00033807">
      <w:pPr>
        <w:spacing w:after="0"/>
        <w:jc w:val="both"/>
        <w:rPr>
          <w:rFonts w:cstheme="minorHAnsi"/>
          <w:sz w:val="6"/>
          <w:szCs w:val="6"/>
        </w:rPr>
      </w:pPr>
    </w:p>
    <w:p w:rsidR="00033807" w:rsidRDefault="00C071AF">
      <w:pPr>
        <w:spacing w:after="0"/>
        <w:jc w:val="both"/>
        <w:rPr>
          <w:rFonts w:cstheme="minorHAnsi"/>
        </w:rPr>
      </w:pPr>
      <w:r>
        <w:rPr>
          <w:noProof/>
          <w:lang w:eastAsia="cs-CZ"/>
        </w:rPr>
        <w:drawing>
          <wp:inline distT="0" distB="0" distL="0" distR="0">
            <wp:extent cx="6831965" cy="3691890"/>
            <wp:effectExtent l="0" t="0" r="0" b="0"/>
            <wp:docPr id="141"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Obrázek 164"/>
                    <pic:cNvPicPr>
                      <a:picLocks noChangeAspect="1" noChangeArrowheads="1"/>
                    </pic:cNvPicPr>
                  </pic:nvPicPr>
                  <pic:blipFill>
                    <a:blip r:embed="rId27"/>
                    <a:stretch>
                      <a:fillRect/>
                    </a:stretch>
                  </pic:blipFill>
                  <pic:spPr bwMode="auto">
                    <a:xfrm>
                      <a:off x="0" y="0"/>
                      <a:ext cx="6831965" cy="3691890"/>
                    </a:xfrm>
                    <a:prstGeom prst="rect">
                      <a:avLst/>
                    </a:prstGeom>
                  </pic:spPr>
                </pic:pic>
              </a:graphicData>
            </a:graphic>
          </wp:inline>
        </w:drawing>
      </w:r>
    </w:p>
    <w:p w:rsidR="00033807" w:rsidRDefault="00033807">
      <w:pPr>
        <w:spacing w:after="0"/>
        <w:jc w:val="both"/>
        <w:rPr>
          <w:rFonts w:cstheme="minorHAnsi"/>
        </w:rPr>
      </w:pPr>
    </w:p>
    <w:p w:rsidR="00033807" w:rsidRDefault="00033807">
      <w:pPr>
        <w:spacing w:after="0"/>
        <w:jc w:val="both"/>
        <w:rPr>
          <w:rFonts w:cstheme="minorHAnsi"/>
          <w:sz w:val="10"/>
          <w:szCs w:val="10"/>
        </w:rPr>
      </w:pPr>
    </w:p>
    <w:p w:rsidR="00033807" w:rsidRDefault="00C071AF">
      <w:pPr>
        <w:spacing w:after="0"/>
        <w:jc w:val="both"/>
        <w:rPr>
          <w:rFonts w:cstheme="minorHAnsi"/>
        </w:rPr>
      </w:pPr>
      <w:r>
        <w:rPr>
          <w:noProof/>
          <w:lang w:eastAsia="cs-CZ"/>
        </w:rPr>
        <w:drawing>
          <wp:inline distT="0" distB="0" distL="0" distR="0">
            <wp:extent cx="6840855" cy="327660"/>
            <wp:effectExtent l="0" t="0" r="0" b="0"/>
            <wp:docPr id="142"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Obrázek 167"/>
                    <pic:cNvPicPr>
                      <a:picLocks noChangeAspect="1" noChangeArrowheads="1"/>
                    </pic:cNvPicPr>
                  </pic:nvPicPr>
                  <pic:blipFill>
                    <a:blip r:embed="rId28"/>
                    <a:stretch>
                      <a:fillRect/>
                    </a:stretch>
                  </pic:blipFill>
                  <pic:spPr bwMode="auto">
                    <a:xfrm>
                      <a:off x="0" y="0"/>
                      <a:ext cx="6840855" cy="327660"/>
                    </a:xfrm>
                    <a:prstGeom prst="rect">
                      <a:avLst/>
                    </a:prstGeom>
                  </pic:spPr>
                </pic:pic>
              </a:graphicData>
            </a:graphic>
          </wp:inline>
        </w:drawing>
      </w:r>
    </w:p>
    <w:p w:rsidR="00033807" w:rsidRDefault="00C071AF">
      <w:pPr>
        <w:spacing w:after="0"/>
        <w:jc w:val="both"/>
        <w:rPr>
          <w:rFonts w:cstheme="minorHAnsi"/>
        </w:rPr>
      </w:pPr>
      <w:r>
        <w:rPr>
          <w:noProof/>
          <w:lang w:eastAsia="cs-CZ"/>
        </w:rPr>
        <w:drawing>
          <wp:inline distT="0" distB="0" distL="0" distR="0">
            <wp:extent cx="6840855" cy="3614420"/>
            <wp:effectExtent l="0" t="0" r="0" b="0"/>
            <wp:docPr id="143"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Obrázek 166"/>
                    <pic:cNvPicPr>
                      <a:picLocks noChangeAspect="1" noChangeArrowheads="1"/>
                    </pic:cNvPicPr>
                  </pic:nvPicPr>
                  <pic:blipFill>
                    <a:blip r:embed="rId29"/>
                    <a:stretch>
                      <a:fillRect/>
                    </a:stretch>
                  </pic:blipFill>
                  <pic:spPr bwMode="auto">
                    <a:xfrm>
                      <a:off x="0" y="0"/>
                      <a:ext cx="6840855" cy="3614420"/>
                    </a:xfrm>
                    <a:prstGeom prst="rect">
                      <a:avLst/>
                    </a:prstGeom>
                  </pic:spPr>
                </pic:pic>
              </a:graphicData>
            </a:graphic>
          </wp:inline>
        </w:drawing>
      </w:r>
    </w:p>
    <w:p w:rsidR="00033807" w:rsidRDefault="00C071AF">
      <w:pPr>
        <w:spacing w:after="0"/>
        <w:jc w:val="center"/>
        <w:rPr>
          <w:rFonts w:cstheme="minorHAnsi"/>
          <w:sz w:val="6"/>
          <w:szCs w:val="6"/>
        </w:rPr>
      </w:pPr>
      <w:r>
        <w:rPr>
          <w:b/>
          <w:sz w:val="28"/>
          <w:szCs w:val="28"/>
          <w:u w:val="single"/>
        </w:rPr>
        <w:t xml:space="preserve">Výsledky parametrů účinnosti celé studie </w:t>
      </w:r>
      <w:r>
        <w:rPr>
          <w:rFonts w:cstheme="minorHAnsi"/>
          <w:b/>
          <w:sz w:val="28"/>
          <w:szCs w:val="28"/>
          <w:u w:val="single"/>
        </w:rPr>
        <w:t>NefIgArd</w:t>
      </w:r>
      <w:r>
        <w:rPr>
          <w:rFonts w:cstheme="minorHAnsi"/>
          <w:b/>
          <w:sz w:val="24"/>
          <w:szCs w:val="24"/>
          <w:vertAlign w:val="superscript"/>
        </w:rPr>
        <w:t>116</w:t>
      </w:r>
      <w:r>
        <w:rPr>
          <w:b/>
          <w:sz w:val="24"/>
          <w:szCs w:val="24"/>
        </w:rPr>
        <w:t xml:space="preserve">                                                         </w:t>
      </w:r>
    </w:p>
    <w:p w:rsidR="00033807" w:rsidRDefault="00033807">
      <w:pPr>
        <w:spacing w:after="0"/>
        <w:jc w:val="both"/>
        <w:rPr>
          <w:rFonts w:cstheme="minorHAnsi"/>
          <w:sz w:val="4"/>
          <w:szCs w:val="4"/>
        </w:rPr>
      </w:pPr>
    </w:p>
    <w:p w:rsidR="00033807" w:rsidRDefault="00C071AF">
      <w:pPr>
        <w:spacing w:after="0"/>
        <w:jc w:val="both"/>
        <w:rPr>
          <w:rFonts w:cstheme="minorHAnsi"/>
        </w:rPr>
      </w:pPr>
      <w:r>
        <w:rPr>
          <w:noProof/>
          <w:lang w:eastAsia="cs-CZ"/>
        </w:rPr>
        <w:drawing>
          <wp:inline distT="0" distB="0" distL="0" distR="0">
            <wp:extent cx="6839585" cy="784860"/>
            <wp:effectExtent l="0" t="0" r="0" b="0"/>
            <wp:docPr id="144"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Obrázek 170"/>
                    <pic:cNvPicPr>
                      <a:picLocks noChangeAspect="1" noChangeArrowheads="1"/>
                    </pic:cNvPicPr>
                  </pic:nvPicPr>
                  <pic:blipFill>
                    <a:blip r:embed="rId30"/>
                    <a:stretch>
                      <a:fillRect/>
                    </a:stretch>
                  </pic:blipFill>
                  <pic:spPr bwMode="auto">
                    <a:xfrm>
                      <a:off x="0" y="0"/>
                      <a:ext cx="6839585" cy="784860"/>
                    </a:xfrm>
                    <a:prstGeom prst="rect">
                      <a:avLst/>
                    </a:prstGeom>
                  </pic:spPr>
                </pic:pic>
              </a:graphicData>
            </a:graphic>
          </wp:inline>
        </w:drawing>
      </w:r>
    </w:p>
    <w:p w:rsidR="00033807" w:rsidRDefault="00C071AF">
      <w:pPr>
        <w:spacing w:after="0"/>
        <w:ind w:left="340"/>
        <w:jc w:val="both"/>
        <w:rPr>
          <w:rFonts w:cstheme="minorHAnsi"/>
        </w:rPr>
      </w:pPr>
      <w:r>
        <w:rPr>
          <w:noProof/>
          <w:lang w:eastAsia="cs-CZ"/>
        </w:rPr>
        <w:drawing>
          <wp:inline distT="0" distB="0" distL="0" distR="0">
            <wp:extent cx="6398895" cy="3183255"/>
            <wp:effectExtent l="0" t="0" r="0" b="0"/>
            <wp:docPr id="145"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Obrázek 168"/>
                    <pic:cNvPicPr>
                      <a:picLocks noChangeAspect="1" noChangeArrowheads="1"/>
                    </pic:cNvPicPr>
                  </pic:nvPicPr>
                  <pic:blipFill>
                    <a:blip r:embed="rId31"/>
                    <a:stretch>
                      <a:fillRect/>
                    </a:stretch>
                  </pic:blipFill>
                  <pic:spPr bwMode="auto">
                    <a:xfrm>
                      <a:off x="0" y="0"/>
                      <a:ext cx="6398895" cy="3183255"/>
                    </a:xfrm>
                    <a:prstGeom prst="rect">
                      <a:avLst/>
                    </a:prstGeom>
                  </pic:spPr>
                </pic:pic>
              </a:graphicData>
            </a:graphic>
          </wp:inline>
        </w:drawing>
      </w:r>
    </w:p>
    <w:p w:rsidR="00033807" w:rsidRDefault="00C071AF">
      <w:pPr>
        <w:spacing w:after="0"/>
        <w:ind w:left="283"/>
        <w:jc w:val="both"/>
        <w:rPr>
          <w:rFonts w:cstheme="minorHAnsi"/>
        </w:rPr>
      </w:pPr>
      <w:r>
        <w:rPr>
          <w:noProof/>
          <w:lang w:eastAsia="cs-CZ"/>
        </w:rPr>
        <w:drawing>
          <wp:inline distT="0" distB="0" distL="0" distR="0">
            <wp:extent cx="6547485" cy="3968115"/>
            <wp:effectExtent l="0" t="0" r="0" b="0"/>
            <wp:docPr id="146"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Obrázek 169"/>
                    <pic:cNvPicPr>
                      <a:picLocks noChangeAspect="1" noChangeArrowheads="1"/>
                    </pic:cNvPicPr>
                  </pic:nvPicPr>
                  <pic:blipFill>
                    <a:blip r:embed="rId32"/>
                    <a:stretch>
                      <a:fillRect/>
                    </a:stretch>
                  </pic:blipFill>
                  <pic:spPr bwMode="auto">
                    <a:xfrm>
                      <a:off x="0" y="0"/>
                      <a:ext cx="6547485" cy="3968115"/>
                    </a:xfrm>
                    <a:prstGeom prst="rect">
                      <a:avLst/>
                    </a:prstGeom>
                  </pic:spPr>
                </pic:pic>
              </a:graphicData>
            </a:graphic>
          </wp:inline>
        </w:drawing>
      </w:r>
    </w:p>
    <w:p w:rsidR="00033807" w:rsidRDefault="00033807">
      <w:pPr>
        <w:spacing w:after="0"/>
        <w:jc w:val="both"/>
        <w:rPr>
          <w:rFonts w:cstheme="minorHAnsi"/>
          <w:sz w:val="16"/>
          <w:szCs w:val="16"/>
        </w:rPr>
      </w:pPr>
    </w:p>
    <w:p w:rsidR="00033807" w:rsidRDefault="00C071AF">
      <w:pPr>
        <w:spacing w:after="0"/>
        <w:jc w:val="both"/>
        <w:rPr>
          <w:rFonts w:cstheme="minorHAnsi"/>
          <w:sz w:val="16"/>
          <w:szCs w:val="16"/>
        </w:rPr>
      </w:pPr>
      <w:r>
        <w:rPr>
          <w:rFonts w:cstheme="minorHAnsi"/>
          <w:sz w:val="18"/>
          <w:szCs w:val="18"/>
        </w:rPr>
        <w:t xml:space="preserve">         </w:t>
      </w:r>
      <w:r>
        <w:rPr>
          <w:rFonts w:cstheme="minorHAnsi"/>
          <w:b/>
          <w:sz w:val="18"/>
          <w:szCs w:val="18"/>
          <w:highlight w:val="yellow"/>
        </w:rPr>
        <w:t>The mean change in eGFR</w:t>
      </w:r>
      <w:r>
        <w:rPr>
          <w:rFonts w:cstheme="minorHAnsi"/>
          <w:sz w:val="18"/>
          <w:szCs w:val="18"/>
          <w:highlight w:val="yellow"/>
        </w:rPr>
        <w:t xml:space="preserve"> </w:t>
      </w:r>
      <w:r>
        <w:rPr>
          <w:rFonts w:cstheme="minorHAnsi"/>
          <w:b/>
          <w:sz w:val="18"/>
          <w:szCs w:val="18"/>
          <w:highlight w:val="yellow"/>
        </w:rPr>
        <w:t>between 12 and 24 months</w:t>
      </w:r>
      <w:r>
        <w:rPr>
          <w:rFonts w:cstheme="minorHAnsi"/>
          <w:sz w:val="18"/>
          <w:szCs w:val="18"/>
          <w:highlight w:val="yellow"/>
        </w:rPr>
        <w:t xml:space="preserve"> - was derived directly from the robust regression model conducted on the log scale</w:t>
      </w:r>
      <w:r>
        <w:rPr>
          <w:rFonts w:cstheme="minorHAnsi"/>
          <w:sz w:val="18"/>
          <w:szCs w:val="18"/>
        </w:rPr>
        <w:t>.</w:t>
      </w:r>
      <w:r>
        <w:rPr>
          <w:rFonts w:cstheme="minorHAnsi"/>
          <w:sz w:val="18"/>
          <w:szCs w:val="18"/>
          <w:vertAlign w:val="superscript"/>
        </w:rPr>
        <w:t>116</w:t>
      </w:r>
    </w:p>
    <w:p w:rsidR="00033807" w:rsidRDefault="00C071AF">
      <w:pPr>
        <w:spacing w:after="0"/>
        <w:ind w:left="454"/>
        <w:jc w:val="both"/>
        <w:rPr>
          <w:rFonts w:cstheme="minorHAnsi"/>
        </w:rPr>
      </w:pPr>
      <w:r>
        <w:rPr>
          <w:noProof/>
          <w:lang w:eastAsia="cs-CZ"/>
        </w:rPr>
        <w:drawing>
          <wp:inline distT="0" distB="0" distL="0" distR="0">
            <wp:extent cx="6314440" cy="1112520"/>
            <wp:effectExtent l="0" t="0" r="0" b="0"/>
            <wp:docPr id="147"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Obrázek 171"/>
                    <pic:cNvPicPr>
                      <a:picLocks noChangeAspect="1" noChangeArrowheads="1"/>
                    </pic:cNvPicPr>
                  </pic:nvPicPr>
                  <pic:blipFill>
                    <a:blip r:embed="rId33"/>
                    <a:stretch>
                      <a:fillRect/>
                    </a:stretch>
                  </pic:blipFill>
                  <pic:spPr bwMode="auto">
                    <a:xfrm>
                      <a:off x="0" y="0"/>
                      <a:ext cx="6314440" cy="1112520"/>
                    </a:xfrm>
                    <a:prstGeom prst="rect">
                      <a:avLst/>
                    </a:prstGeom>
                  </pic:spPr>
                </pic:pic>
              </a:graphicData>
            </a:graphic>
          </wp:inline>
        </w:drawing>
      </w:r>
    </w:p>
    <w:p w:rsidR="00033807" w:rsidRDefault="00C071AF">
      <w:pPr>
        <w:spacing w:after="0"/>
        <w:jc w:val="center"/>
        <w:rPr>
          <w:rFonts w:cstheme="minorHAnsi"/>
          <w:b/>
          <w:sz w:val="24"/>
          <w:szCs w:val="24"/>
        </w:rPr>
      </w:pPr>
      <w:r>
        <w:rPr>
          <w:rFonts w:cstheme="minorHAnsi"/>
          <w:b/>
          <w:sz w:val="24"/>
          <w:szCs w:val="24"/>
          <w:highlight w:val="yellow"/>
        </w:rPr>
        <w:t>Subgroups summary of time-weighted average of eGFR over 2 years using robust regression analysis                (full analysis set)</w:t>
      </w:r>
      <w:r>
        <w:rPr>
          <w:rFonts w:cstheme="minorHAnsi"/>
          <w:b/>
          <w:sz w:val="24"/>
          <w:szCs w:val="24"/>
          <w:highlight w:val="yellow"/>
          <w:vertAlign w:val="superscript"/>
        </w:rPr>
        <w:t>116</w:t>
      </w:r>
    </w:p>
    <w:p w:rsidR="00033807" w:rsidRDefault="00C071AF">
      <w:pPr>
        <w:spacing w:after="0"/>
        <w:ind w:left="57"/>
        <w:jc w:val="both"/>
        <w:rPr>
          <w:rFonts w:cstheme="minorHAnsi"/>
          <w:sz w:val="18"/>
          <w:szCs w:val="18"/>
        </w:rPr>
      </w:pPr>
      <w:r>
        <w:rPr>
          <w:noProof/>
          <w:lang w:eastAsia="cs-CZ"/>
        </w:rPr>
        <w:drawing>
          <wp:inline distT="0" distB="0" distL="0" distR="0">
            <wp:extent cx="6840855" cy="4658360"/>
            <wp:effectExtent l="0" t="0" r="0" b="0"/>
            <wp:docPr id="148"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Obrázek 177"/>
                    <pic:cNvPicPr>
                      <a:picLocks noChangeAspect="1" noChangeArrowheads="1"/>
                    </pic:cNvPicPr>
                  </pic:nvPicPr>
                  <pic:blipFill>
                    <a:blip r:embed="rId34"/>
                    <a:stretch>
                      <a:fillRect/>
                    </a:stretch>
                  </pic:blipFill>
                  <pic:spPr bwMode="auto">
                    <a:xfrm>
                      <a:off x="0" y="0"/>
                      <a:ext cx="6840855" cy="4658360"/>
                    </a:xfrm>
                    <a:prstGeom prst="rect">
                      <a:avLst/>
                    </a:prstGeom>
                  </pic:spPr>
                </pic:pic>
              </a:graphicData>
            </a:graphic>
          </wp:inline>
        </w:drawing>
      </w:r>
    </w:p>
    <w:p w:rsidR="00033807" w:rsidRDefault="00C071AF">
      <w:pPr>
        <w:spacing w:after="0"/>
        <w:ind w:left="57"/>
        <w:jc w:val="both"/>
        <w:rPr>
          <w:rFonts w:cstheme="minorHAnsi"/>
          <w:sz w:val="18"/>
          <w:szCs w:val="18"/>
        </w:rPr>
      </w:pPr>
      <w:r>
        <w:rPr>
          <w:noProof/>
          <w:lang w:eastAsia="cs-CZ"/>
        </w:rPr>
        <w:drawing>
          <wp:inline distT="0" distB="0" distL="0" distR="0">
            <wp:extent cx="6831965" cy="241300"/>
            <wp:effectExtent l="0" t="0" r="0" b="0"/>
            <wp:docPr id="149"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Obrázek 178"/>
                    <pic:cNvPicPr>
                      <a:picLocks noChangeAspect="1" noChangeArrowheads="1"/>
                    </pic:cNvPicPr>
                  </pic:nvPicPr>
                  <pic:blipFill>
                    <a:blip r:embed="rId35"/>
                    <a:stretch>
                      <a:fillRect/>
                    </a:stretch>
                  </pic:blipFill>
                  <pic:spPr bwMode="auto">
                    <a:xfrm>
                      <a:off x="0" y="0"/>
                      <a:ext cx="6831965" cy="241300"/>
                    </a:xfrm>
                    <a:prstGeom prst="rect">
                      <a:avLst/>
                    </a:prstGeom>
                  </pic:spPr>
                </pic:pic>
              </a:graphicData>
            </a:graphic>
          </wp:inline>
        </w:drawing>
      </w:r>
    </w:p>
    <w:p w:rsidR="00033807" w:rsidRDefault="00C071AF">
      <w:pPr>
        <w:spacing w:after="0"/>
        <w:ind w:left="57"/>
        <w:jc w:val="both"/>
        <w:rPr>
          <w:rFonts w:cstheme="minorHAnsi"/>
          <w:sz w:val="18"/>
          <w:szCs w:val="18"/>
        </w:rPr>
      </w:pPr>
      <w:r>
        <w:rPr>
          <w:noProof/>
          <w:lang w:eastAsia="cs-CZ"/>
        </w:rPr>
        <w:drawing>
          <wp:inline distT="0" distB="0" distL="0" distR="0">
            <wp:extent cx="6831965" cy="250190"/>
            <wp:effectExtent l="0" t="0" r="0" b="0"/>
            <wp:docPr id="150"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Obrázek 179"/>
                    <pic:cNvPicPr>
                      <a:picLocks noChangeAspect="1" noChangeArrowheads="1"/>
                    </pic:cNvPicPr>
                  </pic:nvPicPr>
                  <pic:blipFill>
                    <a:blip r:embed="rId36"/>
                    <a:stretch>
                      <a:fillRect/>
                    </a:stretch>
                  </pic:blipFill>
                  <pic:spPr bwMode="auto">
                    <a:xfrm>
                      <a:off x="0" y="0"/>
                      <a:ext cx="6831965" cy="250190"/>
                    </a:xfrm>
                    <a:prstGeom prst="rect">
                      <a:avLst/>
                    </a:prstGeom>
                  </pic:spPr>
                </pic:pic>
              </a:graphicData>
            </a:graphic>
          </wp:inline>
        </w:drawing>
      </w:r>
    </w:p>
    <w:p w:rsidR="00033807" w:rsidRDefault="00033807">
      <w:pPr>
        <w:spacing w:after="0"/>
        <w:ind w:left="454"/>
        <w:jc w:val="both"/>
        <w:rPr>
          <w:rFonts w:cstheme="minorHAnsi"/>
          <w:sz w:val="18"/>
          <w:szCs w:val="18"/>
        </w:rPr>
      </w:pPr>
    </w:p>
    <w:p w:rsidR="00033807" w:rsidRDefault="00033807">
      <w:pPr>
        <w:spacing w:after="0"/>
        <w:ind w:left="454"/>
        <w:jc w:val="both"/>
        <w:rPr>
          <w:rFonts w:cstheme="minorHAnsi"/>
        </w:rPr>
      </w:pPr>
    </w:p>
    <w:p w:rsidR="00033807" w:rsidRDefault="00C071AF">
      <w:pPr>
        <w:spacing w:after="0"/>
        <w:ind w:left="170"/>
        <w:jc w:val="both"/>
        <w:rPr>
          <w:rFonts w:cstheme="minorHAnsi"/>
        </w:rPr>
      </w:pPr>
      <w:r>
        <w:rPr>
          <w:noProof/>
          <w:lang w:eastAsia="cs-CZ"/>
        </w:rPr>
        <w:drawing>
          <wp:inline distT="0" distB="0" distL="0" distR="0">
            <wp:extent cx="6581775" cy="681355"/>
            <wp:effectExtent l="0" t="0" r="0" b="0"/>
            <wp:docPr id="151"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Obrázek 173"/>
                    <pic:cNvPicPr>
                      <a:picLocks noChangeAspect="1" noChangeArrowheads="1"/>
                    </pic:cNvPicPr>
                  </pic:nvPicPr>
                  <pic:blipFill>
                    <a:blip r:embed="rId37"/>
                    <a:stretch>
                      <a:fillRect/>
                    </a:stretch>
                  </pic:blipFill>
                  <pic:spPr bwMode="auto">
                    <a:xfrm>
                      <a:off x="0" y="0"/>
                      <a:ext cx="6581775" cy="681355"/>
                    </a:xfrm>
                    <a:prstGeom prst="rect">
                      <a:avLst/>
                    </a:prstGeom>
                  </pic:spPr>
                </pic:pic>
              </a:graphicData>
            </a:graphic>
          </wp:inline>
        </w:drawing>
      </w:r>
    </w:p>
    <w:p w:rsidR="00033807" w:rsidRDefault="00C071AF">
      <w:pPr>
        <w:spacing w:after="0"/>
        <w:ind w:left="397"/>
        <w:jc w:val="both"/>
        <w:rPr>
          <w:rFonts w:cstheme="minorHAnsi"/>
        </w:rPr>
      </w:pPr>
      <w:r>
        <w:rPr>
          <w:noProof/>
          <w:lang w:eastAsia="cs-CZ"/>
        </w:rPr>
        <w:drawing>
          <wp:inline distT="0" distB="0" distL="0" distR="0">
            <wp:extent cx="6280150" cy="3084830"/>
            <wp:effectExtent l="0" t="0" r="0" b="0"/>
            <wp:docPr id="15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Obrázek 172"/>
                    <pic:cNvPicPr>
                      <a:picLocks noChangeAspect="1" noChangeArrowheads="1"/>
                    </pic:cNvPicPr>
                  </pic:nvPicPr>
                  <pic:blipFill>
                    <a:blip r:embed="rId38"/>
                    <a:stretch>
                      <a:fillRect/>
                    </a:stretch>
                  </pic:blipFill>
                  <pic:spPr bwMode="auto">
                    <a:xfrm>
                      <a:off x="0" y="0"/>
                      <a:ext cx="6280150" cy="3084830"/>
                    </a:xfrm>
                    <a:prstGeom prst="rect">
                      <a:avLst/>
                    </a:prstGeom>
                  </pic:spPr>
                </pic:pic>
              </a:graphicData>
            </a:graphic>
          </wp:inline>
        </w:drawing>
      </w:r>
    </w:p>
    <w:p w:rsidR="00033807" w:rsidRDefault="00033807">
      <w:pPr>
        <w:spacing w:after="0"/>
        <w:jc w:val="both"/>
        <w:rPr>
          <w:rFonts w:cstheme="minorHAnsi"/>
        </w:rPr>
      </w:pPr>
    </w:p>
    <w:p w:rsidR="00033807" w:rsidRDefault="00C071AF">
      <w:pPr>
        <w:spacing w:after="0"/>
        <w:ind w:left="113"/>
        <w:jc w:val="center"/>
        <w:rPr>
          <w:rFonts w:cstheme="minorHAnsi"/>
          <w:b/>
        </w:rPr>
      </w:pPr>
      <w:r>
        <w:rPr>
          <w:rFonts w:cstheme="minorHAnsi"/>
          <w:b/>
          <w:highlight w:val="yellow"/>
        </w:rPr>
        <w:t>Composite endpoint of time from randomisation to confirmed 30% eGFR reduction or kidney failure,                              overall and by UPCR subgroup (full analysis set)</w:t>
      </w:r>
      <w:r>
        <w:rPr>
          <w:rFonts w:cstheme="minorHAnsi"/>
          <w:b/>
          <w:highlight w:val="yellow"/>
          <w:vertAlign w:val="superscript"/>
        </w:rPr>
        <w:t>116</w:t>
      </w:r>
    </w:p>
    <w:p w:rsidR="00033807" w:rsidRDefault="00C071AF">
      <w:pPr>
        <w:spacing w:after="0"/>
        <w:ind w:left="1134"/>
        <w:jc w:val="both"/>
        <w:rPr>
          <w:rFonts w:cstheme="minorHAnsi"/>
        </w:rPr>
      </w:pPr>
      <w:r>
        <w:rPr>
          <w:noProof/>
          <w:lang w:eastAsia="cs-CZ"/>
        </w:rPr>
        <w:drawing>
          <wp:inline distT="0" distB="0" distL="0" distR="0">
            <wp:extent cx="5166995" cy="2752090"/>
            <wp:effectExtent l="0" t="0" r="0" b="0"/>
            <wp:docPr id="153"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Obrázek 180"/>
                    <pic:cNvPicPr>
                      <a:picLocks noChangeAspect="1" noChangeArrowheads="1"/>
                    </pic:cNvPicPr>
                  </pic:nvPicPr>
                  <pic:blipFill>
                    <a:blip r:embed="rId39"/>
                    <a:stretch>
                      <a:fillRect/>
                    </a:stretch>
                  </pic:blipFill>
                  <pic:spPr bwMode="auto">
                    <a:xfrm>
                      <a:off x="0" y="0"/>
                      <a:ext cx="5166995" cy="2752090"/>
                    </a:xfrm>
                    <a:prstGeom prst="rect">
                      <a:avLst/>
                    </a:prstGeom>
                  </pic:spPr>
                </pic:pic>
              </a:graphicData>
            </a:graphic>
          </wp:inline>
        </w:drawing>
      </w: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C071AF">
      <w:pPr>
        <w:spacing w:after="0"/>
        <w:jc w:val="both"/>
        <w:rPr>
          <w:rFonts w:cstheme="minorHAnsi"/>
          <w:b/>
        </w:rPr>
      </w:pPr>
      <w:r>
        <w:rPr>
          <w:rFonts w:cstheme="minorHAnsi"/>
          <w:b/>
          <w:sz w:val="18"/>
          <w:szCs w:val="18"/>
        </w:rPr>
        <w:t xml:space="preserve">                </w:t>
      </w:r>
      <w:r>
        <w:rPr>
          <w:rFonts w:cstheme="minorHAnsi"/>
          <w:b/>
          <w:highlight w:val="yellow"/>
        </w:rPr>
        <w:t xml:space="preserve"> Ratio of time-averaged UPCR or UACR between 12 and 24 months compared with baseline</w:t>
      </w:r>
      <w:r>
        <w:rPr>
          <w:rFonts w:cstheme="minorHAnsi"/>
          <w:b/>
          <w:vertAlign w:val="superscript"/>
        </w:rPr>
        <w:t>116</w:t>
      </w:r>
    </w:p>
    <w:p w:rsidR="00033807" w:rsidRDefault="00C071AF">
      <w:pPr>
        <w:spacing w:after="0"/>
        <w:ind w:left="567"/>
        <w:jc w:val="both"/>
        <w:rPr>
          <w:rFonts w:cstheme="minorHAnsi"/>
        </w:rPr>
      </w:pPr>
      <w:r>
        <w:rPr>
          <w:noProof/>
          <w:lang w:eastAsia="cs-CZ"/>
        </w:rPr>
        <w:drawing>
          <wp:inline distT="0" distB="0" distL="0" distR="0">
            <wp:extent cx="6055995" cy="1492250"/>
            <wp:effectExtent l="0" t="0" r="0" b="0"/>
            <wp:docPr id="15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Obrázek 174"/>
                    <pic:cNvPicPr>
                      <a:picLocks noChangeAspect="1" noChangeArrowheads="1"/>
                    </pic:cNvPicPr>
                  </pic:nvPicPr>
                  <pic:blipFill>
                    <a:blip r:embed="rId40"/>
                    <a:stretch>
                      <a:fillRect/>
                    </a:stretch>
                  </pic:blipFill>
                  <pic:spPr bwMode="auto">
                    <a:xfrm>
                      <a:off x="0" y="0"/>
                      <a:ext cx="6055995" cy="1492250"/>
                    </a:xfrm>
                    <a:prstGeom prst="rect">
                      <a:avLst/>
                    </a:prstGeom>
                  </pic:spPr>
                </pic:pic>
              </a:graphicData>
            </a:graphic>
          </wp:inline>
        </w:drawing>
      </w: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C071AF">
      <w:pPr>
        <w:spacing w:after="0"/>
        <w:jc w:val="both"/>
        <w:rPr>
          <w:rFonts w:cstheme="minorHAnsi"/>
          <w:b/>
        </w:rPr>
      </w:pPr>
      <w:r>
        <w:rPr>
          <w:rFonts w:cstheme="minorHAnsi"/>
        </w:rPr>
        <w:t xml:space="preserve">               </w:t>
      </w:r>
      <w:r>
        <w:rPr>
          <w:rFonts w:cstheme="minorHAnsi"/>
          <w:b/>
          <w:highlight w:val="yellow"/>
        </w:rPr>
        <w:t>Proportion of patients without microhaematuria at baseline and during follow-up</w:t>
      </w:r>
      <w:r>
        <w:rPr>
          <w:rFonts w:cstheme="minorHAnsi"/>
          <w:b/>
          <w:highlight w:val="yellow"/>
          <w:vertAlign w:val="superscript"/>
        </w:rPr>
        <w:t>116</w:t>
      </w:r>
    </w:p>
    <w:p w:rsidR="00033807" w:rsidRDefault="00C071AF">
      <w:pPr>
        <w:spacing w:after="0"/>
        <w:ind w:left="624"/>
        <w:jc w:val="both"/>
        <w:rPr>
          <w:rFonts w:cstheme="minorHAnsi"/>
        </w:rPr>
      </w:pPr>
      <w:r>
        <w:rPr>
          <w:noProof/>
          <w:lang w:eastAsia="cs-CZ"/>
        </w:rPr>
        <w:drawing>
          <wp:inline distT="0" distB="0" distL="0" distR="0">
            <wp:extent cx="5920740" cy="1380490"/>
            <wp:effectExtent l="0" t="0" r="0" b="0"/>
            <wp:docPr id="15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Obrázek 175"/>
                    <pic:cNvPicPr>
                      <a:picLocks noChangeAspect="1" noChangeArrowheads="1"/>
                    </pic:cNvPicPr>
                  </pic:nvPicPr>
                  <pic:blipFill>
                    <a:blip r:embed="rId41"/>
                    <a:stretch>
                      <a:fillRect/>
                    </a:stretch>
                  </pic:blipFill>
                  <pic:spPr bwMode="auto">
                    <a:xfrm>
                      <a:off x="0" y="0"/>
                      <a:ext cx="5920740" cy="1380490"/>
                    </a:xfrm>
                    <a:prstGeom prst="rect">
                      <a:avLst/>
                    </a:prstGeom>
                  </pic:spPr>
                </pic:pic>
              </a:graphicData>
            </a:graphic>
          </wp:inline>
        </w:drawing>
      </w:r>
    </w:p>
    <w:p w:rsidR="00033807" w:rsidRDefault="00C071AF">
      <w:pPr>
        <w:spacing w:after="0"/>
        <w:ind w:left="907"/>
        <w:jc w:val="both"/>
        <w:rPr>
          <w:rFonts w:cstheme="minorHAnsi"/>
        </w:rPr>
      </w:pPr>
      <w:r>
        <w:rPr>
          <w:noProof/>
          <w:lang w:eastAsia="cs-CZ"/>
        </w:rPr>
        <w:drawing>
          <wp:inline distT="0" distB="0" distL="0" distR="0">
            <wp:extent cx="5638800" cy="1061085"/>
            <wp:effectExtent l="0" t="0" r="0" b="0"/>
            <wp:docPr id="15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Obrázek 176"/>
                    <pic:cNvPicPr>
                      <a:picLocks noChangeAspect="1" noChangeArrowheads="1"/>
                    </pic:cNvPicPr>
                  </pic:nvPicPr>
                  <pic:blipFill>
                    <a:blip r:embed="rId42"/>
                    <a:stretch>
                      <a:fillRect/>
                    </a:stretch>
                  </pic:blipFill>
                  <pic:spPr bwMode="auto">
                    <a:xfrm>
                      <a:off x="0" y="0"/>
                      <a:ext cx="5638800" cy="1061085"/>
                    </a:xfrm>
                    <a:prstGeom prst="rect">
                      <a:avLst/>
                    </a:prstGeom>
                  </pic:spPr>
                </pic:pic>
              </a:graphicData>
            </a:graphic>
          </wp:inline>
        </w:drawing>
      </w: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C071AF">
      <w:pPr>
        <w:spacing w:after="0"/>
        <w:jc w:val="center"/>
        <w:rPr>
          <w:b/>
          <w:sz w:val="24"/>
          <w:szCs w:val="24"/>
        </w:rPr>
      </w:pPr>
      <w:r>
        <w:rPr>
          <w:b/>
          <w:sz w:val="28"/>
          <w:szCs w:val="28"/>
          <w:u w:val="single"/>
        </w:rPr>
        <w:t xml:space="preserve">Výsledky parametrů bezpečnosti celé studie </w:t>
      </w:r>
      <w:r>
        <w:rPr>
          <w:rFonts w:cstheme="minorHAnsi"/>
          <w:b/>
          <w:sz w:val="28"/>
          <w:szCs w:val="28"/>
          <w:u w:val="single"/>
        </w:rPr>
        <w:t>NefIgArd</w:t>
      </w:r>
      <w:r>
        <w:rPr>
          <w:rFonts w:cstheme="minorHAnsi"/>
          <w:b/>
          <w:sz w:val="24"/>
          <w:szCs w:val="24"/>
          <w:vertAlign w:val="superscript"/>
        </w:rPr>
        <w:t>116</w:t>
      </w:r>
      <w:r>
        <w:rPr>
          <w:b/>
          <w:sz w:val="24"/>
          <w:szCs w:val="24"/>
        </w:rPr>
        <w:t xml:space="preserve">   </w:t>
      </w:r>
    </w:p>
    <w:p w:rsidR="00033807" w:rsidRDefault="00C071AF">
      <w:pPr>
        <w:spacing w:after="0"/>
        <w:jc w:val="center"/>
        <w:rPr>
          <w:b/>
          <w:color w:val="FF0000"/>
          <w:sz w:val="18"/>
          <w:szCs w:val="18"/>
          <w:u w:val="single"/>
        </w:rPr>
      </w:pPr>
      <w:r>
        <w:rPr>
          <w:b/>
          <w:color w:val="FF0000"/>
          <w:sz w:val="18"/>
          <w:szCs w:val="18"/>
          <w:u w:val="single"/>
        </w:rPr>
        <w:t xml:space="preserve">(Autorem této FE analýzy byly červeně zvýrazněny významnější rozdíly mezi LP KINPEYGO a placebem!)                                                      </w:t>
      </w:r>
    </w:p>
    <w:p w:rsidR="00033807" w:rsidRDefault="00C071AF">
      <w:pPr>
        <w:spacing w:after="0"/>
        <w:jc w:val="both"/>
        <w:rPr>
          <w:b/>
          <w:sz w:val="16"/>
          <w:szCs w:val="16"/>
        </w:rPr>
      </w:pPr>
      <w:r>
        <w:rPr>
          <w:b/>
          <w:sz w:val="24"/>
          <w:szCs w:val="24"/>
        </w:rPr>
        <w:t xml:space="preserve">                     </w:t>
      </w:r>
    </w:p>
    <w:p w:rsidR="00033807" w:rsidRDefault="00C071AF">
      <w:pPr>
        <w:spacing w:after="0"/>
        <w:jc w:val="both"/>
        <w:rPr>
          <w:rFonts w:cstheme="minorHAnsi"/>
          <w:b/>
        </w:rPr>
      </w:pPr>
      <w:r>
        <w:rPr>
          <w:b/>
          <w:sz w:val="24"/>
          <w:szCs w:val="24"/>
        </w:rPr>
        <w:t xml:space="preserve">                   </w:t>
      </w:r>
      <w:r>
        <w:rPr>
          <w:b/>
        </w:rPr>
        <w:t xml:space="preserve"> část A studie </w:t>
      </w:r>
      <w:r>
        <w:rPr>
          <w:rFonts w:cstheme="minorHAnsi"/>
          <w:b/>
        </w:rPr>
        <w:t>NefIgArd</w:t>
      </w:r>
      <w:r>
        <w:rPr>
          <w:rFonts w:cstheme="minorHAnsi"/>
          <w:b/>
          <w:vertAlign w:val="superscript"/>
        </w:rPr>
        <w:t>111</w:t>
      </w:r>
      <w:r>
        <w:rPr>
          <w:b/>
        </w:rPr>
        <w:t xml:space="preserve">                                                         celá studie </w:t>
      </w:r>
      <w:r>
        <w:rPr>
          <w:rFonts w:cstheme="minorHAnsi"/>
          <w:b/>
        </w:rPr>
        <w:t>NefIgArd</w:t>
      </w:r>
      <w:r>
        <w:rPr>
          <w:rFonts w:cstheme="minorHAnsi"/>
          <w:b/>
          <w:vertAlign w:val="superscript"/>
        </w:rPr>
        <w:t>116</w:t>
      </w:r>
    </w:p>
    <w:p w:rsidR="00033807" w:rsidRDefault="00033807">
      <w:pPr>
        <w:spacing w:after="0"/>
        <w:jc w:val="both"/>
        <w:rPr>
          <w:rFonts w:cstheme="minorHAnsi"/>
          <w:sz w:val="2"/>
          <w:szCs w:val="2"/>
        </w:rPr>
      </w:pPr>
    </w:p>
    <w:p w:rsidR="00033807" w:rsidRDefault="00C071AF">
      <w:pPr>
        <w:spacing w:after="0"/>
        <w:jc w:val="both"/>
        <w:rPr>
          <w:rFonts w:cstheme="minorHAnsi"/>
        </w:rPr>
      </w:pPr>
      <w:r>
        <w:rPr>
          <w:noProof/>
          <w:lang w:eastAsia="cs-CZ"/>
        </w:rPr>
        <w:drawing>
          <wp:inline distT="0" distB="0" distL="0" distR="0">
            <wp:extent cx="6840855" cy="4606290"/>
            <wp:effectExtent l="0" t="0" r="0" b="0"/>
            <wp:docPr id="157"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Obrázek 159"/>
                    <pic:cNvPicPr>
                      <a:picLocks noChangeAspect="1" noChangeArrowheads="1"/>
                    </pic:cNvPicPr>
                  </pic:nvPicPr>
                  <pic:blipFill>
                    <a:blip r:embed="rId43"/>
                    <a:stretch>
                      <a:fillRect/>
                    </a:stretch>
                  </pic:blipFill>
                  <pic:spPr bwMode="auto">
                    <a:xfrm>
                      <a:off x="0" y="0"/>
                      <a:ext cx="6840855" cy="4606290"/>
                    </a:xfrm>
                    <a:prstGeom prst="rect">
                      <a:avLst/>
                    </a:prstGeom>
                  </pic:spPr>
                </pic:pic>
              </a:graphicData>
            </a:graphic>
          </wp:inline>
        </w:drawing>
      </w:r>
    </w:p>
    <w:p w:rsidR="00033807" w:rsidRDefault="00033807">
      <w:pPr>
        <w:spacing w:after="0"/>
        <w:jc w:val="both"/>
        <w:rPr>
          <w:rFonts w:cstheme="minorHAnsi"/>
        </w:rPr>
      </w:pPr>
    </w:p>
    <w:p w:rsidR="00033807" w:rsidRDefault="00C071AF">
      <w:pPr>
        <w:spacing w:after="0"/>
        <w:jc w:val="both"/>
        <w:rPr>
          <w:rFonts w:cstheme="minorHAnsi"/>
          <w:b/>
        </w:rPr>
      </w:pPr>
      <w:r>
        <w:rPr>
          <w:noProof/>
          <w:lang w:eastAsia="cs-CZ"/>
        </w:rPr>
        <w:drawing>
          <wp:inline distT="0" distB="0" distL="0" distR="0">
            <wp:extent cx="6831965" cy="3398520"/>
            <wp:effectExtent l="0" t="0" r="0" b="0"/>
            <wp:docPr id="158"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Obrázek 181"/>
                    <pic:cNvPicPr>
                      <a:picLocks noChangeAspect="1" noChangeArrowheads="1"/>
                    </pic:cNvPicPr>
                  </pic:nvPicPr>
                  <pic:blipFill>
                    <a:blip r:embed="rId44"/>
                    <a:stretch>
                      <a:fillRect/>
                    </a:stretch>
                  </pic:blipFill>
                  <pic:spPr bwMode="auto">
                    <a:xfrm>
                      <a:off x="0" y="0"/>
                      <a:ext cx="6831965" cy="3398520"/>
                    </a:xfrm>
                    <a:prstGeom prst="rect">
                      <a:avLst/>
                    </a:prstGeom>
                  </pic:spPr>
                </pic:pic>
              </a:graphicData>
            </a:graphic>
          </wp:inline>
        </w:drawing>
      </w:r>
    </w:p>
    <w:p w:rsidR="00033807" w:rsidRDefault="00033807">
      <w:pPr>
        <w:spacing w:after="0"/>
        <w:jc w:val="both"/>
        <w:rPr>
          <w:rFonts w:cstheme="minorHAnsi"/>
          <w:b/>
        </w:rPr>
      </w:pPr>
    </w:p>
    <w:p w:rsidR="00033807" w:rsidRDefault="00033807">
      <w:pPr>
        <w:spacing w:after="0"/>
        <w:jc w:val="both"/>
        <w:rPr>
          <w:rFonts w:cstheme="minorHAnsi"/>
          <w:b/>
        </w:rPr>
      </w:pPr>
    </w:p>
    <w:p w:rsidR="00033807" w:rsidRDefault="00033807">
      <w:pPr>
        <w:spacing w:after="0"/>
        <w:jc w:val="both"/>
        <w:rPr>
          <w:rFonts w:cstheme="minorHAnsi"/>
          <w:b/>
        </w:rPr>
      </w:pPr>
    </w:p>
    <w:p w:rsidR="00033807" w:rsidRDefault="00033807">
      <w:pPr>
        <w:spacing w:after="0"/>
        <w:jc w:val="both"/>
        <w:rPr>
          <w:rFonts w:cstheme="minorHAnsi"/>
          <w:b/>
        </w:rPr>
      </w:pPr>
    </w:p>
    <w:p w:rsidR="00033807" w:rsidRDefault="00C071AF">
      <w:pPr>
        <w:spacing w:after="0"/>
        <w:jc w:val="center"/>
        <w:rPr>
          <w:rFonts w:cstheme="minorHAnsi"/>
          <w:b/>
        </w:rPr>
      </w:pPr>
      <w:r>
        <w:rPr>
          <w:b/>
          <w:sz w:val="28"/>
          <w:szCs w:val="28"/>
          <w:u w:val="single"/>
        </w:rPr>
        <w:t xml:space="preserve">Výsledky parametrů účinnosti a bezpečnosti studie </w:t>
      </w:r>
      <w:r>
        <w:rPr>
          <w:rFonts w:cstheme="minorHAnsi"/>
          <w:b/>
          <w:sz w:val="28"/>
          <w:szCs w:val="28"/>
          <w:u w:val="single"/>
        </w:rPr>
        <w:t>NEFIGAN</w:t>
      </w:r>
      <w:r>
        <w:rPr>
          <w:rFonts w:cstheme="minorHAnsi"/>
          <w:b/>
          <w:sz w:val="24"/>
          <w:szCs w:val="24"/>
          <w:vertAlign w:val="superscript"/>
        </w:rPr>
        <w:t>117</w:t>
      </w:r>
    </w:p>
    <w:p w:rsidR="00033807" w:rsidRDefault="00C071AF">
      <w:pPr>
        <w:jc w:val="center"/>
        <w:rPr>
          <w:rFonts w:cstheme="minorHAnsi"/>
          <w:b/>
          <w:color w:val="FF0000"/>
          <w:sz w:val="18"/>
          <w:szCs w:val="18"/>
        </w:rPr>
      </w:pPr>
      <w:r>
        <w:rPr>
          <w:rFonts w:cstheme="minorHAnsi"/>
          <w:b/>
          <w:color w:val="FF0000"/>
          <w:sz w:val="18"/>
          <w:szCs w:val="18"/>
        </w:rPr>
        <w:t>(CAVE! klinické studii NefIgArd (viz výše) předcházela tato studie fáze IIb s názvem NEFIGAN (jejíž výsledky byly publikovány v roce 2017) - s</w:t>
      </w:r>
      <w:r>
        <w:rPr>
          <w:rFonts w:cstheme="minorHAnsi"/>
          <w:b/>
          <w:bCs/>
          <w:color w:val="FF0000"/>
          <w:sz w:val="18"/>
          <w:szCs w:val="18"/>
        </w:rPr>
        <w:t>tudie NEFIGAN představovala podpůrnou randomizovanou, placebem kontrolovanou, multicentrickou, klinickou studii, která hodnotila účinnost a bezpečnost dvou dávek LP KINPEYGO u dospělých pacientů s primární IgAN a se zjevnou proteinurií</w:t>
      </w:r>
      <w:r>
        <w:rPr>
          <w:rFonts w:cstheme="minorHAnsi"/>
          <w:b/>
          <w:bCs/>
          <w:color w:val="FF0000"/>
          <w:sz w:val="18"/>
          <w:szCs w:val="18"/>
          <w:vertAlign w:val="superscript"/>
        </w:rPr>
        <w:t>5</w:t>
      </w:r>
      <w:r>
        <w:rPr>
          <w:rFonts w:cstheme="minorHAnsi"/>
          <w:b/>
          <w:bCs/>
          <w:color w:val="FF0000"/>
          <w:sz w:val="18"/>
          <w:szCs w:val="18"/>
        </w:rPr>
        <w:t>!)</w:t>
      </w:r>
    </w:p>
    <w:p w:rsidR="00033807" w:rsidRDefault="00C071AF">
      <w:pPr>
        <w:spacing w:after="0"/>
        <w:jc w:val="both"/>
        <w:rPr>
          <w:rFonts w:cstheme="minorHAnsi"/>
          <w:b/>
        </w:rPr>
      </w:pPr>
      <w:r>
        <w:rPr>
          <w:noProof/>
          <w:lang w:eastAsia="cs-CZ"/>
        </w:rPr>
        <w:drawing>
          <wp:inline distT="0" distB="0" distL="0" distR="0">
            <wp:extent cx="6840855" cy="3364230"/>
            <wp:effectExtent l="0" t="0" r="0" b="0"/>
            <wp:docPr id="159"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Obrázek 182"/>
                    <pic:cNvPicPr>
                      <a:picLocks noChangeAspect="1" noChangeArrowheads="1"/>
                    </pic:cNvPicPr>
                  </pic:nvPicPr>
                  <pic:blipFill>
                    <a:blip r:embed="rId45"/>
                    <a:stretch>
                      <a:fillRect/>
                    </a:stretch>
                  </pic:blipFill>
                  <pic:spPr bwMode="auto">
                    <a:xfrm>
                      <a:off x="0" y="0"/>
                      <a:ext cx="6840855" cy="3364230"/>
                    </a:xfrm>
                    <a:prstGeom prst="rect">
                      <a:avLst/>
                    </a:prstGeom>
                  </pic:spPr>
                </pic:pic>
              </a:graphicData>
            </a:graphic>
          </wp:inline>
        </w:drawing>
      </w:r>
    </w:p>
    <w:p w:rsidR="00033807" w:rsidRDefault="00033807">
      <w:pPr>
        <w:spacing w:after="0"/>
        <w:jc w:val="both"/>
        <w:rPr>
          <w:rFonts w:cstheme="minorHAnsi"/>
          <w:b/>
        </w:rPr>
      </w:pPr>
    </w:p>
    <w:p w:rsidR="00033807" w:rsidRDefault="00033807">
      <w:pPr>
        <w:spacing w:after="0"/>
        <w:jc w:val="both"/>
        <w:rPr>
          <w:rFonts w:cstheme="minorHAnsi"/>
          <w:b/>
        </w:rPr>
      </w:pPr>
    </w:p>
    <w:p w:rsidR="00033807" w:rsidRDefault="00C071AF">
      <w:pPr>
        <w:spacing w:after="0"/>
        <w:jc w:val="both"/>
        <w:rPr>
          <w:rFonts w:cstheme="minorHAnsi"/>
          <w:b/>
        </w:rPr>
      </w:pPr>
      <w:r>
        <w:rPr>
          <w:noProof/>
          <w:lang w:eastAsia="cs-CZ"/>
        </w:rPr>
        <w:drawing>
          <wp:inline distT="0" distB="0" distL="0" distR="0">
            <wp:extent cx="6831965" cy="569595"/>
            <wp:effectExtent l="0" t="0" r="0" b="0"/>
            <wp:docPr id="160"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Obrázek 184"/>
                    <pic:cNvPicPr>
                      <a:picLocks noChangeAspect="1" noChangeArrowheads="1"/>
                    </pic:cNvPicPr>
                  </pic:nvPicPr>
                  <pic:blipFill>
                    <a:blip r:embed="rId46"/>
                    <a:stretch>
                      <a:fillRect/>
                    </a:stretch>
                  </pic:blipFill>
                  <pic:spPr bwMode="auto">
                    <a:xfrm>
                      <a:off x="0" y="0"/>
                      <a:ext cx="6831965" cy="569595"/>
                    </a:xfrm>
                    <a:prstGeom prst="rect">
                      <a:avLst/>
                    </a:prstGeom>
                  </pic:spPr>
                </pic:pic>
              </a:graphicData>
            </a:graphic>
          </wp:inline>
        </w:drawing>
      </w:r>
    </w:p>
    <w:p w:rsidR="00033807" w:rsidRDefault="00C071AF">
      <w:pPr>
        <w:spacing w:after="0"/>
        <w:jc w:val="both"/>
        <w:rPr>
          <w:rFonts w:cstheme="minorHAnsi"/>
          <w:b/>
        </w:rPr>
      </w:pPr>
      <w:r>
        <w:rPr>
          <w:noProof/>
          <w:lang w:eastAsia="cs-CZ"/>
        </w:rPr>
        <w:drawing>
          <wp:inline distT="0" distB="0" distL="0" distR="0">
            <wp:extent cx="6831965" cy="4218305"/>
            <wp:effectExtent l="0" t="0" r="0" b="0"/>
            <wp:docPr id="161"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Obrázek 183"/>
                    <pic:cNvPicPr>
                      <a:picLocks noChangeAspect="1" noChangeArrowheads="1"/>
                    </pic:cNvPicPr>
                  </pic:nvPicPr>
                  <pic:blipFill>
                    <a:blip r:embed="rId47"/>
                    <a:stretch>
                      <a:fillRect/>
                    </a:stretch>
                  </pic:blipFill>
                  <pic:spPr bwMode="auto">
                    <a:xfrm>
                      <a:off x="0" y="0"/>
                      <a:ext cx="6831965" cy="4218305"/>
                    </a:xfrm>
                    <a:prstGeom prst="rect">
                      <a:avLst/>
                    </a:prstGeom>
                  </pic:spPr>
                </pic:pic>
              </a:graphicData>
            </a:graphic>
          </wp:inline>
        </w:drawing>
      </w:r>
    </w:p>
    <w:p w:rsidR="00033807" w:rsidRDefault="00C071AF">
      <w:pPr>
        <w:spacing w:after="0"/>
        <w:jc w:val="both"/>
        <w:rPr>
          <w:rFonts w:cstheme="minorHAnsi"/>
          <w:b/>
        </w:rPr>
      </w:pPr>
      <w:r>
        <w:rPr>
          <w:noProof/>
          <w:lang w:eastAsia="cs-CZ"/>
        </w:rPr>
        <w:drawing>
          <wp:inline distT="0" distB="0" distL="0" distR="0">
            <wp:extent cx="6831965" cy="293370"/>
            <wp:effectExtent l="0" t="0" r="0" b="0"/>
            <wp:docPr id="162"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Obrázek 185"/>
                    <pic:cNvPicPr>
                      <a:picLocks noChangeAspect="1" noChangeArrowheads="1"/>
                    </pic:cNvPicPr>
                  </pic:nvPicPr>
                  <pic:blipFill>
                    <a:blip r:embed="rId48"/>
                    <a:stretch>
                      <a:fillRect/>
                    </a:stretch>
                  </pic:blipFill>
                  <pic:spPr bwMode="auto">
                    <a:xfrm>
                      <a:off x="0" y="0"/>
                      <a:ext cx="6831965" cy="293370"/>
                    </a:xfrm>
                    <a:prstGeom prst="rect">
                      <a:avLst/>
                    </a:prstGeom>
                  </pic:spPr>
                </pic:pic>
              </a:graphicData>
            </a:graphic>
          </wp:inline>
        </w:drawing>
      </w:r>
    </w:p>
    <w:p w:rsidR="00362DCA" w:rsidRDefault="00362DCA">
      <w:pPr>
        <w:spacing w:after="0"/>
        <w:jc w:val="both"/>
        <w:rPr>
          <w:rFonts w:cstheme="minorHAnsi"/>
          <w:b/>
        </w:rPr>
      </w:pPr>
    </w:p>
    <w:p w:rsidR="00033807" w:rsidRDefault="00C071AF">
      <w:pPr>
        <w:spacing w:after="0"/>
        <w:jc w:val="both"/>
        <w:rPr>
          <w:rFonts w:cstheme="minorHAnsi"/>
        </w:rPr>
      </w:pPr>
      <w:r>
        <w:rPr>
          <w:rFonts w:cstheme="minorHAnsi"/>
          <w:b/>
        </w:rPr>
        <w:t xml:space="preserve">Příloha č. 23: </w:t>
      </w:r>
      <w:r>
        <w:rPr>
          <w:rFonts w:cstheme="minorHAnsi"/>
        </w:rPr>
        <w:t>výsledky účinnosti 2 hlavních studií se systémovými kortikosteroidy (viz výše pozn. 29, 97 a Přílohu č. 22</w:t>
      </w:r>
      <w:r w:rsidR="00983F86">
        <w:rPr>
          <w:rFonts w:cstheme="minorHAnsi"/>
        </w:rPr>
        <w:t xml:space="preserve">, </w:t>
      </w:r>
      <w:r w:rsidR="00983F86" w:rsidRPr="00983F86">
        <w:rPr>
          <w:rFonts w:cstheme="minorHAnsi"/>
          <w:b/>
        </w:rPr>
        <w:t>CAVE! viz podrobněji Přílohu č. 29 s výsledky metaanalýzy!</w:t>
      </w:r>
      <w:r>
        <w:rPr>
          <w:rFonts w:cstheme="minorHAnsi"/>
        </w:rPr>
        <w:t>) – upraveno dle zdrojů uvedených výše pod pozn. 128, 130 a 132</w:t>
      </w:r>
    </w:p>
    <w:p w:rsidR="00033807" w:rsidRPr="00983F86" w:rsidRDefault="00033807">
      <w:pPr>
        <w:spacing w:after="0"/>
        <w:jc w:val="both"/>
        <w:rPr>
          <w:rFonts w:cstheme="minorHAnsi"/>
          <w:sz w:val="10"/>
          <w:szCs w:val="10"/>
        </w:rPr>
      </w:pPr>
    </w:p>
    <w:p w:rsidR="00033807" w:rsidRDefault="00033807">
      <w:pPr>
        <w:spacing w:after="0"/>
        <w:jc w:val="both"/>
        <w:rPr>
          <w:rFonts w:cstheme="minorHAnsi"/>
          <w:sz w:val="6"/>
          <w:szCs w:val="6"/>
        </w:rPr>
      </w:pPr>
    </w:p>
    <w:p w:rsidR="00033807" w:rsidRDefault="00C071AF">
      <w:pPr>
        <w:spacing w:after="0"/>
        <w:jc w:val="both"/>
        <w:rPr>
          <w:rFonts w:cstheme="minorHAnsi"/>
        </w:rPr>
      </w:pPr>
      <w:r>
        <w:rPr>
          <w:noProof/>
          <w:lang w:eastAsia="cs-CZ"/>
        </w:rPr>
        <w:drawing>
          <wp:inline distT="0" distB="0" distL="0" distR="0">
            <wp:extent cx="6831965" cy="690245"/>
            <wp:effectExtent l="0" t="0" r="0" b="0"/>
            <wp:docPr id="183" name="Obrázek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Obrázek44"/>
                    <pic:cNvPicPr>
                      <a:picLocks noChangeAspect="1" noChangeArrowheads="1"/>
                    </pic:cNvPicPr>
                  </pic:nvPicPr>
                  <pic:blipFill>
                    <a:blip r:embed="rId49"/>
                    <a:stretch>
                      <a:fillRect/>
                    </a:stretch>
                  </pic:blipFill>
                  <pic:spPr bwMode="auto">
                    <a:xfrm>
                      <a:off x="0" y="0"/>
                      <a:ext cx="6831965" cy="690245"/>
                    </a:xfrm>
                    <a:prstGeom prst="rect">
                      <a:avLst/>
                    </a:prstGeom>
                  </pic:spPr>
                </pic:pic>
              </a:graphicData>
            </a:graphic>
          </wp:inline>
        </w:drawing>
      </w:r>
    </w:p>
    <w:p w:rsidR="00033807" w:rsidRDefault="00033807">
      <w:pPr>
        <w:spacing w:after="0"/>
        <w:jc w:val="both"/>
        <w:rPr>
          <w:rFonts w:cstheme="minorHAnsi"/>
          <w:sz w:val="6"/>
          <w:szCs w:val="6"/>
        </w:rPr>
      </w:pPr>
    </w:p>
    <w:p w:rsidR="00033807" w:rsidRDefault="00C071AF">
      <w:pPr>
        <w:spacing w:after="0"/>
        <w:jc w:val="both"/>
        <w:rPr>
          <w:rFonts w:cstheme="minorHAnsi"/>
        </w:rPr>
      </w:pPr>
      <w:r>
        <w:rPr>
          <w:noProof/>
          <w:lang w:eastAsia="cs-CZ"/>
        </w:rPr>
        <w:drawing>
          <wp:inline distT="0" distB="0" distL="0" distR="0">
            <wp:extent cx="6840855" cy="4399280"/>
            <wp:effectExtent l="0" t="0" r="0" b="0"/>
            <wp:docPr id="184" name="Obrázek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Obrázek45"/>
                    <pic:cNvPicPr>
                      <a:picLocks noChangeAspect="1" noChangeArrowheads="1"/>
                    </pic:cNvPicPr>
                  </pic:nvPicPr>
                  <pic:blipFill>
                    <a:blip r:embed="rId50"/>
                    <a:stretch>
                      <a:fillRect/>
                    </a:stretch>
                  </pic:blipFill>
                  <pic:spPr bwMode="auto">
                    <a:xfrm>
                      <a:off x="0" y="0"/>
                      <a:ext cx="6840855" cy="4399280"/>
                    </a:xfrm>
                    <a:prstGeom prst="rect">
                      <a:avLst/>
                    </a:prstGeom>
                  </pic:spPr>
                </pic:pic>
              </a:graphicData>
            </a:graphic>
          </wp:inline>
        </w:drawing>
      </w:r>
    </w:p>
    <w:p w:rsidR="00033807" w:rsidRDefault="00C071AF">
      <w:pPr>
        <w:spacing w:after="0"/>
        <w:jc w:val="both"/>
        <w:rPr>
          <w:rFonts w:cstheme="minorHAnsi"/>
        </w:rPr>
      </w:pPr>
      <w:r>
        <w:rPr>
          <w:noProof/>
          <w:lang w:eastAsia="cs-CZ"/>
        </w:rPr>
        <w:drawing>
          <wp:inline distT="0" distB="0" distL="0" distR="0">
            <wp:extent cx="6840855" cy="1578610"/>
            <wp:effectExtent l="0" t="0" r="0" b="0"/>
            <wp:docPr id="185" name="Obrázek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Obrázek46"/>
                    <pic:cNvPicPr>
                      <a:picLocks noChangeAspect="1" noChangeArrowheads="1"/>
                    </pic:cNvPicPr>
                  </pic:nvPicPr>
                  <pic:blipFill>
                    <a:blip r:embed="rId51"/>
                    <a:stretch>
                      <a:fillRect/>
                    </a:stretch>
                  </pic:blipFill>
                  <pic:spPr bwMode="auto">
                    <a:xfrm>
                      <a:off x="0" y="0"/>
                      <a:ext cx="6840855" cy="1578610"/>
                    </a:xfrm>
                    <a:prstGeom prst="rect">
                      <a:avLst/>
                    </a:prstGeom>
                  </pic:spPr>
                </pic:pic>
              </a:graphicData>
            </a:graphic>
          </wp:inline>
        </w:drawing>
      </w: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C071AF">
      <w:pPr>
        <w:spacing w:after="0"/>
        <w:jc w:val="both"/>
        <w:rPr>
          <w:rFonts w:cstheme="minorHAnsi"/>
        </w:rPr>
      </w:pPr>
      <w:r>
        <w:rPr>
          <w:noProof/>
          <w:lang w:eastAsia="cs-CZ"/>
        </w:rPr>
        <w:drawing>
          <wp:inline distT="0" distB="0" distL="0" distR="0">
            <wp:extent cx="6838950" cy="352425"/>
            <wp:effectExtent l="0" t="0" r="0" b="0"/>
            <wp:docPr id="1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Obrázek 86"/>
                    <pic:cNvPicPr>
                      <a:picLocks noChangeAspect="1" noChangeArrowheads="1"/>
                    </pic:cNvPicPr>
                  </pic:nvPicPr>
                  <pic:blipFill>
                    <a:blip r:embed="rId52"/>
                    <a:stretch>
                      <a:fillRect/>
                    </a:stretch>
                  </pic:blipFill>
                  <pic:spPr bwMode="auto">
                    <a:xfrm>
                      <a:off x="0" y="0"/>
                      <a:ext cx="6838950" cy="352425"/>
                    </a:xfrm>
                    <a:prstGeom prst="rect">
                      <a:avLst/>
                    </a:prstGeom>
                  </pic:spPr>
                </pic:pic>
              </a:graphicData>
            </a:graphic>
          </wp:inline>
        </w:drawing>
      </w:r>
    </w:p>
    <w:p w:rsidR="00033807" w:rsidRDefault="00033807">
      <w:pPr>
        <w:spacing w:after="0"/>
        <w:jc w:val="both"/>
        <w:rPr>
          <w:rFonts w:cstheme="minorHAnsi"/>
        </w:rPr>
      </w:pPr>
    </w:p>
    <w:p w:rsidR="00033807" w:rsidRDefault="00033807">
      <w:pPr>
        <w:spacing w:after="0"/>
        <w:jc w:val="both"/>
        <w:rPr>
          <w:rFonts w:cstheme="minorHAnsi"/>
          <w:sz w:val="4"/>
          <w:szCs w:val="4"/>
        </w:rPr>
      </w:pPr>
    </w:p>
    <w:p w:rsidR="00033807" w:rsidRDefault="00C071AF">
      <w:pPr>
        <w:spacing w:after="0"/>
        <w:jc w:val="both"/>
        <w:rPr>
          <w:rFonts w:cstheme="minorHAnsi"/>
        </w:rPr>
      </w:pPr>
      <w:r>
        <w:rPr>
          <w:noProof/>
          <w:lang w:eastAsia="cs-CZ"/>
        </w:rPr>
        <w:drawing>
          <wp:inline distT="0" distB="0" distL="0" distR="0">
            <wp:extent cx="6858000" cy="1162050"/>
            <wp:effectExtent l="0" t="0" r="0" b="0"/>
            <wp:docPr id="187"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Obrázek 82"/>
                    <pic:cNvPicPr>
                      <a:picLocks noChangeAspect="1" noChangeArrowheads="1"/>
                    </pic:cNvPicPr>
                  </pic:nvPicPr>
                  <pic:blipFill>
                    <a:blip r:embed="rId53"/>
                    <a:stretch>
                      <a:fillRect/>
                    </a:stretch>
                  </pic:blipFill>
                  <pic:spPr bwMode="auto">
                    <a:xfrm>
                      <a:off x="0" y="0"/>
                      <a:ext cx="6858000" cy="1162050"/>
                    </a:xfrm>
                    <a:prstGeom prst="rect">
                      <a:avLst/>
                    </a:prstGeom>
                  </pic:spPr>
                </pic:pic>
              </a:graphicData>
            </a:graphic>
          </wp:inline>
        </w:drawing>
      </w:r>
    </w:p>
    <w:p w:rsidR="00033807" w:rsidRDefault="00C071AF">
      <w:pPr>
        <w:spacing w:after="0"/>
        <w:ind w:left="283"/>
        <w:jc w:val="both"/>
        <w:rPr>
          <w:rFonts w:cstheme="minorHAnsi"/>
        </w:rPr>
      </w:pPr>
      <w:r>
        <w:rPr>
          <w:noProof/>
          <w:lang w:eastAsia="cs-CZ"/>
        </w:rPr>
        <w:drawing>
          <wp:inline distT="0" distB="0" distL="0" distR="0">
            <wp:extent cx="6534150" cy="542925"/>
            <wp:effectExtent l="0" t="0" r="0" b="0"/>
            <wp:docPr id="188"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Obrázek 84"/>
                    <pic:cNvPicPr>
                      <a:picLocks noChangeAspect="1" noChangeArrowheads="1"/>
                    </pic:cNvPicPr>
                  </pic:nvPicPr>
                  <pic:blipFill>
                    <a:blip r:embed="rId54"/>
                    <a:stretch>
                      <a:fillRect/>
                    </a:stretch>
                  </pic:blipFill>
                  <pic:spPr bwMode="auto">
                    <a:xfrm>
                      <a:off x="0" y="0"/>
                      <a:ext cx="6534150" cy="542925"/>
                    </a:xfrm>
                    <a:prstGeom prst="rect">
                      <a:avLst/>
                    </a:prstGeom>
                  </pic:spPr>
                </pic:pic>
              </a:graphicData>
            </a:graphic>
          </wp:inline>
        </w:drawing>
      </w:r>
    </w:p>
    <w:p w:rsidR="00033807" w:rsidRDefault="00033807">
      <w:pPr>
        <w:spacing w:after="0"/>
        <w:jc w:val="both"/>
        <w:rPr>
          <w:rFonts w:cstheme="minorHAnsi"/>
        </w:rPr>
      </w:pPr>
    </w:p>
    <w:p w:rsidR="00033807" w:rsidRDefault="00033807">
      <w:pPr>
        <w:spacing w:after="0"/>
        <w:jc w:val="both"/>
        <w:rPr>
          <w:rFonts w:cstheme="minorHAnsi"/>
        </w:rPr>
      </w:pPr>
    </w:p>
    <w:p w:rsidR="00033807" w:rsidRDefault="00C071AF">
      <w:pPr>
        <w:spacing w:after="0"/>
        <w:jc w:val="both"/>
        <w:rPr>
          <w:rFonts w:cstheme="minorHAnsi"/>
        </w:rPr>
      </w:pPr>
      <w:r>
        <w:rPr>
          <w:noProof/>
          <w:lang w:eastAsia="cs-CZ"/>
        </w:rPr>
        <w:drawing>
          <wp:inline distT="0" distB="0" distL="0" distR="0">
            <wp:extent cx="6838950" cy="5095875"/>
            <wp:effectExtent l="0" t="0" r="0" b="0"/>
            <wp:docPr id="189"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Obrázek 85"/>
                    <pic:cNvPicPr>
                      <a:picLocks noChangeAspect="1" noChangeArrowheads="1"/>
                    </pic:cNvPicPr>
                  </pic:nvPicPr>
                  <pic:blipFill>
                    <a:blip r:embed="rId55"/>
                    <a:stretch>
                      <a:fillRect/>
                    </a:stretch>
                  </pic:blipFill>
                  <pic:spPr bwMode="auto">
                    <a:xfrm>
                      <a:off x="0" y="0"/>
                      <a:ext cx="6838950" cy="5095875"/>
                    </a:xfrm>
                    <a:prstGeom prst="rect">
                      <a:avLst/>
                    </a:prstGeom>
                  </pic:spPr>
                </pic:pic>
              </a:graphicData>
            </a:graphic>
          </wp:inline>
        </w:drawing>
      </w: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C071AF">
      <w:pPr>
        <w:spacing w:after="0"/>
        <w:jc w:val="both"/>
        <w:rPr>
          <w:rFonts w:cstheme="minorHAnsi"/>
        </w:rPr>
      </w:pPr>
      <w:r>
        <w:rPr>
          <w:noProof/>
          <w:lang w:eastAsia="cs-CZ"/>
        </w:rPr>
        <w:drawing>
          <wp:inline distT="0" distB="0" distL="0" distR="0">
            <wp:extent cx="6838950" cy="323850"/>
            <wp:effectExtent l="0" t="0" r="0" b="0"/>
            <wp:docPr id="190"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Obrázek 88"/>
                    <pic:cNvPicPr>
                      <a:picLocks noChangeAspect="1" noChangeArrowheads="1"/>
                    </pic:cNvPicPr>
                  </pic:nvPicPr>
                  <pic:blipFill>
                    <a:blip r:embed="rId56"/>
                    <a:stretch>
                      <a:fillRect/>
                    </a:stretch>
                  </pic:blipFill>
                  <pic:spPr bwMode="auto">
                    <a:xfrm>
                      <a:off x="0" y="0"/>
                      <a:ext cx="6838950" cy="323850"/>
                    </a:xfrm>
                    <a:prstGeom prst="rect">
                      <a:avLst/>
                    </a:prstGeom>
                  </pic:spPr>
                </pic:pic>
              </a:graphicData>
            </a:graphic>
          </wp:inline>
        </w:drawing>
      </w:r>
    </w:p>
    <w:p w:rsidR="00033807" w:rsidRDefault="00033807">
      <w:pPr>
        <w:spacing w:after="0"/>
        <w:jc w:val="both"/>
        <w:rPr>
          <w:rFonts w:cstheme="minorHAnsi"/>
          <w:sz w:val="6"/>
          <w:szCs w:val="6"/>
        </w:rPr>
      </w:pPr>
    </w:p>
    <w:p w:rsidR="00033807" w:rsidRDefault="00C071AF">
      <w:pPr>
        <w:spacing w:after="0"/>
        <w:jc w:val="both"/>
        <w:rPr>
          <w:rFonts w:cstheme="minorHAnsi"/>
        </w:rPr>
      </w:pPr>
      <w:r>
        <w:rPr>
          <w:noProof/>
          <w:lang w:eastAsia="cs-CZ"/>
        </w:rPr>
        <w:drawing>
          <wp:inline distT="0" distB="0" distL="0" distR="0">
            <wp:extent cx="6829425" cy="4619625"/>
            <wp:effectExtent l="0" t="0" r="0" b="0"/>
            <wp:docPr id="191"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Obrázek 89"/>
                    <pic:cNvPicPr>
                      <a:picLocks noChangeAspect="1" noChangeArrowheads="1"/>
                    </pic:cNvPicPr>
                  </pic:nvPicPr>
                  <pic:blipFill>
                    <a:blip r:embed="rId57"/>
                    <a:stretch>
                      <a:fillRect/>
                    </a:stretch>
                  </pic:blipFill>
                  <pic:spPr bwMode="auto">
                    <a:xfrm>
                      <a:off x="0" y="0"/>
                      <a:ext cx="6829425" cy="4619625"/>
                    </a:xfrm>
                    <a:prstGeom prst="rect">
                      <a:avLst/>
                    </a:prstGeom>
                  </pic:spPr>
                </pic:pic>
              </a:graphicData>
            </a:graphic>
          </wp:inline>
        </w:drawing>
      </w: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C071AF">
      <w:pPr>
        <w:spacing w:after="0"/>
        <w:jc w:val="both"/>
        <w:rPr>
          <w:rFonts w:cstheme="minorHAnsi"/>
        </w:rPr>
      </w:pPr>
      <w:r>
        <w:rPr>
          <w:noProof/>
          <w:lang w:eastAsia="cs-CZ"/>
        </w:rPr>
        <w:drawing>
          <wp:inline distT="0" distB="0" distL="0" distR="0">
            <wp:extent cx="6831965" cy="387985"/>
            <wp:effectExtent l="0" t="0" r="0" b="0"/>
            <wp:docPr id="19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Obrázek 42"/>
                    <pic:cNvPicPr>
                      <a:picLocks noChangeAspect="1" noChangeArrowheads="1"/>
                    </pic:cNvPicPr>
                  </pic:nvPicPr>
                  <pic:blipFill>
                    <a:blip r:embed="rId58"/>
                    <a:stretch>
                      <a:fillRect/>
                    </a:stretch>
                  </pic:blipFill>
                  <pic:spPr bwMode="auto">
                    <a:xfrm>
                      <a:off x="0" y="0"/>
                      <a:ext cx="6831965" cy="387985"/>
                    </a:xfrm>
                    <a:prstGeom prst="rect">
                      <a:avLst/>
                    </a:prstGeom>
                  </pic:spPr>
                </pic:pic>
              </a:graphicData>
            </a:graphic>
          </wp:inline>
        </w:drawing>
      </w:r>
    </w:p>
    <w:p w:rsidR="00033807" w:rsidRDefault="00033807">
      <w:pPr>
        <w:spacing w:after="0"/>
        <w:jc w:val="both"/>
        <w:rPr>
          <w:rFonts w:cstheme="minorHAnsi"/>
          <w:sz w:val="6"/>
          <w:szCs w:val="6"/>
        </w:rPr>
      </w:pPr>
    </w:p>
    <w:p w:rsidR="00033807" w:rsidRDefault="00C071AF">
      <w:pPr>
        <w:spacing w:after="0"/>
        <w:jc w:val="both"/>
        <w:rPr>
          <w:rFonts w:cstheme="minorHAnsi"/>
        </w:rPr>
      </w:pPr>
      <w:r>
        <w:rPr>
          <w:noProof/>
          <w:lang w:eastAsia="cs-CZ"/>
        </w:rPr>
        <w:drawing>
          <wp:inline distT="0" distB="0" distL="0" distR="0">
            <wp:extent cx="6840855" cy="2519045"/>
            <wp:effectExtent l="0" t="0" r="0" b="0"/>
            <wp:docPr id="193"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Obrázek 41"/>
                    <pic:cNvPicPr>
                      <a:picLocks noChangeAspect="1" noChangeArrowheads="1"/>
                    </pic:cNvPicPr>
                  </pic:nvPicPr>
                  <pic:blipFill>
                    <a:blip r:embed="rId59"/>
                    <a:stretch>
                      <a:fillRect/>
                    </a:stretch>
                  </pic:blipFill>
                  <pic:spPr bwMode="auto">
                    <a:xfrm>
                      <a:off x="0" y="0"/>
                      <a:ext cx="6840855" cy="2519045"/>
                    </a:xfrm>
                    <a:prstGeom prst="rect">
                      <a:avLst/>
                    </a:prstGeom>
                  </pic:spPr>
                </pic:pic>
              </a:graphicData>
            </a:graphic>
          </wp:inline>
        </w:drawing>
      </w: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C071AF">
      <w:pPr>
        <w:spacing w:after="0"/>
        <w:jc w:val="both"/>
        <w:rPr>
          <w:rFonts w:cstheme="minorHAnsi"/>
        </w:rPr>
      </w:pPr>
      <w:r>
        <w:rPr>
          <w:noProof/>
          <w:lang w:eastAsia="cs-CZ"/>
        </w:rPr>
        <w:drawing>
          <wp:inline distT="0" distB="0" distL="0" distR="0">
            <wp:extent cx="6840855" cy="414020"/>
            <wp:effectExtent l="0" t="0" r="0" b="0"/>
            <wp:docPr id="194"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Obrázek 49"/>
                    <pic:cNvPicPr>
                      <a:picLocks noChangeAspect="1" noChangeArrowheads="1"/>
                    </pic:cNvPicPr>
                  </pic:nvPicPr>
                  <pic:blipFill>
                    <a:blip r:embed="rId60"/>
                    <a:stretch>
                      <a:fillRect/>
                    </a:stretch>
                  </pic:blipFill>
                  <pic:spPr bwMode="auto">
                    <a:xfrm>
                      <a:off x="0" y="0"/>
                      <a:ext cx="6840855" cy="414020"/>
                    </a:xfrm>
                    <a:prstGeom prst="rect">
                      <a:avLst/>
                    </a:prstGeom>
                  </pic:spPr>
                </pic:pic>
              </a:graphicData>
            </a:graphic>
          </wp:inline>
        </w:drawing>
      </w:r>
    </w:p>
    <w:p w:rsidR="00033807" w:rsidRDefault="00033807">
      <w:pPr>
        <w:spacing w:after="0"/>
        <w:jc w:val="both"/>
        <w:rPr>
          <w:rFonts w:cstheme="minorHAnsi"/>
          <w:sz w:val="6"/>
          <w:szCs w:val="6"/>
        </w:rPr>
      </w:pPr>
    </w:p>
    <w:p w:rsidR="00033807" w:rsidRDefault="00C071AF">
      <w:pPr>
        <w:spacing w:after="0"/>
        <w:ind w:left="-113"/>
        <w:jc w:val="both"/>
        <w:rPr>
          <w:rFonts w:cstheme="minorHAnsi"/>
        </w:rPr>
      </w:pPr>
      <w:r>
        <w:rPr>
          <w:noProof/>
          <w:lang w:eastAsia="cs-CZ"/>
        </w:rPr>
        <w:drawing>
          <wp:inline distT="0" distB="0" distL="0" distR="0">
            <wp:extent cx="6995795" cy="4140835"/>
            <wp:effectExtent l="0" t="0" r="0" b="0"/>
            <wp:docPr id="195"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Obrázek 51"/>
                    <pic:cNvPicPr>
                      <a:picLocks noChangeAspect="1" noChangeArrowheads="1"/>
                    </pic:cNvPicPr>
                  </pic:nvPicPr>
                  <pic:blipFill>
                    <a:blip r:embed="rId61"/>
                    <a:stretch>
                      <a:fillRect/>
                    </a:stretch>
                  </pic:blipFill>
                  <pic:spPr bwMode="auto">
                    <a:xfrm>
                      <a:off x="0" y="0"/>
                      <a:ext cx="6995795" cy="4140835"/>
                    </a:xfrm>
                    <a:prstGeom prst="rect">
                      <a:avLst/>
                    </a:prstGeom>
                  </pic:spPr>
                </pic:pic>
              </a:graphicData>
            </a:graphic>
          </wp:inline>
        </w:drawing>
      </w:r>
    </w:p>
    <w:p w:rsidR="00033807" w:rsidRDefault="00033807">
      <w:pPr>
        <w:spacing w:after="0"/>
        <w:jc w:val="both"/>
        <w:rPr>
          <w:rFonts w:cstheme="minorHAnsi"/>
        </w:rPr>
      </w:pPr>
    </w:p>
    <w:p w:rsidR="00033807" w:rsidRDefault="00C071AF">
      <w:pPr>
        <w:spacing w:after="0"/>
        <w:jc w:val="both"/>
        <w:rPr>
          <w:rFonts w:cstheme="minorHAnsi"/>
        </w:rPr>
      </w:pPr>
      <w:r>
        <w:rPr>
          <w:noProof/>
          <w:lang w:eastAsia="cs-CZ"/>
        </w:rPr>
        <w:drawing>
          <wp:inline distT="0" distB="0" distL="0" distR="0">
            <wp:extent cx="6831965" cy="405130"/>
            <wp:effectExtent l="0" t="0" r="0" b="0"/>
            <wp:docPr id="19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Obrázek 66"/>
                    <pic:cNvPicPr>
                      <a:picLocks noChangeAspect="1" noChangeArrowheads="1"/>
                    </pic:cNvPicPr>
                  </pic:nvPicPr>
                  <pic:blipFill>
                    <a:blip r:embed="rId62"/>
                    <a:stretch>
                      <a:fillRect/>
                    </a:stretch>
                  </pic:blipFill>
                  <pic:spPr bwMode="auto">
                    <a:xfrm>
                      <a:off x="0" y="0"/>
                      <a:ext cx="6831965" cy="405130"/>
                    </a:xfrm>
                    <a:prstGeom prst="rect">
                      <a:avLst/>
                    </a:prstGeom>
                  </pic:spPr>
                </pic:pic>
              </a:graphicData>
            </a:graphic>
          </wp:inline>
        </w:drawing>
      </w:r>
    </w:p>
    <w:p w:rsidR="00033807" w:rsidRDefault="00033807">
      <w:pPr>
        <w:spacing w:after="0"/>
        <w:jc w:val="both"/>
        <w:rPr>
          <w:rFonts w:cstheme="minorHAnsi"/>
          <w:sz w:val="6"/>
          <w:szCs w:val="6"/>
        </w:rPr>
      </w:pPr>
    </w:p>
    <w:p w:rsidR="00033807" w:rsidRDefault="00C071AF">
      <w:pPr>
        <w:spacing w:after="0"/>
        <w:jc w:val="both"/>
        <w:rPr>
          <w:rFonts w:cstheme="minorHAnsi"/>
        </w:rPr>
      </w:pPr>
      <w:r>
        <w:rPr>
          <w:noProof/>
          <w:lang w:eastAsia="cs-CZ"/>
        </w:rPr>
        <w:drawing>
          <wp:inline distT="0" distB="0" distL="0" distR="0">
            <wp:extent cx="6830695" cy="3321050"/>
            <wp:effectExtent l="0" t="0" r="0" b="0"/>
            <wp:docPr id="197"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Obrázek 71"/>
                    <pic:cNvPicPr>
                      <a:picLocks noChangeAspect="1" noChangeArrowheads="1"/>
                    </pic:cNvPicPr>
                  </pic:nvPicPr>
                  <pic:blipFill>
                    <a:blip r:embed="rId63"/>
                    <a:stretch>
                      <a:fillRect/>
                    </a:stretch>
                  </pic:blipFill>
                  <pic:spPr bwMode="auto">
                    <a:xfrm>
                      <a:off x="0" y="0"/>
                      <a:ext cx="6830695" cy="3321050"/>
                    </a:xfrm>
                    <a:prstGeom prst="rect">
                      <a:avLst/>
                    </a:prstGeom>
                  </pic:spPr>
                </pic:pic>
              </a:graphicData>
            </a:graphic>
          </wp:inline>
        </w:drawing>
      </w: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b/>
        </w:rPr>
      </w:pPr>
    </w:p>
    <w:p w:rsidR="00033807" w:rsidRDefault="00033807">
      <w:pPr>
        <w:spacing w:after="0"/>
        <w:jc w:val="both"/>
        <w:rPr>
          <w:rFonts w:cstheme="minorHAnsi"/>
          <w:b/>
        </w:rPr>
      </w:pPr>
    </w:p>
    <w:p w:rsidR="00033807" w:rsidRDefault="00C071AF">
      <w:pPr>
        <w:spacing w:after="0"/>
        <w:jc w:val="both"/>
        <w:rPr>
          <w:rFonts w:cstheme="minorHAnsi"/>
        </w:rPr>
      </w:pPr>
      <w:r>
        <w:rPr>
          <w:rFonts w:cstheme="minorHAnsi"/>
          <w:b/>
        </w:rPr>
        <w:t xml:space="preserve">Příloha č. 24: </w:t>
      </w:r>
      <w:r>
        <w:rPr>
          <w:rFonts w:cstheme="minorHAnsi"/>
        </w:rPr>
        <w:t>srovnání účinnosti a bezpečnosti studií se systémovými kortikosteroidy (viz výše pozn. 29</w:t>
      </w:r>
      <w:r w:rsidR="00983F86">
        <w:rPr>
          <w:rFonts w:cstheme="minorHAnsi"/>
        </w:rPr>
        <w:t>,</w:t>
      </w:r>
      <w:r>
        <w:rPr>
          <w:rFonts w:cstheme="minorHAnsi"/>
        </w:rPr>
        <w:t xml:space="preserve"> 97</w:t>
      </w:r>
      <w:r w:rsidR="00983F86">
        <w:rPr>
          <w:rFonts w:cstheme="minorHAnsi"/>
        </w:rPr>
        <w:t xml:space="preserve"> a Přílohu č. 23</w:t>
      </w:r>
      <w:r>
        <w:rPr>
          <w:rFonts w:cstheme="minorHAnsi"/>
        </w:rPr>
        <w:t xml:space="preserve">) a studie NefIgArd </w:t>
      </w:r>
      <w:r w:rsidR="00983F86">
        <w:rPr>
          <w:rFonts w:cstheme="minorHAnsi"/>
        </w:rPr>
        <w:t xml:space="preserve">(viz Přílohu č. 21) </w:t>
      </w:r>
      <w:r>
        <w:rPr>
          <w:rFonts w:cstheme="minorHAnsi"/>
        </w:rPr>
        <w:t>s hodnoceným LP KINPEYGO – upraveno dle zdrojů pod pozn. 127, 128, 130</w:t>
      </w:r>
    </w:p>
    <w:p w:rsidR="00033807" w:rsidRPr="00902002" w:rsidRDefault="00033807">
      <w:pPr>
        <w:spacing w:after="0"/>
        <w:jc w:val="both"/>
        <w:rPr>
          <w:rFonts w:cstheme="minorHAnsi"/>
          <w:sz w:val="6"/>
          <w:szCs w:val="6"/>
        </w:rPr>
      </w:pPr>
    </w:p>
    <w:p w:rsidR="00902002" w:rsidRDefault="00DB7AAC" w:rsidP="0009221D">
      <w:pPr>
        <w:spacing w:after="0"/>
        <w:ind w:left="227"/>
        <w:jc w:val="both"/>
        <w:rPr>
          <w:rFonts w:cstheme="minorHAnsi"/>
        </w:rPr>
      </w:pPr>
      <w:r>
        <w:rPr>
          <w:rFonts w:cstheme="minorHAnsi"/>
          <w:noProof/>
          <w:lang w:eastAsia="cs-CZ"/>
        </w:rPr>
        <w:drawing>
          <wp:inline distT="0" distB="0" distL="0" distR="0">
            <wp:extent cx="6521570" cy="1621767"/>
            <wp:effectExtent l="0" t="0" r="0" b="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21852" cy="1621837"/>
                    </a:xfrm>
                    <a:prstGeom prst="rect">
                      <a:avLst/>
                    </a:prstGeom>
                    <a:noFill/>
                    <a:ln>
                      <a:noFill/>
                    </a:ln>
                  </pic:spPr>
                </pic:pic>
              </a:graphicData>
            </a:graphic>
          </wp:inline>
        </w:drawing>
      </w:r>
    </w:p>
    <w:p w:rsidR="0009221D" w:rsidRPr="0009221D" w:rsidRDefault="0009221D" w:rsidP="00902002">
      <w:pPr>
        <w:spacing w:after="0"/>
        <w:ind w:left="283"/>
        <w:jc w:val="both"/>
        <w:rPr>
          <w:rFonts w:cstheme="minorHAnsi"/>
          <w:sz w:val="4"/>
          <w:szCs w:val="4"/>
        </w:rPr>
      </w:pPr>
    </w:p>
    <w:p w:rsidR="0009221D" w:rsidRDefault="0009221D" w:rsidP="0009221D">
      <w:pPr>
        <w:spacing w:after="0"/>
        <w:ind w:left="227" w:right="283"/>
        <w:jc w:val="both"/>
        <w:rPr>
          <w:rFonts w:cstheme="minorHAnsi"/>
          <w:b/>
          <w:sz w:val="18"/>
          <w:szCs w:val="18"/>
        </w:rPr>
      </w:pPr>
      <w:r w:rsidRPr="00F154D4">
        <w:rPr>
          <w:rFonts w:cstheme="minorHAnsi"/>
          <w:b/>
          <w:sz w:val="18"/>
          <w:szCs w:val="18"/>
          <w:highlight w:val="yellow"/>
          <w:u w:val="single"/>
        </w:rPr>
        <w:t>CAVE! pro informace týkající změny protokolu studie TESTING viz Přílohu č. 22, přehled Cochrane z roku 2020 (čerpal z designu studie z roku 2017 – viz níže) totiž ještě neměl informace publikované ke studii TESTING až v roce 2022</w:t>
      </w:r>
      <w:r w:rsidRPr="00F154D4">
        <w:rPr>
          <w:rFonts w:cstheme="minorHAnsi"/>
          <w:b/>
          <w:sz w:val="18"/>
          <w:szCs w:val="18"/>
          <w:highlight w:val="yellow"/>
        </w:rPr>
        <w:t>)</w:t>
      </w:r>
      <w:r w:rsidRPr="00F154D4">
        <w:rPr>
          <w:rFonts w:cstheme="minorHAnsi"/>
          <w:b/>
          <w:sz w:val="18"/>
          <w:szCs w:val="18"/>
        </w:rPr>
        <w:t>!</w:t>
      </w:r>
    </w:p>
    <w:p w:rsidR="00F57C6F" w:rsidRPr="00F57C6F" w:rsidRDefault="00F57C6F" w:rsidP="0009221D">
      <w:pPr>
        <w:spacing w:after="0"/>
        <w:ind w:left="227" w:right="283"/>
        <w:jc w:val="both"/>
        <w:rPr>
          <w:rFonts w:cstheme="minorHAnsi"/>
          <w:b/>
          <w:sz w:val="4"/>
          <w:szCs w:val="4"/>
        </w:rPr>
      </w:pPr>
    </w:p>
    <w:p w:rsidR="00F57C6F" w:rsidRPr="00F57C6F" w:rsidRDefault="00F57C6F" w:rsidP="0009221D">
      <w:pPr>
        <w:spacing w:after="0"/>
        <w:ind w:left="227" w:right="283"/>
        <w:jc w:val="both"/>
        <w:rPr>
          <w:rFonts w:cstheme="minorHAnsi"/>
          <w:sz w:val="16"/>
          <w:szCs w:val="16"/>
        </w:rPr>
      </w:pPr>
      <w:r>
        <w:rPr>
          <w:rFonts w:cstheme="minorHAnsi"/>
          <w:sz w:val="16"/>
          <w:szCs w:val="16"/>
        </w:rPr>
        <w:t>(</w:t>
      </w:r>
      <w:r w:rsidR="00EF268F" w:rsidRPr="00F57C6F">
        <w:rPr>
          <w:rFonts w:cstheme="minorHAnsi"/>
          <w:sz w:val="16"/>
          <w:szCs w:val="16"/>
          <w:u w:val="single"/>
        </w:rPr>
        <w:t>Do tohoto review byly zahrnuty</w:t>
      </w:r>
      <w:r w:rsidRPr="00F57C6F">
        <w:rPr>
          <w:rFonts w:cstheme="minorHAnsi"/>
          <w:sz w:val="16"/>
          <w:szCs w:val="16"/>
          <w:u w:val="single"/>
        </w:rPr>
        <w:t xml:space="preserve"> randomizované kontrolované studie (dále jen „</w:t>
      </w:r>
      <w:r w:rsidR="00EF268F" w:rsidRPr="00F57C6F">
        <w:rPr>
          <w:rFonts w:cstheme="minorHAnsi"/>
          <w:sz w:val="16"/>
          <w:szCs w:val="16"/>
          <w:u w:val="single"/>
        </w:rPr>
        <w:t>RCT</w:t>
      </w:r>
      <w:r w:rsidRPr="00F57C6F">
        <w:rPr>
          <w:rFonts w:cstheme="minorHAnsi"/>
          <w:sz w:val="16"/>
          <w:szCs w:val="16"/>
          <w:u w:val="single"/>
        </w:rPr>
        <w:t>“)</w:t>
      </w:r>
      <w:r w:rsidR="00EF268F" w:rsidRPr="00F57C6F">
        <w:rPr>
          <w:rFonts w:cstheme="minorHAnsi"/>
          <w:sz w:val="16"/>
          <w:szCs w:val="16"/>
          <w:u w:val="single"/>
        </w:rPr>
        <w:t xml:space="preserve"> a kvazi-RCT</w:t>
      </w:r>
      <w:r w:rsidR="00EF268F" w:rsidRPr="00F57C6F">
        <w:rPr>
          <w:rFonts w:cstheme="minorHAnsi"/>
          <w:sz w:val="16"/>
          <w:szCs w:val="16"/>
        </w:rPr>
        <w:t xml:space="preserve"> (RCT, ve kterých bylo přidělení k léčbě získáno střídáním, použitím alternativních lékařských záznamů, datem narození nebo jinými předvídatelnými metodami), které porovnávaly kortikosteroidy s neimunosupresivní léčbou (včetně antihypertenziv a antikoagu</w:t>
      </w:r>
      <w:r w:rsidRPr="00F57C6F">
        <w:rPr>
          <w:rFonts w:cstheme="minorHAnsi"/>
          <w:sz w:val="16"/>
          <w:szCs w:val="16"/>
        </w:rPr>
        <w:t>lancií) nebo placebem nebo žádnou</w:t>
      </w:r>
      <w:r w:rsidR="00EF268F" w:rsidRPr="00F57C6F">
        <w:rPr>
          <w:rFonts w:cstheme="minorHAnsi"/>
          <w:sz w:val="16"/>
          <w:szCs w:val="16"/>
        </w:rPr>
        <w:t xml:space="preserve"> léčb</w:t>
      </w:r>
      <w:r w:rsidRPr="00F57C6F">
        <w:rPr>
          <w:rFonts w:cstheme="minorHAnsi"/>
          <w:sz w:val="16"/>
          <w:szCs w:val="16"/>
        </w:rPr>
        <w:t>ou/standardní péčí</w:t>
      </w:r>
      <w:r w:rsidR="00EF268F" w:rsidRPr="00F57C6F">
        <w:rPr>
          <w:rFonts w:cstheme="minorHAnsi"/>
          <w:sz w:val="16"/>
          <w:szCs w:val="16"/>
        </w:rPr>
        <w:t xml:space="preserve"> pro léčbu IgA nefropatie.</w:t>
      </w:r>
      <w:r w:rsidRPr="00F57C6F">
        <w:rPr>
          <w:rFonts w:cstheme="minorHAnsi"/>
          <w:sz w:val="16"/>
          <w:szCs w:val="16"/>
        </w:rPr>
        <w:t xml:space="preserve"> Zkratky: ESKD =  </w:t>
      </w:r>
      <w:r w:rsidRPr="00F57C6F">
        <w:rPr>
          <w:rFonts w:cs="SourceSansPro-Regular"/>
          <w:sz w:val="16"/>
          <w:szCs w:val="16"/>
        </w:rPr>
        <w:t>end-stage kidney disease</w:t>
      </w:r>
      <w:r>
        <w:rPr>
          <w:rFonts w:cs="SourceSansPro-Regular"/>
          <w:sz w:val="16"/>
          <w:szCs w:val="16"/>
        </w:rPr>
        <w:t>.</w:t>
      </w:r>
      <w:r w:rsidRPr="00F57C6F">
        <w:rPr>
          <w:rFonts w:cs="SourceSansPro-Regular"/>
          <w:sz w:val="16"/>
          <w:szCs w:val="16"/>
        </w:rPr>
        <w:t>)</w:t>
      </w:r>
    </w:p>
    <w:p w:rsidR="005D267E" w:rsidRPr="00F154D4" w:rsidRDefault="005D267E" w:rsidP="00902002">
      <w:pPr>
        <w:spacing w:after="0"/>
        <w:ind w:left="283"/>
        <w:jc w:val="both"/>
        <w:rPr>
          <w:rFonts w:cstheme="minorHAnsi"/>
          <w:b/>
          <w:sz w:val="4"/>
          <w:szCs w:val="4"/>
        </w:rPr>
      </w:pPr>
    </w:p>
    <w:p w:rsidR="00902002" w:rsidRDefault="00FB71D2" w:rsidP="005D267E">
      <w:pPr>
        <w:spacing w:after="0"/>
        <w:ind w:left="170"/>
        <w:jc w:val="both"/>
        <w:rPr>
          <w:rFonts w:cstheme="minorHAnsi"/>
        </w:rPr>
      </w:pPr>
      <w:r>
        <w:rPr>
          <w:rFonts w:cstheme="minorHAnsi"/>
          <w:noProof/>
          <w:lang w:eastAsia="cs-CZ"/>
        </w:rPr>
        <mc:AlternateContent>
          <mc:Choice Requires="wps">
            <w:drawing>
              <wp:anchor distT="0" distB="0" distL="114300" distR="114300" simplePos="0" relativeHeight="251664384" behindDoc="0" locked="0" layoutInCell="0" allowOverlap="1">
                <wp:simplePos x="0" y="0"/>
                <wp:positionH relativeFrom="column">
                  <wp:posOffset>114300</wp:posOffset>
                </wp:positionH>
                <wp:positionV relativeFrom="paragraph">
                  <wp:posOffset>1255395</wp:posOffset>
                </wp:positionV>
                <wp:extent cx="6547485" cy="886460"/>
                <wp:effectExtent l="0" t="0" r="5715" b="8890"/>
                <wp:wrapNone/>
                <wp:docPr id="255"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7485" cy="886460"/>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0C8DC77E" id="Obdélník 77" o:spid="_x0000_s1026" style="position:absolute;margin-left:9pt;margin-top:98.85pt;width:515.55pt;height:6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" o:allowincell="f" fillcolor="red" strokecolor="red" strokeweight=".71mm">
                <v:fill opacity="8481f"/>
                <v:stroke joinstyle="round"/>
                <v:path arrowok="t"/>
              </v:rect>
            </w:pict>
          </mc:Fallback>
        </mc:AlternateContent>
      </w:r>
      <w:r w:rsidR="005D267E">
        <w:rPr>
          <w:rFonts w:cstheme="minorHAnsi"/>
          <w:noProof/>
          <w:lang w:eastAsia="cs-CZ"/>
        </w:rPr>
        <w:drawing>
          <wp:inline distT="0" distB="0" distL="0" distR="0">
            <wp:extent cx="6598589" cy="4347713"/>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98693" cy="4347781"/>
                    </a:xfrm>
                    <a:prstGeom prst="rect">
                      <a:avLst/>
                    </a:prstGeom>
                    <a:noFill/>
                    <a:ln>
                      <a:noFill/>
                    </a:ln>
                  </pic:spPr>
                </pic:pic>
              </a:graphicData>
            </a:graphic>
          </wp:inline>
        </w:drawing>
      </w:r>
    </w:p>
    <w:p w:rsidR="005D267E" w:rsidRDefault="005D267E" w:rsidP="005D267E">
      <w:pPr>
        <w:spacing w:after="0"/>
        <w:ind w:left="227"/>
        <w:jc w:val="both"/>
        <w:rPr>
          <w:rFonts w:cstheme="minorHAnsi"/>
        </w:rPr>
      </w:pPr>
      <w:r>
        <w:rPr>
          <w:rFonts w:cstheme="minorHAnsi"/>
          <w:noProof/>
          <w:lang w:eastAsia="cs-CZ"/>
        </w:rPr>
        <w:drawing>
          <wp:inline distT="0" distB="0" distL="0" distR="0">
            <wp:extent cx="6564702" cy="1794294"/>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64552" cy="1794253"/>
                    </a:xfrm>
                    <a:prstGeom prst="rect">
                      <a:avLst/>
                    </a:prstGeom>
                    <a:noFill/>
                    <a:ln>
                      <a:noFill/>
                    </a:ln>
                  </pic:spPr>
                </pic:pic>
              </a:graphicData>
            </a:graphic>
          </wp:inline>
        </w:drawing>
      </w:r>
    </w:p>
    <w:p w:rsidR="00902002" w:rsidRDefault="003D529C" w:rsidP="003D529C">
      <w:pPr>
        <w:spacing w:after="0"/>
        <w:ind w:left="283"/>
        <w:jc w:val="both"/>
        <w:rPr>
          <w:rFonts w:cstheme="minorHAnsi"/>
        </w:rPr>
      </w:pPr>
      <w:r>
        <w:rPr>
          <w:rFonts w:cstheme="minorHAnsi"/>
          <w:noProof/>
          <w:lang w:eastAsia="cs-CZ"/>
        </w:rPr>
        <w:drawing>
          <wp:inline distT="0" distB="0" distL="0" distR="0">
            <wp:extent cx="6599208" cy="422695"/>
            <wp:effectExtent l="0" t="0" r="0" b="0"/>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99057" cy="422685"/>
                    </a:xfrm>
                    <a:prstGeom prst="rect">
                      <a:avLst/>
                    </a:prstGeom>
                    <a:noFill/>
                    <a:ln>
                      <a:noFill/>
                    </a:ln>
                  </pic:spPr>
                </pic:pic>
              </a:graphicData>
            </a:graphic>
          </wp:inline>
        </w:drawing>
      </w:r>
    </w:p>
    <w:p w:rsidR="00F154D4" w:rsidRDefault="009A36BD" w:rsidP="009A36BD">
      <w:pPr>
        <w:spacing w:after="0"/>
        <w:jc w:val="both"/>
        <w:rPr>
          <w:rFonts w:cstheme="minorHAnsi"/>
        </w:rPr>
      </w:pPr>
      <w:r>
        <w:rPr>
          <w:rFonts w:cstheme="minorHAnsi"/>
          <w:noProof/>
          <w:lang w:eastAsia="cs-CZ"/>
        </w:rPr>
        <w:drawing>
          <wp:inline distT="0" distB="0" distL="0" distR="0">
            <wp:extent cx="6840855" cy="405130"/>
            <wp:effectExtent l="0" t="0" r="0" b="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40855" cy="405130"/>
                    </a:xfrm>
                    <a:prstGeom prst="rect">
                      <a:avLst/>
                    </a:prstGeom>
                    <a:noFill/>
                    <a:ln>
                      <a:noFill/>
                    </a:ln>
                  </pic:spPr>
                </pic:pic>
              </a:graphicData>
            </a:graphic>
          </wp:inline>
        </w:drawing>
      </w:r>
    </w:p>
    <w:p w:rsidR="009A36BD" w:rsidRPr="009A36BD" w:rsidRDefault="009A36BD" w:rsidP="009A36BD">
      <w:pPr>
        <w:spacing w:after="0"/>
        <w:jc w:val="both"/>
        <w:rPr>
          <w:rFonts w:cstheme="minorHAnsi"/>
          <w:sz w:val="4"/>
          <w:szCs w:val="4"/>
        </w:rPr>
      </w:pPr>
    </w:p>
    <w:p w:rsidR="009A36BD" w:rsidRDefault="00FB71D2" w:rsidP="009A36BD">
      <w:pPr>
        <w:spacing w:after="0"/>
        <w:ind w:left="397"/>
        <w:jc w:val="both"/>
        <w:rPr>
          <w:rFonts w:cstheme="minorHAnsi"/>
        </w:rPr>
      </w:pPr>
      <w:r>
        <w:rPr>
          <w:rFonts w:cstheme="minorHAnsi"/>
          <w:noProof/>
          <w:lang w:eastAsia="cs-CZ"/>
        </w:rPr>
        <mc:AlternateContent>
          <mc:Choice Requires="wps">
            <w:drawing>
              <wp:anchor distT="0" distB="0" distL="114300" distR="114300" simplePos="0" relativeHeight="251665408" behindDoc="0" locked="0" layoutInCell="0" allowOverlap="1">
                <wp:simplePos x="0" y="0"/>
                <wp:positionH relativeFrom="column">
                  <wp:posOffset>304800</wp:posOffset>
                </wp:positionH>
                <wp:positionV relativeFrom="paragraph">
                  <wp:posOffset>483235</wp:posOffset>
                </wp:positionV>
                <wp:extent cx="6078855" cy="466725"/>
                <wp:effectExtent l="0" t="0" r="0" b="9525"/>
                <wp:wrapNone/>
                <wp:docPr id="254"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8855" cy="466725"/>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749A5E45" id="Obdélník 77" o:spid="_x0000_s1026" style="position:absolute;margin-left:24pt;margin-top:38.05pt;width:478.6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" o:allowincell="f" fillcolor="red" strokecolor="red" strokeweight=".71mm">
                <v:fill opacity="8481f"/>
                <v:stroke joinstyle="round"/>
                <v:path arrowok="t"/>
              </v:rect>
            </w:pict>
          </mc:Fallback>
        </mc:AlternateContent>
      </w:r>
      <w:r>
        <w:rPr>
          <w:rFonts w:cstheme="minorHAnsi"/>
          <w:noProof/>
          <w:lang w:eastAsia="cs-CZ"/>
        </w:rPr>
        <mc:AlternateContent>
          <mc:Choice Requires="wps">
            <w:drawing>
              <wp:anchor distT="0" distB="0" distL="114300" distR="114300" simplePos="0" relativeHeight="251666432" behindDoc="0" locked="0" layoutInCell="0" allowOverlap="1">
                <wp:simplePos x="0" y="0"/>
                <wp:positionH relativeFrom="column">
                  <wp:posOffset>304800</wp:posOffset>
                </wp:positionH>
                <wp:positionV relativeFrom="paragraph">
                  <wp:posOffset>1330960</wp:posOffset>
                </wp:positionV>
                <wp:extent cx="6078855" cy="561975"/>
                <wp:effectExtent l="0" t="0" r="0" b="9525"/>
                <wp:wrapNone/>
                <wp:docPr id="253"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8855" cy="561975"/>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6AABE4F6" id="Obdélník 77" o:spid="_x0000_s1026" style="position:absolute;margin-left:24pt;margin-top:104.8pt;width:478.6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" o:allowincell="f" fillcolor="red" strokecolor="red" strokeweight=".71mm">
                <v:fill opacity="8481f"/>
                <v:stroke joinstyle="round"/>
                <v:path arrowok="t"/>
              </v:rect>
            </w:pict>
          </mc:Fallback>
        </mc:AlternateContent>
      </w:r>
      <w:r w:rsidR="009A36BD">
        <w:rPr>
          <w:rFonts w:cstheme="minorHAnsi"/>
          <w:noProof/>
          <w:lang w:eastAsia="cs-CZ"/>
        </w:rPr>
        <w:drawing>
          <wp:inline distT="0" distB="0" distL="0" distR="0" wp14:anchorId="56EAC5EF" wp14:editId="07B83DC4">
            <wp:extent cx="6145619" cy="2243470"/>
            <wp:effectExtent l="0" t="0" r="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59120" cy="2248399"/>
                    </a:xfrm>
                    <a:prstGeom prst="rect">
                      <a:avLst/>
                    </a:prstGeom>
                    <a:noFill/>
                    <a:ln>
                      <a:noFill/>
                    </a:ln>
                  </pic:spPr>
                </pic:pic>
              </a:graphicData>
            </a:graphic>
          </wp:inline>
        </w:drawing>
      </w:r>
    </w:p>
    <w:p w:rsidR="009A36BD" w:rsidRDefault="00FB71D2" w:rsidP="009A36BD">
      <w:pPr>
        <w:spacing w:after="0"/>
        <w:ind w:left="454"/>
        <w:jc w:val="both"/>
        <w:rPr>
          <w:rFonts w:cstheme="minorHAnsi"/>
        </w:rPr>
      </w:pPr>
      <w:r>
        <w:rPr>
          <w:rFonts w:cstheme="minorHAnsi"/>
          <w:noProof/>
          <w:lang w:eastAsia="cs-CZ"/>
        </w:rPr>
        <mc:AlternateContent>
          <mc:Choice Requires="wps">
            <w:drawing>
              <wp:anchor distT="0" distB="0" distL="114300" distR="114300" simplePos="0" relativeHeight="251669504" behindDoc="0" locked="0" layoutInCell="0" allowOverlap="1">
                <wp:simplePos x="0" y="0"/>
                <wp:positionH relativeFrom="column">
                  <wp:posOffset>304800</wp:posOffset>
                </wp:positionH>
                <wp:positionV relativeFrom="paragraph">
                  <wp:posOffset>4131945</wp:posOffset>
                </wp:positionV>
                <wp:extent cx="6078855" cy="209550"/>
                <wp:effectExtent l="0" t="0" r="0" b="0"/>
                <wp:wrapNone/>
                <wp:docPr id="252"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8855" cy="209550"/>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0C9F56B6" id="Obdélník 77" o:spid="_x0000_s1026" style="position:absolute;margin-left:24pt;margin-top:325.35pt;width:478.6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" o:allowincell="f" fillcolor="red" strokecolor="red" strokeweight=".71mm">
                <v:fill opacity="8481f"/>
                <v:stroke joinstyle="round"/>
                <v:path arrowok="t"/>
              </v:rect>
            </w:pict>
          </mc:Fallback>
        </mc:AlternateContent>
      </w:r>
      <w:r>
        <w:rPr>
          <w:rFonts w:cstheme="minorHAnsi"/>
          <w:noProof/>
          <w:lang w:eastAsia="cs-CZ"/>
        </w:rPr>
        <mc:AlternateContent>
          <mc:Choice Requires="wps">
            <w:drawing>
              <wp:anchor distT="0" distB="0" distL="114300" distR="114300" simplePos="0" relativeHeight="251668480" behindDoc="0" locked="0" layoutInCell="0" allowOverlap="1">
                <wp:simplePos x="0" y="0"/>
                <wp:positionH relativeFrom="column">
                  <wp:posOffset>304800</wp:posOffset>
                </wp:positionH>
                <wp:positionV relativeFrom="paragraph">
                  <wp:posOffset>2522220</wp:posOffset>
                </wp:positionV>
                <wp:extent cx="6078855" cy="857250"/>
                <wp:effectExtent l="0" t="0" r="0" b="0"/>
                <wp:wrapNone/>
                <wp:docPr id="251"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8855" cy="857250"/>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71C10F75" id="Obdélník 77" o:spid="_x0000_s1026" style="position:absolute;margin-left:24pt;margin-top:198.6pt;width:478.65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" o:allowincell="f" fillcolor="red" strokecolor="red" strokeweight=".71mm">
                <v:fill opacity="8481f"/>
                <v:stroke joinstyle="round"/>
                <v:path arrowok="t"/>
              </v:rect>
            </w:pict>
          </mc:Fallback>
        </mc:AlternateContent>
      </w:r>
      <w:r>
        <w:rPr>
          <w:rFonts w:cstheme="minorHAnsi"/>
          <w:noProof/>
          <w:lang w:eastAsia="cs-CZ"/>
        </w:rPr>
        <mc:AlternateContent>
          <mc:Choice Requires="wps">
            <w:drawing>
              <wp:anchor distT="0" distB="0" distL="114300" distR="114300" simplePos="0" relativeHeight="251667456" behindDoc="0" locked="0" layoutInCell="0" allowOverlap="1">
                <wp:simplePos x="0" y="0"/>
                <wp:positionH relativeFrom="column">
                  <wp:posOffset>304800</wp:posOffset>
                </wp:positionH>
                <wp:positionV relativeFrom="paragraph">
                  <wp:posOffset>340995</wp:posOffset>
                </wp:positionV>
                <wp:extent cx="6078855" cy="485775"/>
                <wp:effectExtent l="0" t="0" r="0" b="9525"/>
                <wp:wrapNone/>
                <wp:docPr id="250"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8855" cy="485775"/>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16735374" id="Obdélník 77" o:spid="_x0000_s1026" style="position:absolute;margin-left:24pt;margin-top:26.85pt;width:478.6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" o:allowincell="f" fillcolor="red" strokecolor="red" strokeweight=".71mm">
                <v:fill opacity="8481f"/>
                <v:stroke joinstyle="round"/>
                <v:path arrowok="t"/>
              </v:rect>
            </w:pict>
          </mc:Fallback>
        </mc:AlternateContent>
      </w:r>
      <w:r w:rsidR="009A36BD">
        <w:rPr>
          <w:rFonts w:cstheme="minorHAnsi"/>
          <w:noProof/>
          <w:lang w:eastAsia="cs-CZ"/>
        </w:rPr>
        <w:drawing>
          <wp:inline distT="0" distB="0" distL="0" distR="0" wp14:anchorId="15BAA15A" wp14:editId="33CCA860">
            <wp:extent cx="6144616" cy="4136065"/>
            <wp:effectExtent l="0" t="0" r="0" b="0"/>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52877" cy="4141625"/>
                    </a:xfrm>
                    <a:prstGeom prst="rect">
                      <a:avLst/>
                    </a:prstGeom>
                    <a:noFill/>
                    <a:ln>
                      <a:noFill/>
                    </a:ln>
                  </pic:spPr>
                </pic:pic>
              </a:graphicData>
            </a:graphic>
          </wp:inline>
        </w:drawing>
      </w:r>
    </w:p>
    <w:p w:rsidR="009A36BD" w:rsidRDefault="00FB71D2" w:rsidP="009A36BD">
      <w:pPr>
        <w:spacing w:after="0"/>
        <w:ind w:left="454"/>
        <w:jc w:val="both"/>
        <w:rPr>
          <w:rFonts w:cstheme="minorHAnsi"/>
        </w:rPr>
      </w:pPr>
      <w:r>
        <w:rPr>
          <w:rFonts w:cstheme="minorHAnsi"/>
          <w:noProof/>
          <w:lang w:eastAsia="cs-CZ"/>
        </w:rPr>
        <mc:AlternateContent>
          <mc:Choice Requires="wps">
            <w:drawing>
              <wp:anchor distT="0" distB="0" distL="114300" distR="114300" simplePos="0" relativeHeight="251670528" behindDoc="0" locked="0" layoutInCell="0" allowOverlap="1">
                <wp:simplePos x="0" y="0"/>
                <wp:positionH relativeFrom="column">
                  <wp:posOffset>304800</wp:posOffset>
                </wp:positionH>
                <wp:positionV relativeFrom="paragraph">
                  <wp:posOffset>573405</wp:posOffset>
                </wp:positionV>
                <wp:extent cx="6078855" cy="371475"/>
                <wp:effectExtent l="0" t="0" r="0" b="9525"/>
                <wp:wrapNone/>
                <wp:docPr id="249"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8855" cy="371475"/>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6AD00CDF" id="Obdélník 77" o:spid="_x0000_s1026" style="position:absolute;margin-left:24pt;margin-top:45.15pt;width:478.6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" o:allowincell="f" fillcolor="red" strokecolor="red" strokeweight=".71mm">
                <v:fill opacity="8481f"/>
                <v:stroke joinstyle="round"/>
                <v:path arrowok="t"/>
              </v:rect>
            </w:pict>
          </mc:Fallback>
        </mc:AlternateContent>
      </w:r>
      <w:r w:rsidR="009A36BD">
        <w:rPr>
          <w:rFonts w:cstheme="minorHAnsi"/>
          <w:noProof/>
          <w:lang w:eastAsia="cs-CZ"/>
        </w:rPr>
        <w:drawing>
          <wp:inline distT="0" distB="0" distL="0" distR="0">
            <wp:extent cx="6113721" cy="2147777"/>
            <wp:effectExtent l="0" t="0" r="0" b="0"/>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4631" cy="2151610"/>
                    </a:xfrm>
                    <a:prstGeom prst="rect">
                      <a:avLst/>
                    </a:prstGeom>
                    <a:noFill/>
                    <a:ln>
                      <a:noFill/>
                    </a:ln>
                  </pic:spPr>
                </pic:pic>
              </a:graphicData>
            </a:graphic>
          </wp:inline>
        </w:drawing>
      </w:r>
    </w:p>
    <w:p w:rsidR="009A36BD" w:rsidRDefault="009A36BD" w:rsidP="009A36BD">
      <w:pPr>
        <w:spacing w:after="0"/>
        <w:ind w:left="510"/>
        <w:jc w:val="both"/>
        <w:rPr>
          <w:rFonts w:cstheme="minorHAnsi"/>
        </w:rPr>
      </w:pPr>
      <w:r>
        <w:rPr>
          <w:rFonts w:cstheme="minorHAnsi"/>
          <w:noProof/>
          <w:lang w:eastAsia="cs-CZ"/>
        </w:rPr>
        <w:drawing>
          <wp:inline distT="0" distB="0" distL="0" distR="0">
            <wp:extent cx="6075269" cy="627321"/>
            <wp:effectExtent l="0" t="0" r="0" b="0"/>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837" cy="631510"/>
                    </a:xfrm>
                    <a:prstGeom prst="rect">
                      <a:avLst/>
                    </a:prstGeom>
                    <a:noFill/>
                    <a:ln>
                      <a:noFill/>
                    </a:ln>
                  </pic:spPr>
                </pic:pic>
              </a:graphicData>
            </a:graphic>
          </wp:inline>
        </w:drawing>
      </w:r>
    </w:p>
    <w:p w:rsidR="009A36BD" w:rsidRDefault="006A6A81" w:rsidP="006A6A81">
      <w:pPr>
        <w:spacing w:after="0"/>
        <w:ind w:left="170"/>
        <w:jc w:val="both"/>
        <w:rPr>
          <w:rFonts w:cstheme="minorHAnsi"/>
        </w:rPr>
      </w:pPr>
      <w:r>
        <w:rPr>
          <w:rFonts w:cstheme="minorHAnsi"/>
          <w:noProof/>
          <w:lang w:eastAsia="cs-CZ"/>
        </w:rPr>
        <w:drawing>
          <wp:inline distT="0" distB="0" distL="0" distR="0">
            <wp:extent cx="6488239" cy="30480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15100" cy="306062"/>
                    </a:xfrm>
                    <a:prstGeom prst="rect">
                      <a:avLst/>
                    </a:prstGeom>
                    <a:noFill/>
                    <a:ln>
                      <a:noFill/>
                    </a:ln>
                  </pic:spPr>
                </pic:pic>
              </a:graphicData>
            </a:graphic>
          </wp:inline>
        </w:drawing>
      </w:r>
    </w:p>
    <w:p w:rsidR="00787517" w:rsidRPr="00787517" w:rsidRDefault="00787517" w:rsidP="006A6A81">
      <w:pPr>
        <w:spacing w:after="0"/>
        <w:ind w:left="170"/>
        <w:jc w:val="both"/>
        <w:rPr>
          <w:rFonts w:cstheme="minorHAnsi"/>
          <w:sz w:val="4"/>
          <w:szCs w:val="4"/>
        </w:rPr>
      </w:pPr>
    </w:p>
    <w:p w:rsidR="006A6A81" w:rsidRPr="00787517" w:rsidRDefault="00787517" w:rsidP="009A36BD">
      <w:pPr>
        <w:spacing w:after="0"/>
        <w:jc w:val="both"/>
        <w:rPr>
          <w:rFonts w:cstheme="minorHAnsi"/>
          <w:b/>
          <w:sz w:val="18"/>
          <w:szCs w:val="18"/>
          <w:u w:val="single"/>
        </w:rPr>
      </w:pPr>
      <w:r>
        <w:rPr>
          <w:rFonts w:cstheme="minorHAnsi"/>
        </w:rPr>
        <w:t xml:space="preserve">                                                                                       </w:t>
      </w:r>
      <w:r w:rsidRPr="00787517">
        <w:rPr>
          <w:rFonts w:cstheme="minorHAnsi"/>
          <w:b/>
          <w:sz w:val="18"/>
          <w:szCs w:val="18"/>
          <w:u w:val="single"/>
        </w:rPr>
        <w:t>Outcome - ESKD</w:t>
      </w:r>
    </w:p>
    <w:p w:rsidR="006A6A81" w:rsidRDefault="006A6A81" w:rsidP="006A6A81">
      <w:pPr>
        <w:spacing w:after="0"/>
        <w:ind w:left="567"/>
        <w:jc w:val="both"/>
        <w:rPr>
          <w:rFonts w:cstheme="minorHAnsi"/>
        </w:rPr>
      </w:pPr>
      <w:r>
        <w:rPr>
          <w:rFonts w:cstheme="minorHAnsi"/>
          <w:noProof/>
          <w:lang w:eastAsia="cs-CZ"/>
        </w:rPr>
        <w:drawing>
          <wp:inline distT="0" distB="0" distL="0" distR="0">
            <wp:extent cx="5865283" cy="3880236"/>
            <wp:effectExtent l="0" t="0" r="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74176" cy="3886119"/>
                    </a:xfrm>
                    <a:prstGeom prst="rect">
                      <a:avLst/>
                    </a:prstGeom>
                    <a:noFill/>
                    <a:ln>
                      <a:noFill/>
                    </a:ln>
                  </pic:spPr>
                </pic:pic>
              </a:graphicData>
            </a:graphic>
          </wp:inline>
        </w:drawing>
      </w:r>
    </w:p>
    <w:p w:rsidR="006A6A81" w:rsidRPr="006A6A81" w:rsidRDefault="006A6A81" w:rsidP="006A6A81">
      <w:pPr>
        <w:spacing w:after="0"/>
        <w:ind w:left="567"/>
        <w:jc w:val="both"/>
        <w:rPr>
          <w:rFonts w:cstheme="minorHAnsi"/>
          <w:sz w:val="6"/>
          <w:szCs w:val="6"/>
        </w:rPr>
      </w:pPr>
    </w:p>
    <w:p w:rsidR="006A6A81" w:rsidRDefault="006A6A81" w:rsidP="009A36BD">
      <w:pPr>
        <w:spacing w:after="0"/>
        <w:jc w:val="both"/>
        <w:rPr>
          <w:rFonts w:cstheme="minorHAnsi"/>
          <w:sz w:val="6"/>
          <w:szCs w:val="6"/>
        </w:rPr>
      </w:pPr>
    </w:p>
    <w:p w:rsidR="006A6A81" w:rsidRPr="006A6A81" w:rsidRDefault="006A6A81" w:rsidP="009A36BD">
      <w:pPr>
        <w:spacing w:after="0"/>
        <w:jc w:val="both"/>
        <w:rPr>
          <w:rFonts w:cstheme="minorHAnsi"/>
          <w:sz w:val="6"/>
          <w:szCs w:val="6"/>
        </w:rPr>
      </w:pPr>
    </w:p>
    <w:p w:rsidR="006A6A81" w:rsidRDefault="006A6A81" w:rsidP="009A36BD">
      <w:pPr>
        <w:spacing w:after="0"/>
        <w:jc w:val="both"/>
        <w:rPr>
          <w:rFonts w:cstheme="minorHAnsi"/>
        </w:rPr>
      </w:pPr>
      <w:r>
        <w:rPr>
          <w:rFonts w:cstheme="minorHAnsi"/>
          <w:noProof/>
          <w:lang w:eastAsia="cs-CZ"/>
        </w:rPr>
        <w:drawing>
          <wp:inline distT="0" distB="0" distL="0" distR="0">
            <wp:extent cx="6823485" cy="3132814"/>
            <wp:effectExtent l="0" t="0" r="0" b="0"/>
            <wp:docPr id="23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29425" cy="3135541"/>
                    </a:xfrm>
                    <a:prstGeom prst="rect">
                      <a:avLst/>
                    </a:prstGeom>
                    <a:noFill/>
                    <a:ln>
                      <a:noFill/>
                    </a:ln>
                  </pic:spPr>
                </pic:pic>
              </a:graphicData>
            </a:graphic>
          </wp:inline>
        </w:drawing>
      </w:r>
    </w:p>
    <w:p w:rsidR="006A6A81" w:rsidRDefault="006A6A81" w:rsidP="009A36BD">
      <w:pPr>
        <w:spacing w:after="0"/>
        <w:jc w:val="both"/>
        <w:rPr>
          <w:rFonts w:cstheme="minorHAnsi"/>
        </w:rPr>
      </w:pPr>
      <w:r>
        <w:rPr>
          <w:rFonts w:cstheme="minorHAnsi"/>
          <w:noProof/>
          <w:lang w:eastAsia="cs-CZ"/>
        </w:rPr>
        <w:drawing>
          <wp:inline distT="0" distB="0" distL="0" distR="0">
            <wp:extent cx="6838120" cy="1971923"/>
            <wp:effectExtent l="0" t="0" r="0" b="0"/>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38950" cy="1972162"/>
                    </a:xfrm>
                    <a:prstGeom prst="rect">
                      <a:avLst/>
                    </a:prstGeom>
                    <a:noFill/>
                    <a:ln>
                      <a:noFill/>
                    </a:ln>
                  </pic:spPr>
                </pic:pic>
              </a:graphicData>
            </a:graphic>
          </wp:inline>
        </w:drawing>
      </w:r>
    </w:p>
    <w:p w:rsidR="00033807" w:rsidRDefault="00033807">
      <w:pPr>
        <w:spacing w:after="0"/>
        <w:jc w:val="both"/>
        <w:rPr>
          <w:rFonts w:cstheme="minorHAnsi"/>
          <w:sz w:val="6"/>
          <w:szCs w:val="6"/>
        </w:rPr>
      </w:pPr>
    </w:p>
    <w:p w:rsidR="00033807" w:rsidRDefault="00C071AF">
      <w:pPr>
        <w:spacing w:after="0"/>
        <w:jc w:val="both"/>
        <w:rPr>
          <w:rFonts w:cstheme="minorHAnsi"/>
        </w:rPr>
      </w:pPr>
      <w:r>
        <w:rPr>
          <w:noProof/>
          <w:lang w:eastAsia="cs-CZ"/>
        </w:rPr>
        <w:drawing>
          <wp:inline distT="0" distB="0" distL="0" distR="0">
            <wp:extent cx="6837045" cy="387985"/>
            <wp:effectExtent l="0" t="0" r="0" b="0"/>
            <wp:docPr id="198" name="Obrázek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Obrázek47"/>
                    <pic:cNvPicPr>
                      <a:picLocks noChangeAspect="1" noChangeArrowheads="1"/>
                    </pic:cNvPicPr>
                  </pic:nvPicPr>
                  <pic:blipFill>
                    <a:blip r:embed="rId77"/>
                    <a:stretch>
                      <a:fillRect/>
                    </a:stretch>
                  </pic:blipFill>
                  <pic:spPr bwMode="auto">
                    <a:xfrm>
                      <a:off x="0" y="0"/>
                      <a:ext cx="6837045" cy="387985"/>
                    </a:xfrm>
                    <a:prstGeom prst="rect">
                      <a:avLst/>
                    </a:prstGeom>
                  </pic:spPr>
                </pic:pic>
              </a:graphicData>
            </a:graphic>
          </wp:inline>
        </w:drawing>
      </w:r>
    </w:p>
    <w:p w:rsidR="00033807" w:rsidRDefault="00033807">
      <w:pPr>
        <w:spacing w:after="0"/>
        <w:jc w:val="both"/>
        <w:rPr>
          <w:rFonts w:cstheme="minorHAnsi"/>
          <w:sz w:val="6"/>
          <w:szCs w:val="6"/>
        </w:rPr>
      </w:pPr>
    </w:p>
    <w:p w:rsidR="00033807" w:rsidRDefault="00C071AF">
      <w:pPr>
        <w:spacing w:after="0"/>
        <w:jc w:val="both"/>
        <w:rPr>
          <w:rFonts w:cstheme="minorHAnsi"/>
        </w:rPr>
      </w:pPr>
      <w:r>
        <w:rPr>
          <w:noProof/>
          <w:lang w:eastAsia="cs-CZ"/>
        </w:rPr>
        <w:drawing>
          <wp:inline distT="0" distB="0" distL="0" distR="0">
            <wp:extent cx="6762750" cy="3031490"/>
            <wp:effectExtent l="0" t="0" r="0" b="0"/>
            <wp:docPr id="199" name="Obrázek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Obrázek48"/>
                    <pic:cNvPicPr>
                      <a:picLocks noChangeAspect="1" noChangeArrowheads="1"/>
                    </pic:cNvPicPr>
                  </pic:nvPicPr>
                  <pic:blipFill>
                    <a:blip r:embed="rId78"/>
                    <a:stretch>
                      <a:fillRect/>
                    </a:stretch>
                  </pic:blipFill>
                  <pic:spPr bwMode="auto">
                    <a:xfrm>
                      <a:off x="0" y="0"/>
                      <a:ext cx="6762750" cy="3031490"/>
                    </a:xfrm>
                    <a:prstGeom prst="rect">
                      <a:avLst/>
                    </a:prstGeom>
                  </pic:spPr>
                </pic:pic>
              </a:graphicData>
            </a:graphic>
          </wp:inline>
        </w:drawing>
      </w:r>
    </w:p>
    <w:p w:rsidR="00033807" w:rsidRDefault="00033807">
      <w:pPr>
        <w:pBdr>
          <w:bottom w:val="single" w:sz="6" w:space="1" w:color="000000"/>
        </w:pBdr>
        <w:spacing w:after="0"/>
        <w:jc w:val="both"/>
        <w:rPr>
          <w:rFonts w:cstheme="minorHAnsi"/>
          <w:sz w:val="10"/>
          <w:szCs w:val="10"/>
        </w:rPr>
      </w:pPr>
    </w:p>
    <w:p w:rsidR="00033807" w:rsidRDefault="00033807">
      <w:pPr>
        <w:pBdr>
          <w:bottom w:val="single" w:sz="6" w:space="1" w:color="000000"/>
        </w:pBdr>
        <w:spacing w:after="0"/>
        <w:jc w:val="both"/>
        <w:rPr>
          <w:rFonts w:cstheme="minorHAnsi"/>
          <w:sz w:val="10"/>
          <w:szCs w:val="10"/>
        </w:rPr>
      </w:pPr>
    </w:p>
    <w:p w:rsidR="00033807" w:rsidRDefault="00033807">
      <w:pPr>
        <w:spacing w:after="0"/>
        <w:jc w:val="both"/>
        <w:rPr>
          <w:rFonts w:cstheme="minorHAnsi"/>
        </w:rPr>
      </w:pPr>
    </w:p>
    <w:p w:rsidR="00033807" w:rsidRDefault="00C071AF">
      <w:pPr>
        <w:spacing w:after="0"/>
        <w:jc w:val="both"/>
        <w:rPr>
          <w:rFonts w:cstheme="minorHAnsi"/>
        </w:rPr>
      </w:pPr>
      <w:r>
        <w:rPr>
          <w:noProof/>
          <w:lang w:eastAsia="cs-CZ"/>
        </w:rPr>
        <w:drawing>
          <wp:inline distT="0" distB="0" distL="0" distR="0">
            <wp:extent cx="6815455" cy="4598035"/>
            <wp:effectExtent l="0" t="0" r="0" b="0"/>
            <wp:docPr id="200" name="Obrázek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Obrázek50"/>
                    <pic:cNvPicPr>
                      <a:picLocks noChangeAspect="1" noChangeArrowheads="1"/>
                    </pic:cNvPicPr>
                  </pic:nvPicPr>
                  <pic:blipFill>
                    <a:blip r:embed="rId79"/>
                    <a:stretch>
                      <a:fillRect/>
                    </a:stretch>
                  </pic:blipFill>
                  <pic:spPr bwMode="auto">
                    <a:xfrm>
                      <a:off x="0" y="0"/>
                      <a:ext cx="6815455" cy="4598035"/>
                    </a:xfrm>
                    <a:prstGeom prst="rect">
                      <a:avLst/>
                    </a:prstGeom>
                  </pic:spPr>
                </pic:pic>
              </a:graphicData>
            </a:graphic>
          </wp:inline>
        </w:drawing>
      </w:r>
    </w:p>
    <w:p w:rsidR="00033807" w:rsidRDefault="00033807">
      <w:pPr>
        <w:spacing w:after="0"/>
        <w:jc w:val="both"/>
        <w:rPr>
          <w:rFonts w:cstheme="minorHAnsi"/>
        </w:rPr>
      </w:pPr>
    </w:p>
    <w:p w:rsidR="00033807" w:rsidRDefault="00C071AF">
      <w:pPr>
        <w:spacing w:after="0"/>
        <w:jc w:val="both"/>
        <w:rPr>
          <w:rFonts w:cstheme="minorHAnsi"/>
        </w:rPr>
      </w:pPr>
      <w:r>
        <w:rPr>
          <w:noProof/>
          <w:lang w:eastAsia="cs-CZ"/>
        </w:rPr>
        <w:drawing>
          <wp:inline distT="0" distB="0" distL="0" distR="0">
            <wp:extent cx="6840855" cy="2838450"/>
            <wp:effectExtent l="0" t="0" r="0" b="0"/>
            <wp:docPr id="201" name="Obrázek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Obrázek52"/>
                    <pic:cNvPicPr>
                      <a:picLocks noChangeAspect="1" noChangeArrowheads="1"/>
                    </pic:cNvPicPr>
                  </pic:nvPicPr>
                  <pic:blipFill>
                    <a:blip r:embed="rId80"/>
                    <a:stretch>
                      <a:fillRect/>
                    </a:stretch>
                  </pic:blipFill>
                  <pic:spPr bwMode="auto">
                    <a:xfrm>
                      <a:off x="0" y="0"/>
                      <a:ext cx="6840855" cy="2838450"/>
                    </a:xfrm>
                    <a:prstGeom prst="rect">
                      <a:avLst/>
                    </a:prstGeom>
                  </pic:spPr>
                </pic:pic>
              </a:graphicData>
            </a:graphic>
          </wp:inline>
        </w:drawing>
      </w:r>
    </w:p>
    <w:p w:rsidR="00033807" w:rsidRDefault="00033807">
      <w:pPr>
        <w:spacing w:after="0"/>
        <w:jc w:val="both"/>
        <w:rPr>
          <w:rFonts w:cstheme="minorHAnsi"/>
          <w:sz w:val="8"/>
          <w:szCs w:val="8"/>
          <w:highlight w:val="yellow"/>
        </w:rPr>
      </w:pPr>
    </w:p>
    <w:p w:rsidR="00033807" w:rsidRDefault="00C071AF">
      <w:pPr>
        <w:spacing w:after="0"/>
        <w:ind w:left="737"/>
        <w:jc w:val="both"/>
        <w:rPr>
          <w:rFonts w:cstheme="minorHAnsi"/>
          <w:highlight w:val="yellow"/>
        </w:rPr>
      </w:pPr>
      <w:r>
        <w:rPr>
          <w:noProof/>
          <w:lang w:eastAsia="cs-CZ"/>
        </w:rPr>
        <w:drawing>
          <wp:inline distT="0" distB="0" distL="0" distR="0">
            <wp:extent cx="5702300" cy="1285240"/>
            <wp:effectExtent l="0" t="0" r="0" b="0"/>
            <wp:docPr id="202"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Obrázek 37"/>
                    <pic:cNvPicPr>
                      <a:picLocks noChangeAspect="1" noChangeArrowheads="1"/>
                    </pic:cNvPicPr>
                  </pic:nvPicPr>
                  <pic:blipFill>
                    <a:blip r:embed="rId81"/>
                    <a:stretch>
                      <a:fillRect/>
                    </a:stretch>
                  </pic:blipFill>
                  <pic:spPr bwMode="auto">
                    <a:xfrm>
                      <a:off x="0" y="0"/>
                      <a:ext cx="5702300" cy="1285240"/>
                    </a:xfrm>
                    <a:prstGeom prst="rect">
                      <a:avLst/>
                    </a:prstGeom>
                  </pic:spPr>
                </pic:pic>
              </a:graphicData>
            </a:graphic>
          </wp:inline>
        </w:drawing>
      </w:r>
    </w:p>
    <w:p w:rsidR="00033807" w:rsidRDefault="00C071AF">
      <w:pPr>
        <w:spacing w:after="0"/>
        <w:ind w:left="964"/>
        <w:jc w:val="both"/>
        <w:rPr>
          <w:rFonts w:cstheme="minorHAnsi"/>
          <w:highlight w:val="yellow"/>
        </w:rPr>
      </w:pPr>
      <w:r>
        <w:rPr>
          <w:noProof/>
          <w:lang w:eastAsia="cs-CZ"/>
        </w:rPr>
        <w:drawing>
          <wp:inline distT="0" distB="0" distL="0" distR="0">
            <wp:extent cx="5380990" cy="1017905"/>
            <wp:effectExtent l="0" t="0" r="0" b="0"/>
            <wp:docPr id="203"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Obrázek 40"/>
                    <pic:cNvPicPr>
                      <a:picLocks noChangeAspect="1" noChangeArrowheads="1"/>
                    </pic:cNvPicPr>
                  </pic:nvPicPr>
                  <pic:blipFill>
                    <a:blip r:embed="rId82"/>
                    <a:stretch>
                      <a:fillRect/>
                    </a:stretch>
                  </pic:blipFill>
                  <pic:spPr bwMode="auto">
                    <a:xfrm>
                      <a:off x="0" y="0"/>
                      <a:ext cx="5380990" cy="1017905"/>
                    </a:xfrm>
                    <a:prstGeom prst="rect">
                      <a:avLst/>
                    </a:prstGeom>
                  </pic:spPr>
                </pic:pic>
              </a:graphicData>
            </a:graphic>
          </wp:inline>
        </w:drawing>
      </w:r>
    </w:p>
    <w:p w:rsidR="00033807" w:rsidRDefault="00033807">
      <w:pPr>
        <w:spacing w:after="0"/>
        <w:jc w:val="both"/>
        <w:rPr>
          <w:rFonts w:cstheme="minorHAnsi"/>
          <w:b/>
          <w:sz w:val="20"/>
          <w:szCs w:val="20"/>
          <w:highlight w:val="yellow"/>
          <w:u w:val="single"/>
        </w:rPr>
      </w:pPr>
    </w:p>
    <w:p w:rsidR="00033807" w:rsidRDefault="00033807">
      <w:pPr>
        <w:spacing w:after="0"/>
        <w:jc w:val="both"/>
        <w:rPr>
          <w:rFonts w:cstheme="minorHAnsi"/>
          <w:b/>
          <w:sz w:val="20"/>
          <w:szCs w:val="20"/>
          <w:highlight w:val="yellow"/>
          <w:u w:val="single"/>
        </w:rPr>
      </w:pPr>
    </w:p>
    <w:p w:rsidR="00033807" w:rsidRDefault="00C071AF">
      <w:pPr>
        <w:spacing w:after="0"/>
        <w:jc w:val="both"/>
        <w:rPr>
          <w:rFonts w:cstheme="minorHAnsi"/>
          <w:b/>
          <w:sz w:val="28"/>
          <w:szCs w:val="28"/>
        </w:rPr>
      </w:pPr>
      <w:r>
        <w:rPr>
          <w:rFonts w:cstheme="minorHAnsi"/>
          <w:b/>
          <w:sz w:val="28"/>
          <w:szCs w:val="28"/>
        </w:rPr>
        <w:t xml:space="preserve">   </w:t>
      </w:r>
    </w:p>
    <w:p w:rsidR="00033807" w:rsidRDefault="00C071AF">
      <w:pPr>
        <w:spacing w:after="0"/>
        <w:jc w:val="both"/>
        <w:rPr>
          <w:rFonts w:cstheme="minorHAnsi"/>
          <w:b/>
          <w:sz w:val="28"/>
          <w:szCs w:val="28"/>
        </w:rPr>
      </w:pPr>
      <w:r>
        <w:rPr>
          <w:noProof/>
          <w:lang w:eastAsia="cs-CZ"/>
        </w:rPr>
        <w:drawing>
          <wp:inline distT="0" distB="0" distL="0" distR="0">
            <wp:extent cx="6840220" cy="414020"/>
            <wp:effectExtent l="0" t="0" r="0" b="0"/>
            <wp:docPr id="204" name="Obrázek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Obrázek54"/>
                    <pic:cNvPicPr>
                      <a:picLocks noChangeAspect="1" noChangeArrowheads="1"/>
                    </pic:cNvPicPr>
                  </pic:nvPicPr>
                  <pic:blipFill>
                    <a:blip r:embed="rId83"/>
                    <a:stretch>
                      <a:fillRect/>
                    </a:stretch>
                  </pic:blipFill>
                  <pic:spPr bwMode="auto">
                    <a:xfrm>
                      <a:off x="0" y="0"/>
                      <a:ext cx="6840220" cy="414020"/>
                    </a:xfrm>
                    <a:prstGeom prst="rect">
                      <a:avLst/>
                    </a:prstGeom>
                  </pic:spPr>
                </pic:pic>
              </a:graphicData>
            </a:graphic>
          </wp:inline>
        </w:drawing>
      </w:r>
    </w:p>
    <w:p w:rsidR="00033807" w:rsidRDefault="00033807">
      <w:pPr>
        <w:spacing w:after="0"/>
        <w:jc w:val="both"/>
        <w:rPr>
          <w:rFonts w:cstheme="minorHAnsi"/>
          <w:b/>
          <w:sz w:val="10"/>
          <w:szCs w:val="10"/>
        </w:rPr>
      </w:pPr>
    </w:p>
    <w:p w:rsidR="00033807" w:rsidRDefault="00C071AF">
      <w:pPr>
        <w:spacing w:after="0"/>
        <w:jc w:val="both"/>
        <w:rPr>
          <w:rFonts w:cstheme="minorHAnsi"/>
          <w:b/>
          <w:sz w:val="28"/>
          <w:szCs w:val="28"/>
        </w:rPr>
      </w:pPr>
      <w:r>
        <w:rPr>
          <w:noProof/>
          <w:lang w:eastAsia="cs-CZ"/>
        </w:rPr>
        <w:drawing>
          <wp:inline distT="0" distB="0" distL="0" distR="0">
            <wp:extent cx="6831965" cy="647065"/>
            <wp:effectExtent l="0" t="0" r="0" b="0"/>
            <wp:docPr id="205" name="Obrázek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Obrázek55"/>
                    <pic:cNvPicPr>
                      <a:picLocks noChangeAspect="1" noChangeArrowheads="1"/>
                    </pic:cNvPicPr>
                  </pic:nvPicPr>
                  <pic:blipFill>
                    <a:blip r:embed="rId84"/>
                    <a:stretch>
                      <a:fillRect/>
                    </a:stretch>
                  </pic:blipFill>
                  <pic:spPr bwMode="auto">
                    <a:xfrm>
                      <a:off x="0" y="0"/>
                      <a:ext cx="6831965" cy="647065"/>
                    </a:xfrm>
                    <a:prstGeom prst="rect">
                      <a:avLst/>
                    </a:prstGeom>
                  </pic:spPr>
                </pic:pic>
              </a:graphicData>
            </a:graphic>
          </wp:inline>
        </w:drawing>
      </w:r>
    </w:p>
    <w:p w:rsidR="00033807" w:rsidRDefault="00C071AF">
      <w:pPr>
        <w:spacing w:after="0"/>
        <w:jc w:val="center"/>
        <w:rPr>
          <w:rFonts w:cstheme="minorHAnsi"/>
          <w:b/>
          <w:color w:val="FF0000"/>
          <w:sz w:val="20"/>
          <w:szCs w:val="20"/>
        </w:rPr>
      </w:pPr>
      <w:r>
        <w:rPr>
          <w:rFonts w:cstheme="minorHAnsi"/>
          <w:b/>
          <w:color w:val="FF0000"/>
          <w:sz w:val="20"/>
          <w:szCs w:val="20"/>
        </w:rPr>
        <w:t>Autorem této FE analýzy byl červeně zvýrazněn výsledek se statisticky významným rozdílem!</w:t>
      </w:r>
    </w:p>
    <w:p w:rsidR="00033807" w:rsidRDefault="00C071AF">
      <w:pPr>
        <w:spacing w:after="0"/>
        <w:ind w:left="283"/>
        <w:jc w:val="both"/>
        <w:rPr>
          <w:rFonts w:cstheme="minorHAnsi"/>
          <w:b/>
          <w:sz w:val="28"/>
          <w:szCs w:val="28"/>
        </w:rPr>
      </w:pPr>
      <w:r>
        <w:rPr>
          <w:noProof/>
          <w:lang w:eastAsia="cs-CZ"/>
        </w:rPr>
        <mc:AlternateContent>
          <mc:Choice Requires="wps">
            <w:drawing>
              <wp:anchor distT="0" distB="0" distL="114300" distR="114300" simplePos="0" relativeHeight="398" behindDoc="0" locked="0" layoutInCell="0" allowOverlap="1">
                <wp:simplePos x="0" y="0"/>
                <wp:positionH relativeFrom="column">
                  <wp:posOffset>182880</wp:posOffset>
                </wp:positionH>
                <wp:positionV relativeFrom="paragraph">
                  <wp:posOffset>1856105</wp:posOffset>
                </wp:positionV>
                <wp:extent cx="6539230" cy="171450"/>
                <wp:effectExtent l="12700" t="12700" r="12700" b="12700"/>
                <wp:wrapNone/>
                <wp:docPr id="206" name="Obdélník 206"/>
                <wp:cNvGraphicFramePr/>
                <a:graphic xmlns:a="http://schemas.openxmlformats.org/drawingml/2006/main">
                  <a:graphicData uri="http://schemas.microsoft.com/office/word/2010/wordprocessingShape">
                    <wps:wsp>
                      <wps:cNvSpPr/>
                      <wps:spPr>
                        <a:xfrm>
                          <a:off x="0" y="0"/>
                          <a:ext cx="6539400" cy="171360"/>
                        </a:xfrm>
                        <a:prstGeom prst="rect">
                          <a:avLst/>
                        </a:prstGeom>
                        <a:solidFill>
                          <a:srgbClr val="FF0000">
                            <a:alpha val="13000"/>
                          </a:srgbClr>
                        </a:solidFill>
                        <a:ln w="25560">
                          <a:solidFill>
                            <a:srgbClr val="FF0000"/>
                          </a:solidFill>
                          <a:round/>
                        </a:ln>
                      </wps:spPr>
                      <wps:bodyPr/>
                    </wps:wsp>
                  </a:graphicData>
                </a:graphic>
              </wp:anchor>
            </w:drawing>
          </mc:Choice>
          <mc:Fallback>
            <w:pict>
              <v:rect w14:anchorId="20D4AE74" id="Obdélník 206" o:spid="_x0000_s1026" style="position:absolute;margin-left:14.4pt;margin-top:146.15pt;width:514.9pt;height:13.5pt;z-index:3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" o:allowincell="f" fillcolor="red" strokecolor="red" strokeweight=".71mm">
                <v:fill opacity="8481f"/>
                <v:stroke joinstyle="round"/>
              </v:rect>
            </w:pict>
          </mc:Fallback>
        </mc:AlternateContent>
      </w:r>
      <w:r>
        <w:rPr>
          <w:noProof/>
          <w:lang w:eastAsia="cs-CZ"/>
        </w:rPr>
        <mc:AlternateContent>
          <mc:Choice Requires="wps">
            <w:drawing>
              <wp:anchor distT="0" distB="0" distL="114300" distR="114300" simplePos="0" relativeHeight="399" behindDoc="0" locked="0" layoutInCell="0" allowOverlap="1">
                <wp:simplePos x="0" y="0"/>
                <wp:positionH relativeFrom="column">
                  <wp:posOffset>182880</wp:posOffset>
                </wp:positionH>
                <wp:positionV relativeFrom="paragraph">
                  <wp:posOffset>1457960</wp:posOffset>
                </wp:positionV>
                <wp:extent cx="1872615" cy="389255"/>
                <wp:effectExtent l="12700" t="12700" r="12700" b="12700"/>
                <wp:wrapNone/>
                <wp:docPr id="207" name="Obdélník 207"/>
                <wp:cNvGraphicFramePr/>
                <a:graphic xmlns:a="http://schemas.openxmlformats.org/drawingml/2006/main">
                  <a:graphicData uri="http://schemas.microsoft.com/office/word/2010/wordprocessingShape">
                    <wps:wsp>
                      <wps:cNvSpPr/>
                      <wps:spPr>
                        <a:xfrm>
                          <a:off x="0" y="0"/>
                          <a:ext cx="1872720" cy="389160"/>
                        </a:xfrm>
                        <a:prstGeom prst="rect">
                          <a:avLst/>
                        </a:prstGeom>
                        <a:solidFill>
                          <a:srgbClr val="FF0000">
                            <a:alpha val="13000"/>
                          </a:srgbClr>
                        </a:solidFill>
                        <a:ln w="25560">
                          <a:solidFill>
                            <a:srgbClr val="FF0000"/>
                          </a:solidFill>
                          <a:round/>
                        </a:ln>
                      </wps:spPr>
                      <wps:bodyPr/>
                    </wps:wsp>
                  </a:graphicData>
                </a:graphic>
              </wp:anchor>
            </w:drawing>
          </mc:Choice>
          <mc:Fallback>
            <w:pict>
              <v:rect w14:anchorId="307D2898" id="Obdélník 207" o:spid="_x0000_s1026" style="position:absolute;margin-left:14.4pt;margin-top:114.8pt;width:147.45pt;height:30.65pt;z-index:3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" o:allowincell="f" fillcolor="red" strokecolor="red" strokeweight=".71mm">
                <v:fill opacity="8481f"/>
                <v:stroke joinstyle="round"/>
              </v:rect>
            </w:pict>
          </mc:Fallback>
        </mc:AlternateContent>
      </w:r>
      <w:r>
        <w:rPr>
          <w:noProof/>
          <w:lang w:eastAsia="cs-CZ"/>
        </w:rPr>
        <w:drawing>
          <wp:inline distT="0" distB="0" distL="0" distR="0">
            <wp:extent cx="6454140" cy="2199640"/>
            <wp:effectExtent l="0" t="0" r="0" b="0"/>
            <wp:docPr id="208" name="Obrázek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Obrázek56"/>
                    <pic:cNvPicPr>
                      <a:picLocks noChangeAspect="1" noChangeArrowheads="1"/>
                    </pic:cNvPicPr>
                  </pic:nvPicPr>
                  <pic:blipFill>
                    <a:blip r:embed="rId85"/>
                    <a:stretch>
                      <a:fillRect/>
                    </a:stretch>
                  </pic:blipFill>
                  <pic:spPr bwMode="auto">
                    <a:xfrm>
                      <a:off x="0" y="0"/>
                      <a:ext cx="6454140" cy="2199640"/>
                    </a:xfrm>
                    <a:prstGeom prst="rect">
                      <a:avLst/>
                    </a:prstGeom>
                  </pic:spPr>
                </pic:pic>
              </a:graphicData>
            </a:graphic>
          </wp:inline>
        </w:drawing>
      </w:r>
    </w:p>
    <w:p w:rsidR="00033807" w:rsidRDefault="00C071AF">
      <w:pPr>
        <w:spacing w:after="0"/>
        <w:ind w:left="454"/>
        <w:jc w:val="both"/>
        <w:rPr>
          <w:rFonts w:cstheme="minorHAnsi"/>
          <w:b/>
          <w:sz w:val="28"/>
          <w:szCs w:val="28"/>
        </w:rPr>
      </w:pPr>
      <w:r>
        <w:rPr>
          <w:noProof/>
          <w:lang w:eastAsia="cs-CZ"/>
        </w:rPr>
        <w:drawing>
          <wp:inline distT="0" distB="0" distL="0" distR="0">
            <wp:extent cx="6271260" cy="276225"/>
            <wp:effectExtent l="0" t="0" r="0" b="0"/>
            <wp:docPr id="209" name="Obrázek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Obrázek57"/>
                    <pic:cNvPicPr>
                      <a:picLocks noChangeAspect="1" noChangeArrowheads="1"/>
                    </pic:cNvPicPr>
                  </pic:nvPicPr>
                  <pic:blipFill>
                    <a:blip r:embed="rId86"/>
                    <a:stretch>
                      <a:fillRect/>
                    </a:stretch>
                  </pic:blipFill>
                  <pic:spPr bwMode="auto">
                    <a:xfrm>
                      <a:off x="0" y="0"/>
                      <a:ext cx="6271260" cy="276225"/>
                    </a:xfrm>
                    <a:prstGeom prst="rect">
                      <a:avLst/>
                    </a:prstGeom>
                  </pic:spPr>
                </pic:pic>
              </a:graphicData>
            </a:graphic>
          </wp:inline>
        </w:drawing>
      </w:r>
    </w:p>
    <w:p w:rsidR="00033807" w:rsidRDefault="00033807">
      <w:pPr>
        <w:spacing w:after="0"/>
        <w:ind w:left="454"/>
        <w:jc w:val="both"/>
        <w:rPr>
          <w:rFonts w:cstheme="minorHAnsi"/>
          <w:b/>
          <w:sz w:val="28"/>
          <w:szCs w:val="28"/>
        </w:rPr>
      </w:pPr>
    </w:p>
    <w:p w:rsidR="00033807" w:rsidRDefault="00C071AF">
      <w:pPr>
        <w:spacing w:after="0"/>
        <w:jc w:val="both"/>
        <w:rPr>
          <w:rFonts w:cstheme="minorHAnsi"/>
          <w:b/>
          <w:sz w:val="28"/>
          <w:szCs w:val="28"/>
        </w:rPr>
      </w:pPr>
      <w:r>
        <w:rPr>
          <w:noProof/>
          <w:lang w:eastAsia="cs-CZ"/>
        </w:rPr>
        <w:drawing>
          <wp:inline distT="0" distB="0" distL="0" distR="0">
            <wp:extent cx="6668135" cy="4027805"/>
            <wp:effectExtent l="0" t="0" r="0" b="0"/>
            <wp:docPr id="210" name="Obrázek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Obrázek58"/>
                    <pic:cNvPicPr>
                      <a:picLocks noChangeAspect="1" noChangeArrowheads="1"/>
                    </pic:cNvPicPr>
                  </pic:nvPicPr>
                  <pic:blipFill>
                    <a:blip r:embed="rId87"/>
                    <a:stretch>
                      <a:fillRect/>
                    </a:stretch>
                  </pic:blipFill>
                  <pic:spPr bwMode="auto">
                    <a:xfrm>
                      <a:off x="0" y="0"/>
                      <a:ext cx="6668135" cy="4027805"/>
                    </a:xfrm>
                    <a:prstGeom prst="rect">
                      <a:avLst/>
                    </a:prstGeom>
                  </pic:spPr>
                </pic:pic>
              </a:graphicData>
            </a:graphic>
          </wp:inline>
        </w:drawing>
      </w:r>
    </w:p>
    <w:p w:rsidR="00033807" w:rsidRDefault="00033807">
      <w:pPr>
        <w:spacing w:after="0"/>
        <w:jc w:val="both"/>
        <w:rPr>
          <w:rFonts w:cstheme="minorHAnsi"/>
          <w:b/>
          <w:sz w:val="28"/>
          <w:szCs w:val="28"/>
        </w:rPr>
      </w:pPr>
    </w:p>
    <w:p w:rsidR="00033807" w:rsidRDefault="00033807">
      <w:pPr>
        <w:spacing w:after="0"/>
        <w:jc w:val="both"/>
        <w:rPr>
          <w:rFonts w:cstheme="minorHAnsi"/>
          <w:b/>
          <w:sz w:val="28"/>
          <w:szCs w:val="28"/>
        </w:rPr>
      </w:pPr>
    </w:p>
    <w:p w:rsidR="00033807" w:rsidRDefault="00C071AF">
      <w:pPr>
        <w:spacing w:after="0"/>
        <w:jc w:val="both"/>
        <w:rPr>
          <w:rFonts w:cstheme="minorHAnsi"/>
          <w:b/>
          <w:sz w:val="28"/>
          <w:szCs w:val="28"/>
        </w:rPr>
      </w:pPr>
      <w:r>
        <w:rPr>
          <w:rFonts w:cstheme="minorHAnsi"/>
          <w:b/>
          <w:sz w:val="28"/>
          <w:szCs w:val="28"/>
        </w:rPr>
        <w:t>--------------------------------------------------------------------------------------------------------------------------</w:t>
      </w:r>
    </w:p>
    <w:p w:rsidR="00033807" w:rsidRDefault="00033807">
      <w:pPr>
        <w:spacing w:after="0"/>
        <w:jc w:val="both"/>
        <w:rPr>
          <w:rFonts w:cstheme="minorHAnsi"/>
          <w:b/>
          <w:sz w:val="28"/>
          <w:szCs w:val="28"/>
        </w:rPr>
      </w:pPr>
    </w:p>
    <w:p w:rsidR="00033807" w:rsidRDefault="00033807">
      <w:pPr>
        <w:spacing w:after="0"/>
        <w:jc w:val="both"/>
        <w:rPr>
          <w:rFonts w:cstheme="minorHAnsi"/>
          <w:b/>
          <w:sz w:val="28"/>
          <w:szCs w:val="28"/>
        </w:rPr>
      </w:pPr>
    </w:p>
    <w:p w:rsidR="00033807" w:rsidRDefault="00C071AF">
      <w:pPr>
        <w:spacing w:after="0"/>
        <w:jc w:val="both"/>
        <w:rPr>
          <w:rFonts w:cstheme="minorHAnsi"/>
          <w:b/>
          <w:sz w:val="28"/>
          <w:szCs w:val="28"/>
        </w:rPr>
      </w:pPr>
      <w:r>
        <w:rPr>
          <w:noProof/>
          <w:lang w:eastAsia="cs-CZ"/>
        </w:rPr>
        <w:drawing>
          <wp:inline distT="0" distB="0" distL="0" distR="0">
            <wp:extent cx="6840220" cy="3303905"/>
            <wp:effectExtent l="0" t="0" r="0" b="0"/>
            <wp:docPr id="211" name="Obrázek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Obrázek59"/>
                    <pic:cNvPicPr>
                      <a:picLocks noChangeAspect="1" noChangeArrowheads="1"/>
                    </pic:cNvPicPr>
                  </pic:nvPicPr>
                  <pic:blipFill>
                    <a:blip r:embed="rId88"/>
                    <a:stretch>
                      <a:fillRect/>
                    </a:stretch>
                  </pic:blipFill>
                  <pic:spPr bwMode="auto">
                    <a:xfrm>
                      <a:off x="0" y="0"/>
                      <a:ext cx="6840220" cy="3303905"/>
                    </a:xfrm>
                    <a:prstGeom prst="rect">
                      <a:avLst/>
                    </a:prstGeom>
                  </pic:spPr>
                </pic:pic>
              </a:graphicData>
            </a:graphic>
          </wp:inline>
        </w:drawing>
      </w:r>
    </w:p>
    <w:p w:rsidR="00033807" w:rsidRDefault="00033807">
      <w:pPr>
        <w:spacing w:after="0"/>
        <w:jc w:val="both"/>
        <w:rPr>
          <w:rFonts w:cstheme="minorHAnsi"/>
          <w:b/>
          <w:sz w:val="28"/>
          <w:szCs w:val="28"/>
        </w:rPr>
      </w:pPr>
    </w:p>
    <w:p w:rsidR="00033807" w:rsidRDefault="00033807">
      <w:pPr>
        <w:spacing w:after="0"/>
        <w:jc w:val="both"/>
        <w:rPr>
          <w:rFonts w:cstheme="minorHAnsi"/>
          <w:b/>
          <w:sz w:val="28"/>
          <w:szCs w:val="28"/>
        </w:rPr>
      </w:pPr>
    </w:p>
    <w:p w:rsidR="00033807" w:rsidRDefault="00033807">
      <w:pPr>
        <w:spacing w:after="0"/>
        <w:jc w:val="both"/>
        <w:rPr>
          <w:rFonts w:cstheme="minorHAnsi"/>
          <w:b/>
          <w:sz w:val="28"/>
          <w:szCs w:val="28"/>
        </w:rPr>
      </w:pPr>
    </w:p>
    <w:p w:rsidR="00033807" w:rsidRDefault="00033807">
      <w:pPr>
        <w:spacing w:after="0"/>
        <w:jc w:val="both"/>
        <w:rPr>
          <w:rFonts w:cstheme="minorHAnsi"/>
          <w:b/>
          <w:sz w:val="28"/>
          <w:szCs w:val="28"/>
        </w:rPr>
      </w:pPr>
    </w:p>
    <w:p w:rsidR="00033807" w:rsidRDefault="00C071AF">
      <w:pPr>
        <w:spacing w:after="0"/>
        <w:jc w:val="both"/>
        <w:rPr>
          <w:rFonts w:cstheme="minorHAnsi"/>
          <w:b/>
          <w:sz w:val="28"/>
          <w:szCs w:val="28"/>
        </w:rPr>
      </w:pPr>
      <w:r>
        <w:rPr>
          <w:rFonts w:cstheme="minorHAnsi"/>
          <w:b/>
          <w:sz w:val="28"/>
          <w:szCs w:val="28"/>
        </w:rPr>
        <w:t xml:space="preserve"> </w:t>
      </w:r>
    </w:p>
    <w:p w:rsidR="00033807" w:rsidRDefault="00C071AF">
      <w:pPr>
        <w:spacing w:after="0"/>
        <w:jc w:val="both"/>
        <w:rPr>
          <w:rFonts w:cstheme="minorHAnsi"/>
          <w:b/>
          <w:sz w:val="28"/>
          <w:szCs w:val="28"/>
        </w:rPr>
      </w:pPr>
      <w:r>
        <w:rPr>
          <w:noProof/>
          <w:lang w:eastAsia="cs-CZ"/>
        </w:rPr>
        <w:drawing>
          <wp:inline distT="0" distB="0" distL="0" distR="0">
            <wp:extent cx="6824980" cy="663575"/>
            <wp:effectExtent l="0" t="0" r="0" b="0"/>
            <wp:docPr id="212" name="Obrázek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Obrázek61"/>
                    <pic:cNvPicPr>
                      <a:picLocks noChangeAspect="1" noChangeArrowheads="1"/>
                    </pic:cNvPicPr>
                  </pic:nvPicPr>
                  <pic:blipFill>
                    <a:blip r:embed="rId89"/>
                    <a:stretch>
                      <a:fillRect/>
                    </a:stretch>
                  </pic:blipFill>
                  <pic:spPr bwMode="auto">
                    <a:xfrm>
                      <a:off x="0" y="0"/>
                      <a:ext cx="6824980" cy="663575"/>
                    </a:xfrm>
                    <a:prstGeom prst="rect">
                      <a:avLst/>
                    </a:prstGeom>
                  </pic:spPr>
                </pic:pic>
              </a:graphicData>
            </a:graphic>
          </wp:inline>
        </w:drawing>
      </w:r>
    </w:p>
    <w:p w:rsidR="00033807" w:rsidRDefault="00033807">
      <w:pPr>
        <w:spacing w:after="0"/>
        <w:jc w:val="both"/>
        <w:rPr>
          <w:rFonts w:cstheme="minorHAnsi"/>
          <w:b/>
          <w:sz w:val="10"/>
          <w:szCs w:val="10"/>
        </w:rPr>
      </w:pPr>
    </w:p>
    <w:p w:rsidR="00033807" w:rsidRDefault="00C071AF">
      <w:pPr>
        <w:spacing w:after="0"/>
        <w:jc w:val="both"/>
        <w:rPr>
          <w:rFonts w:cstheme="minorHAnsi"/>
        </w:rPr>
      </w:pPr>
      <w:r>
        <w:rPr>
          <w:noProof/>
          <w:lang w:eastAsia="cs-CZ"/>
        </w:rPr>
        <mc:AlternateContent>
          <mc:Choice Requires="wps">
            <w:drawing>
              <wp:anchor distT="0" distB="0" distL="114300" distR="114300" simplePos="0" relativeHeight="397" behindDoc="0" locked="0" layoutInCell="0" allowOverlap="1">
                <wp:simplePos x="0" y="0"/>
                <wp:positionH relativeFrom="column">
                  <wp:posOffset>5582285</wp:posOffset>
                </wp:positionH>
                <wp:positionV relativeFrom="paragraph">
                  <wp:posOffset>629920</wp:posOffset>
                </wp:positionV>
                <wp:extent cx="535940" cy="2018030"/>
                <wp:effectExtent l="12700" t="12700" r="12700" b="12700"/>
                <wp:wrapNone/>
                <wp:docPr id="213" name="Obdélník 213"/>
                <wp:cNvGraphicFramePr/>
                <a:graphic xmlns:a="http://schemas.openxmlformats.org/drawingml/2006/main">
                  <a:graphicData uri="http://schemas.microsoft.com/office/word/2010/wordprocessingShape">
                    <wps:wsp>
                      <wps:cNvSpPr/>
                      <wps:spPr>
                        <a:xfrm>
                          <a:off x="0" y="0"/>
                          <a:ext cx="536040" cy="2018160"/>
                        </a:xfrm>
                        <a:prstGeom prst="rect">
                          <a:avLst/>
                        </a:prstGeom>
                        <a:solidFill>
                          <a:srgbClr val="FF0000">
                            <a:alpha val="13000"/>
                          </a:srgbClr>
                        </a:solidFill>
                        <a:ln w="25560">
                          <a:solidFill>
                            <a:srgbClr val="FF0000"/>
                          </a:solidFill>
                          <a:round/>
                        </a:ln>
                      </wps:spPr>
                      <wps:bodyPr/>
                    </wps:wsp>
                  </a:graphicData>
                </a:graphic>
              </wp:anchor>
            </w:drawing>
          </mc:Choice>
          <mc:Fallback>
            <w:pict>
              <v:rect w14:anchorId="5B4DF371" id="Obdélník 213" o:spid="_x0000_s1026" style="position:absolute;margin-left:439.55pt;margin-top:49.6pt;width:42.2pt;height:158.9pt;z-index:3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" o:allowincell="f" fillcolor="red" strokecolor="red" strokeweight=".71mm">
                <v:fill opacity="8481f"/>
                <v:stroke joinstyle="round"/>
              </v:rect>
            </w:pict>
          </mc:Fallback>
        </mc:AlternateContent>
      </w:r>
      <w:r>
        <w:rPr>
          <w:noProof/>
          <w:lang w:eastAsia="cs-CZ"/>
        </w:rPr>
        <w:drawing>
          <wp:inline distT="0" distB="0" distL="0" distR="0">
            <wp:extent cx="6840855" cy="2717165"/>
            <wp:effectExtent l="0" t="0" r="0" b="0"/>
            <wp:docPr id="214" name="Obrázek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Obrázek63"/>
                    <pic:cNvPicPr>
                      <a:picLocks noChangeAspect="1" noChangeArrowheads="1"/>
                    </pic:cNvPicPr>
                  </pic:nvPicPr>
                  <pic:blipFill>
                    <a:blip r:embed="rId90"/>
                    <a:stretch>
                      <a:fillRect/>
                    </a:stretch>
                  </pic:blipFill>
                  <pic:spPr bwMode="auto">
                    <a:xfrm>
                      <a:off x="0" y="0"/>
                      <a:ext cx="6840855" cy="2717165"/>
                    </a:xfrm>
                    <a:prstGeom prst="rect">
                      <a:avLst/>
                    </a:prstGeom>
                  </pic:spPr>
                </pic:pic>
              </a:graphicData>
            </a:graphic>
          </wp:inline>
        </w:drawing>
      </w:r>
    </w:p>
    <w:p w:rsidR="00033807" w:rsidRDefault="00C071AF">
      <w:pPr>
        <w:spacing w:after="0"/>
        <w:ind w:left="57" w:right="57"/>
        <w:jc w:val="both"/>
        <w:rPr>
          <w:rFonts w:cstheme="minorHAnsi"/>
          <w:sz w:val="18"/>
          <w:szCs w:val="18"/>
        </w:rPr>
      </w:pPr>
      <w:r>
        <w:rPr>
          <w:rFonts w:cstheme="minorHAnsi"/>
          <w:sz w:val="18"/>
          <w:szCs w:val="18"/>
        </w:rPr>
        <w:t>Comparison of treatment-emergent serious adv</w:t>
      </w:r>
      <w:r w:rsidR="00A41659">
        <w:rPr>
          <w:rFonts w:cstheme="minorHAnsi"/>
          <w:sz w:val="18"/>
          <w:szCs w:val="18"/>
        </w:rPr>
        <w:t xml:space="preserve"> </w:t>
      </w:r>
      <w:r>
        <w:rPr>
          <w:rFonts w:cstheme="minorHAnsi"/>
          <w:sz w:val="18"/>
          <w:szCs w:val="18"/>
        </w:rPr>
        <w:t xml:space="preserve">erse events (SAEs) between treatment and placebo with reduced-dose methylprednisolone and full-dose methylprednisolone from the TESTING trial and targeted release formulation (TRF) budesonide 16mg from the NefIgArd trial. </w:t>
      </w:r>
    </w:p>
    <w:p w:rsidR="00033807" w:rsidRDefault="00C071AF">
      <w:pPr>
        <w:spacing w:after="0"/>
        <w:ind w:left="57" w:right="57"/>
        <w:jc w:val="both"/>
        <w:rPr>
          <w:rFonts w:cstheme="minorHAnsi"/>
          <w:sz w:val="18"/>
          <w:szCs w:val="18"/>
        </w:rPr>
      </w:pPr>
      <w:r>
        <w:rPr>
          <w:rFonts w:cstheme="minorHAnsi"/>
          <w:sz w:val="18"/>
          <w:szCs w:val="18"/>
        </w:rPr>
        <w:t xml:space="preserve">* Not reported, ** SAEs reported during the </w:t>
      </w:r>
      <w:proofErr w:type="gramStart"/>
      <w:r>
        <w:rPr>
          <w:rFonts w:cstheme="minorHAnsi"/>
          <w:sz w:val="18"/>
          <w:szCs w:val="18"/>
        </w:rPr>
        <w:t>9-month</w:t>
      </w:r>
      <w:proofErr w:type="gramEnd"/>
      <w:r>
        <w:rPr>
          <w:rFonts w:cstheme="minorHAnsi"/>
          <w:sz w:val="18"/>
          <w:szCs w:val="18"/>
        </w:rPr>
        <w:t xml:space="preserve"> treatment period</w:t>
      </w:r>
      <w:r>
        <w:rPr>
          <w:rFonts w:cstheme="minorHAnsi"/>
          <w:sz w:val="18"/>
          <w:szCs w:val="18"/>
          <w:vertAlign w:val="superscript"/>
        </w:rPr>
        <w:t>130</w:t>
      </w:r>
      <w:r>
        <w:rPr>
          <w:rFonts w:cstheme="minorHAnsi"/>
          <w:sz w:val="18"/>
          <w:szCs w:val="18"/>
        </w:rPr>
        <w:t xml:space="preserve">. </w:t>
      </w:r>
      <w:r w:rsidRPr="00D52208">
        <w:rPr>
          <w:rFonts w:cstheme="minorHAnsi"/>
          <w:sz w:val="18"/>
          <w:szCs w:val="18"/>
          <w:u w:val="single"/>
        </w:rPr>
        <w:t xml:space="preserve">**** In the budesonide group two patients had SARS-CoV-2 infections and one community-acquired pneumonia, in the placebo group one patient had </w:t>
      </w:r>
      <w:r w:rsidRPr="00D52208">
        <w:rPr>
          <w:rFonts w:cstheme="minorHAnsi"/>
          <w:i/>
          <w:sz w:val="18"/>
          <w:szCs w:val="18"/>
          <w:u w:val="single"/>
        </w:rPr>
        <w:t>Campylobacter</w:t>
      </w:r>
      <w:r w:rsidRPr="00D52208">
        <w:rPr>
          <w:rFonts w:cstheme="minorHAnsi"/>
          <w:sz w:val="18"/>
          <w:szCs w:val="18"/>
          <w:u w:val="single"/>
        </w:rPr>
        <w:t xml:space="preserve"> colitis</w:t>
      </w:r>
      <w:r w:rsidR="00D52208" w:rsidRPr="00D52208">
        <w:rPr>
          <w:rFonts w:cstheme="minorHAnsi"/>
          <w:sz w:val="18"/>
          <w:szCs w:val="18"/>
          <w:u w:val="single"/>
        </w:rPr>
        <w:t xml:space="preserve"> – CAVE! výsledky z celé studie NefIgArd týkající se infekcí nebyly reportovány tabulkove (Table 3 v originálu studie), ale jen uvedeny v textu</w:t>
      </w:r>
      <w:r w:rsidRPr="00D52208">
        <w:rPr>
          <w:rFonts w:cstheme="minorHAnsi"/>
          <w:sz w:val="18"/>
          <w:szCs w:val="18"/>
          <w:u w:val="single"/>
          <w:vertAlign w:val="superscript"/>
        </w:rPr>
        <w:t>116</w:t>
      </w:r>
      <w:r w:rsidR="00D52208" w:rsidRPr="00D52208">
        <w:rPr>
          <w:rFonts w:cstheme="minorHAnsi"/>
          <w:sz w:val="18"/>
          <w:szCs w:val="18"/>
          <w:u w:val="single"/>
        </w:rPr>
        <w:t>!</w:t>
      </w:r>
      <w:r>
        <w:rPr>
          <w:rFonts w:cstheme="minorHAnsi"/>
          <w:sz w:val="18"/>
          <w:szCs w:val="18"/>
        </w:rPr>
        <w:t xml:space="preserve"> ***** In STOP-IgAN study was reported only serious adverse events of infections, regardless of hospitalisations</w:t>
      </w:r>
      <w:r>
        <w:rPr>
          <w:rFonts w:cstheme="minorHAnsi"/>
          <w:sz w:val="18"/>
          <w:szCs w:val="18"/>
          <w:vertAlign w:val="superscript"/>
        </w:rPr>
        <w:t>128</w:t>
      </w:r>
      <w:r>
        <w:rPr>
          <w:rFonts w:cstheme="minorHAnsi"/>
          <w:sz w:val="18"/>
          <w:szCs w:val="18"/>
        </w:rPr>
        <w:t>. ****** In STOP-IgAN study was reported only combination of impaired glucose tolerance or diabetes mellitus</w:t>
      </w:r>
      <w:r>
        <w:rPr>
          <w:rFonts w:cstheme="minorHAnsi"/>
          <w:sz w:val="18"/>
          <w:szCs w:val="18"/>
          <w:vertAlign w:val="superscript"/>
        </w:rPr>
        <w:t>128</w:t>
      </w:r>
      <w:r>
        <w:rPr>
          <w:rFonts w:cstheme="minorHAnsi"/>
          <w:sz w:val="18"/>
          <w:szCs w:val="18"/>
        </w:rPr>
        <w:t xml:space="preserve">.  </w:t>
      </w:r>
      <w:r>
        <w:rPr>
          <w:rFonts w:cstheme="minorHAnsi"/>
          <w:sz w:val="18"/>
          <w:szCs w:val="18"/>
          <w:u w:val="single"/>
        </w:rPr>
        <w:t>*** List of all serious adverse events reported in the reduced-dose methylpred. and placebo arms</w:t>
      </w:r>
      <w:r>
        <w:rPr>
          <w:rFonts w:cstheme="minorHAnsi"/>
          <w:sz w:val="18"/>
          <w:szCs w:val="18"/>
          <w:u w:val="single"/>
          <w:vertAlign w:val="superscript"/>
        </w:rPr>
        <w:t>130</w:t>
      </w:r>
      <w:r>
        <w:rPr>
          <w:rFonts w:cstheme="minorHAnsi"/>
          <w:sz w:val="18"/>
          <w:szCs w:val="18"/>
        </w:rPr>
        <w:t>:</w:t>
      </w:r>
    </w:p>
    <w:p w:rsidR="00033807" w:rsidRDefault="00C071AF">
      <w:pPr>
        <w:spacing w:after="0"/>
        <w:ind w:left="3458" w:right="850"/>
        <w:jc w:val="both"/>
        <w:rPr>
          <w:rFonts w:cstheme="minorHAnsi"/>
          <w:sz w:val="18"/>
          <w:szCs w:val="18"/>
        </w:rPr>
      </w:pPr>
      <w:r>
        <w:rPr>
          <w:noProof/>
          <w:lang w:eastAsia="cs-CZ"/>
        </w:rPr>
        <w:drawing>
          <wp:inline distT="0" distB="0" distL="0" distR="0">
            <wp:extent cx="4287520" cy="2499360"/>
            <wp:effectExtent l="0" t="0" r="0" b="0"/>
            <wp:docPr id="215" name="Obrázek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brázek64"/>
                    <pic:cNvPicPr>
                      <a:picLocks noChangeAspect="1" noChangeArrowheads="1"/>
                    </pic:cNvPicPr>
                  </pic:nvPicPr>
                  <pic:blipFill>
                    <a:blip r:embed="rId91"/>
                    <a:stretch>
                      <a:fillRect/>
                    </a:stretch>
                  </pic:blipFill>
                  <pic:spPr bwMode="auto">
                    <a:xfrm>
                      <a:off x="0" y="0"/>
                      <a:ext cx="4287520" cy="2499360"/>
                    </a:xfrm>
                    <a:prstGeom prst="rect">
                      <a:avLst/>
                    </a:prstGeom>
                  </pic:spPr>
                </pic:pic>
              </a:graphicData>
            </a:graphic>
          </wp:inline>
        </w:drawing>
      </w:r>
    </w:p>
    <w:p w:rsidR="00033807" w:rsidRDefault="00033807">
      <w:pPr>
        <w:spacing w:after="0"/>
        <w:ind w:left="397" w:right="850"/>
        <w:jc w:val="both"/>
        <w:rPr>
          <w:rFonts w:cstheme="minorHAnsi"/>
          <w:sz w:val="18"/>
          <w:szCs w:val="18"/>
        </w:rPr>
      </w:pPr>
    </w:p>
    <w:p w:rsidR="00033807" w:rsidRDefault="00033807">
      <w:pPr>
        <w:spacing w:after="0"/>
        <w:ind w:left="397" w:right="850"/>
        <w:jc w:val="both"/>
        <w:rPr>
          <w:rFonts w:cstheme="minorHAnsi"/>
          <w:sz w:val="18"/>
          <w:szCs w:val="18"/>
        </w:rPr>
      </w:pPr>
    </w:p>
    <w:p w:rsidR="00033807" w:rsidRDefault="00033807">
      <w:pPr>
        <w:spacing w:after="0"/>
        <w:ind w:left="397" w:right="850"/>
        <w:jc w:val="both"/>
        <w:rPr>
          <w:rFonts w:cstheme="minorHAnsi"/>
          <w:sz w:val="18"/>
          <w:szCs w:val="18"/>
        </w:rPr>
      </w:pPr>
    </w:p>
    <w:p w:rsidR="00033807" w:rsidRDefault="00033807">
      <w:pPr>
        <w:spacing w:after="0"/>
        <w:ind w:left="397" w:right="850"/>
        <w:jc w:val="both"/>
        <w:rPr>
          <w:rFonts w:cstheme="minorHAnsi"/>
          <w:sz w:val="18"/>
          <w:szCs w:val="18"/>
        </w:rPr>
      </w:pPr>
    </w:p>
    <w:p w:rsidR="00033807" w:rsidRDefault="00033807">
      <w:pPr>
        <w:spacing w:after="0"/>
        <w:ind w:left="397" w:right="850"/>
        <w:jc w:val="both"/>
        <w:rPr>
          <w:rFonts w:cstheme="minorHAnsi"/>
          <w:sz w:val="18"/>
          <w:szCs w:val="18"/>
        </w:rPr>
      </w:pPr>
    </w:p>
    <w:p w:rsidR="00033807" w:rsidRDefault="00033807">
      <w:pPr>
        <w:spacing w:after="0"/>
        <w:ind w:left="397" w:right="850"/>
        <w:jc w:val="both"/>
        <w:rPr>
          <w:rFonts w:cstheme="minorHAnsi"/>
          <w:sz w:val="18"/>
          <w:szCs w:val="18"/>
        </w:rPr>
      </w:pPr>
    </w:p>
    <w:p w:rsidR="00033807" w:rsidRDefault="00033807">
      <w:pPr>
        <w:spacing w:after="0"/>
        <w:ind w:left="397" w:right="850"/>
        <w:jc w:val="both"/>
        <w:rPr>
          <w:rFonts w:cstheme="minorHAnsi"/>
          <w:sz w:val="18"/>
          <w:szCs w:val="18"/>
        </w:rPr>
      </w:pPr>
    </w:p>
    <w:p w:rsidR="00033807" w:rsidRDefault="00033807">
      <w:pPr>
        <w:spacing w:after="0"/>
        <w:ind w:left="397" w:right="850"/>
        <w:jc w:val="both"/>
        <w:rPr>
          <w:rFonts w:cstheme="minorHAnsi"/>
          <w:sz w:val="18"/>
          <w:szCs w:val="18"/>
        </w:rPr>
      </w:pPr>
    </w:p>
    <w:p w:rsidR="00033807" w:rsidRDefault="00033807">
      <w:pPr>
        <w:spacing w:after="0"/>
        <w:ind w:left="397" w:right="850"/>
        <w:jc w:val="both"/>
        <w:rPr>
          <w:rFonts w:cstheme="minorHAnsi"/>
          <w:sz w:val="18"/>
          <w:szCs w:val="18"/>
        </w:rPr>
      </w:pPr>
    </w:p>
    <w:p w:rsidR="00CA21F4" w:rsidRDefault="00CA21F4">
      <w:pPr>
        <w:spacing w:after="0"/>
        <w:ind w:left="397" w:right="850"/>
        <w:jc w:val="both"/>
        <w:rPr>
          <w:rFonts w:cstheme="minorHAnsi"/>
          <w:sz w:val="18"/>
          <w:szCs w:val="18"/>
        </w:rPr>
      </w:pPr>
    </w:p>
    <w:p w:rsidR="00033807" w:rsidRDefault="00033807">
      <w:pPr>
        <w:spacing w:after="0"/>
        <w:ind w:left="397" w:right="850"/>
        <w:jc w:val="both"/>
        <w:rPr>
          <w:rFonts w:cstheme="minorHAnsi"/>
          <w:sz w:val="18"/>
          <w:szCs w:val="18"/>
        </w:rPr>
      </w:pPr>
    </w:p>
    <w:p w:rsidR="00033807" w:rsidRDefault="00033807">
      <w:pPr>
        <w:spacing w:after="0"/>
        <w:ind w:left="397" w:right="850"/>
        <w:jc w:val="both"/>
        <w:rPr>
          <w:rFonts w:cstheme="minorHAnsi"/>
          <w:sz w:val="18"/>
          <w:szCs w:val="18"/>
        </w:rPr>
      </w:pPr>
    </w:p>
    <w:p w:rsidR="00033807" w:rsidRDefault="00033807">
      <w:pPr>
        <w:spacing w:after="0"/>
        <w:ind w:left="397" w:right="850"/>
        <w:jc w:val="both"/>
        <w:rPr>
          <w:rFonts w:cstheme="minorHAnsi"/>
          <w:sz w:val="18"/>
          <w:szCs w:val="18"/>
        </w:rPr>
      </w:pPr>
    </w:p>
    <w:p w:rsidR="00033807" w:rsidRDefault="00033807">
      <w:pPr>
        <w:spacing w:after="0"/>
        <w:ind w:left="397" w:right="850"/>
        <w:jc w:val="both"/>
        <w:rPr>
          <w:rFonts w:cstheme="minorHAnsi"/>
          <w:sz w:val="18"/>
          <w:szCs w:val="18"/>
        </w:rPr>
      </w:pPr>
    </w:p>
    <w:p w:rsidR="00787517" w:rsidRDefault="00787517">
      <w:pPr>
        <w:spacing w:after="0"/>
        <w:ind w:left="397" w:right="850"/>
        <w:jc w:val="both"/>
        <w:rPr>
          <w:rFonts w:cstheme="minorHAnsi"/>
          <w:sz w:val="18"/>
          <w:szCs w:val="18"/>
        </w:rPr>
      </w:pPr>
    </w:p>
    <w:p w:rsidR="00033807" w:rsidRDefault="00033807">
      <w:pPr>
        <w:spacing w:after="0"/>
        <w:ind w:left="397" w:right="850"/>
        <w:jc w:val="both"/>
        <w:rPr>
          <w:rFonts w:cstheme="minorHAnsi"/>
          <w:sz w:val="18"/>
          <w:szCs w:val="18"/>
        </w:rPr>
      </w:pPr>
    </w:p>
    <w:p w:rsidR="00033807" w:rsidRDefault="00033807">
      <w:pPr>
        <w:spacing w:after="0"/>
        <w:ind w:left="397" w:right="850"/>
        <w:jc w:val="both"/>
        <w:rPr>
          <w:rFonts w:cstheme="minorHAnsi"/>
          <w:sz w:val="18"/>
          <w:szCs w:val="18"/>
        </w:rPr>
      </w:pPr>
    </w:p>
    <w:p w:rsidR="00033807" w:rsidRDefault="00C071AF">
      <w:pPr>
        <w:spacing w:after="0"/>
        <w:jc w:val="both"/>
        <w:rPr>
          <w:rFonts w:cstheme="minorHAnsi"/>
        </w:rPr>
      </w:pPr>
      <w:r>
        <w:rPr>
          <w:rFonts w:cstheme="minorHAnsi"/>
          <w:b/>
        </w:rPr>
        <w:t xml:space="preserve">Příloha č. 25: </w:t>
      </w:r>
      <w:r>
        <w:rPr>
          <w:rFonts w:cstheme="minorHAnsi"/>
        </w:rPr>
        <w:t>další podrobné výsledky ze studie NefIgArd (viz Přílohu č. 21) – upraveno dle zdroje pod pozn. 129</w:t>
      </w:r>
    </w:p>
    <w:p w:rsidR="00033807" w:rsidRDefault="00033807">
      <w:pPr>
        <w:spacing w:after="0"/>
        <w:jc w:val="both"/>
        <w:rPr>
          <w:rFonts w:cstheme="minorHAnsi"/>
          <w:sz w:val="6"/>
          <w:szCs w:val="6"/>
        </w:rPr>
      </w:pPr>
    </w:p>
    <w:p w:rsidR="00033807" w:rsidRDefault="00C071AF">
      <w:pPr>
        <w:spacing w:after="0"/>
        <w:jc w:val="both"/>
        <w:rPr>
          <w:rFonts w:cstheme="minorHAnsi"/>
        </w:rPr>
      </w:pPr>
      <w:bookmarkStart w:id="0" w:name="_GoBack"/>
      <w:r>
        <w:rPr>
          <w:noProof/>
          <w:lang w:eastAsia="cs-CZ"/>
        </w:rPr>
        <w:drawing>
          <wp:inline distT="0" distB="0" distL="0" distR="0">
            <wp:extent cx="6831965" cy="4718685"/>
            <wp:effectExtent l="0" t="0" r="0" b="0"/>
            <wp:docPr id="216" name="Obrázek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Obrázek65"/>
                    <pic:cNvPicPr>
                      <a:picLocks noChangeAspect="1" noChangeArrowheads="1"/>
                    </pic:cNvPicPr>
                  </pic:nvPicPr>
                  <pic:blipFill>
                    <a:blip r:embed="rId92"/>
                    <a:stretch>
                      <a:fillRect/>
                    </a:stretch>
                  </pic:blipFill>
                  <pic:spPr bwMode="auto">
                    <a:xfrm>
                      <a:off x="0" y="0"/>
                      <a:ext cx="6831965" cy="4718685"/>
                    </a:xfrm>
                    <a:prstGeom prst="rect">
                      <a:avLst/>
                    </a:prstGeom>
                  </pic:spPr>
                </pic:pic>
              </a:graphicData>
            </a:graphic>
          </wp:inline>
        </w:drawing>
      </w:r>
      <w:bookmarkEnd w:id="0"/>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033807" w:rsidRDefault="00033807">
      <w:pPr>
        <w:spacing w:after="0"/>
        <w:jc w:val="both"/>
        <w:rPr>
          <w:rFonts w:cstheme="minorHAnsi"/>
        </w:rPr>
      </w:pPr>
    </w:p>
    <w:p w:rsidR="004E5C5A" w:rsidRDefault="00C071AF">
      <w:pPr>
        <w:spacing w:after="0"/>
        <w:jc w:val="both"/>
        <w:rPr>
          <w:rFonts w:cstheme="minorHAnsi"/>
        </w:rPr>
      </w:pPr>
      <w:r>
        <w:rPr>
          <w:rFonts w:cstheme="minorHAnsi"/>
          <w:b/>
        </w:rPr>
        <w:t xml:space="preserve">Příloha č. 27: </w:t>
      </w:r>
      <w:r w:rsidR="00C469CC" w:rsidRPr="00C469CC">
        <w:rPr>
          <w:rFonts w:cstheme="minorHAnsi"/>
        </w:rPr>
        <w:t xml:space="preserve">výsledky </w:t>
      </w:r>
      <w:r w:rsidR="004E5C5A" w:rsidRPr="004E5C5A">
        <w:rPr>
          <w:rFonts w:cstheme="minorHAnsi"/>
        </w:rPr>
        <w:t>analýz</w:t>
      </w:r>
      <w:r w:rsidR="00C469CC">
        <w:rPr>
          <w:rFonts w:cstheme="minorHAnsi"/>
        </w:rPr>
        <w:t xml:space="preserve"> některých</w:t>
      </w:r>
      <w:r w:rsidR="004E5C5A">
        <w:rPr>
          <w:rFonts w:cstheme="minorHAnsi"/>
        </w:rPr>
        <w:t xml:space="preserve"> scénářů CUA od STADY s hodnoceným LP KINPEYGO</w:t>
      </w:r>
      <w:r w:rsidR="002966B9">
        <w:rPr>
          <w:rFonts w:cstheme="minorHAnsi"/>
        </w:rPr>
        <w:t xml:space="preserve"> + podpůrná léčba vs samotná podpůrná léčba</w:t>
      </w:r>
      <w:r w:rsidR="004E5C5A">
        <w:rPr>
          <w:rFonts w:cstheme="minorHAnsi"/>
        </w:rPr>
        <w:t xml:space="preserve"> (</w:t>
      </w:r>
      <w:r w:rsidR="004E5C5A" w:rsidRPr="002966B9">
        <w:rPr>
          <w:rFonts w:cstheme="minorHAnsi"/>
          <w:b/>
        </w:rPr>
        <w:t xml:space="preserve">základní scénář </w:t>
      </w:r>
      <w:r w:rsidR="002966B9" w:rsidRPr="002966B9">
        <w:rPr>
          <w:rFonts w:cstheme="minorHAnsi"/>
          <w:b/>
        </w:rPr>
        <w:t>je uveden</w:t>
      </w:r>
      <w:r w:rsidR="004E5C5A" w:rsidRPr="002966B9">
        <w:rPr>
          <w:rFonts w:cstheme="minorHAnsi"/>
          <w:b/>
        </w:rPr>
        <w:t xml:space="preserve"> výše v odstavci „Výsledky CUA“</w:t>
      </w:r>
      <w:r w:rsidR="002966B9" w:rsidRPr="002966B9">
        <w:rPr>
          <w:rFonts w:cstheme="minorHAnsi"/>
          <w:b/>
        </w:rPr>
        <w:t xml:space="preserve"> a hodnota ICER zde činí 5.040.094 Kč/QALY</w:t>
      </w:r>
      <w:r w:rsidR="004E5C5A">
        <w:rPr>
          <w:rFonts w:cstheme="minorHAnsi"/>
        </w:rPr>
        <w:t xml:space="preserve">) – </w:t>
      </w:r>
      <w:r w:rsidR="00C469CC">
        <w:rPr>
          <w:rFonts w:cstheme="minorHAnsi"/>
        </w:rPr>
        <w:t xml:space="preserve">upraveno </w:t>
      </w:r>
      <w:r w:rsidR="004E5C5A">
        <w:rPr>
          <w:rFonts w:cstheme="minorHAnsi"/>
        </w:rPr>
        <w:t>dle zdroje uvedeného výše pod pozn. 133</w:t>
      </w:r>
    </w:p>
    <w:p w:rsidR="00C469CC" w:rsidRDefault="00C469CC">
      <w:pPr>
        <w:spacing w:after="0"/>
        <w:jc w:val="both"/>
        <w:rPr>
          <w:rFonts w:cstheme="minorHAnsi"/>
          <w:b/>
          <w:color w:val="FF0000"/>
          <w:sz w:val="18"/>
          <w:szCs w:val="18"/>
        </w:rPr>
      </w:pPr>
      <w:r w:rsidRPr="00C469CC">
        <w:rPr>
          <w:rFonts w:cstheme="minorHAnsi"/>
          <w:b/>
          <w:color w:val="FF0000"/>
          <w:sz w:val="18"/>
          <w:szCs w:val="18"/>
        </w:rPr>
        <w:t>(autorem této FE analýzy byly červeně zvýrazněny scénáře s největším vlivem na hodnotu ICERu)</w:t>
      </w:r>
    </w:p>
    <w:p w:rsidR="00ED221E" w:rsidRPr="00ED221E" w:rsidRDefault="00ED221E">
      <w:pPr>
        <w:spacing w:after="0"/>
        <w:jc w:val="both"/>
        <w:rPr>
          <w:rFonts w:cstheme="minorHAnsi"/>
          <w:b/>
          <w:color w:val="FF0000"/>
          <w:sz w:val="6"/>
          <w:szCs w:val="6"/>
        </w:rPr>
      </w:pPr>
    </w:p>
    <w:p w:rsidR="00ED221E" w:rsidRDefault="00FB71D2">
      <w:pPr>
        <w:spacing w:after="0"/>
        <w:jc w:val="both"/>
        <w:rPr>
          <w:rFonts w:cstheme="minorHAnsi"/>
          <w:b/>
          <w:color w:val="FF0000"/>
          <w:sz w:val="18"/>
          <w:szCs w:val="18"/>
        </w:rPr>
      </w:pPr>
      <w:r>
        <w:rPr>
          <w:noProof/>
        </w:rPr>
        <mc:AlternateContent>
          <mc:Choice Requires="wps">
            <w:drawing>
              <wp:anchor distT="0" distB="0" distL="114300" distR="114300" simplePos="0" relativeHeight="251659264" behindDoc="0" locked="0" layoutInCell="0" allowOverlap="1">
                <wp:simplePos x="0" y="0"/>
                <wp:positionH relativeFrom="column">
                  <wp:posOffset>1270</wp:posOffset>
                </wp:positionH>
                <wp:positionV relativeFrom="paragraph">
                  <wp:posOffset>1939290</wp:posOffset>
                </wp:positionV>
                <wp:extent cx="6858000" cy="1566545"/>
                <wp:effectExtent l="0" t="0" r="0" b="0"/>
                <wp:wrapNone/>
                <wp:docPr id="248"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566545"/>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5B9B1C8A" id="Obdélník 77" o:spid="_x0000_s1026" style="position:absolute;margin-left:.1pt;margin-top:152.7pt;width:540pt;height:1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" o:allowincell="f" fillcolor="red" strokecolor="red" strokeweight=".71mm">
                <v:fill opacity="8481f"/>
                <v:stroke joinstyle="round"/>
                <v:path arrowok="t"/>
              </v:rect>
            </w:pict>
          </mc:Fallback>
        </mc:AlternateContent>
      </w:r>
      <w:r>
        <w:rPr>
          <w:rFonts w:cstheme="minorHAnsi"/>
          <w:b/>
          <w:noProof/>
          <w:color w:val="FF0000"/>
          <w:sz w:val="18"/>
          <w:szCs w:val="18"/>
          <w:lang w:eastAsia="cs-CZ"/>
        </w:rPr>
        <mc:AlternateContent>
          <mc:Choice Requires="wps">
            <w:drawing>
              <wp:anchor distT="0" distB="0" distL="114300" distR="114300" simplePos="0" relativeHeight="251660288" behindDoc="0" locked="0" layoutInCell="0" allowOverlap="1">
                <wp:simplePos x="0" y="0"/>
                <wp:positionH relativeFrom="column">
                  <wp:posOffset>1270</wp:posOffset>
                </wp:positionH>
                <wp:positionV relativeFrom="paragraph">
                  <wp:posOffset>645795</wp:posOffset>
                </wp:positionV>
                <wp:extent cx="6858000" cy="648335"/>
                <wp:effectExtent l="0" t="0" r="0" b="0"/>
                <wp:wrapNone/>
                <wp:docPr id="247"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648335"/>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05B400DA" id="Obdélník 77" o:spid="_x0000_s1026" style="position:absolute;margin-left:.1pt;margin-top:50.85pt;width:540pt;height:5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" o:allowincell="f" fillcolor="red" strokecolor="red" strokeweight=".71mm">
                <v:fill opacity="8481f"/>
                <v:stroke joinstyle="round"/>
                <v:path arrowok="t"/>
              </v:rect>
            </w:pict>
          </mc:Fallback>
        </mc:AlternateContent>
      </w:r>
      <w:r w:rsidR="00ED221E">
        <w:rPr>
          <w:rFonts w:cstheme="minorHAnsi"/>
          <w:b/>
          <w:noProof/>
          <w:color w:val="FF0000"/>
          <w:sz w:val="18"/>
          <w:szCs w:val="18"/>
          <w:lang w:eastAsia="cs-CZ"/>
        </w:rPr>
        <w:drawing>
          <wp:inline distT="0" distB="0" distL="0" distR="0" wp14:anchorId="1F2F45C0" wp14:editId="7393A57F">
            <wp:extent cx="6831965" cy="1949450"/>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31965" cy="1949450"/>
                    </a:xfrm>
                    <a:prstGeom prst="rect">
                      <a:avLst/>
                    </a:prstGeom>
                    <a:noFill/>
                    <a:ln>
                      <a:noFill/>
                    </a:ln>
                  </pic:spPr>
                </pic:pic>
              </a:graphicData>
            </a:graphic>
          </wp:inline>
        </w:drawing>
      </w:r>
    </w:p>
    <w:p w:rsidR="00ED221E" w:rsidRDefault="00ED221E" w:rsidP="0091426A">
      <w:pPr>
        <w:spacing w:after="0"/>
        <w:ind w:left="-57"/>
        <w:jc w:val="both"/>
        <w:rPr>
          <w:rFonts w:cstheme="minorHAnsi"/>
          <w:b/>
          <w:color w:val="FF0000"/>
          <w:sz w:val="18"/>
          <w:szCs w:val="18"/>
        </w:rPr>
      </w:pPr>
      <w:r>
        <w:rPr>
          <w:rFonts w:cstheme="minorHAnsi"/>
          <w:b/>
          <w:noProof/>
          <w:color w:val="FF0000"/>
          <w:sz w:val="18"/>
          <w:szCs w:val="18"/>
          <w:lang w:eastAsia="cs-CZ"/>
        </w:rPr>
        <w:drawing>
          <wp:inline distT="0" distB="0" distL="0" distR="0">
            <wp:extent cx="6879265" cy="1541721"/>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90862" cy="1544320"/>
                    </a:xfrm>
                    <a:prstGeom prst="rect">
                      <a:avLst/>
                    </a:prstGeom>
                    <a:noFill/>
                    <a:ln>
                      <a:noFill/>
                    </a:ln>
                  </pic:spPr>
                </pic:pic>
              </a:graphicData>
            </a:graphic>
          </wp:inline>
        </w:drawing>
      </w:r>
    </w:p>
    <w:p w:rsidR="0091426A" w:rsidRDefault="00FB71D2">
      <w:pPr>
        <w:spacing w:after="0"/>
        <w:jc w:val="both"/>
        <w:rPr>
          <w:rFonts w:cstheme="minorHAnsi"/>
          <w:b/>
          <w:color w:val="FF0000"/>
          <w:sz w:val="18"/>
          <w:szCs w:val="18"/>
        </w:rPr>
      </w:pPr>
      <w:r>
        <w:rPr>
          <w:rFonts w:cstheme="minorHAnsi"/>
          <w:b/>
          <w:noProof/>
          <w:color w:val="FF0000"/>
          <w:sz w:val="18"/>
          <w:szCs w:val="18"/>
          <w:lang w:eastAsia="cs-CZ"/>
        </w:rPr>
        <mc:AlternateContent>
          <mc:Choice Requires="wps">
            <w:drawing>
              <wp:anchor distT="0" distB="0" distL="114300" distR="114300" simplePos="0" relativeHeight="251661312" behindDoc="0" locked="0" layoutInCell="0" allowOverlap="1">
                <wp:simplePos x="0" y="0"/>
                <wp:positionH relativeFrom="column">
                  <wp:posOffset>1270</wp:posOffset>
                </wp:positionH>
                <wp:positionV relativeFrom="paragraph">
                  <wp:posOffset>1031240</wp:posOffset>
                </wp:positionV>
                <wp:extent cx="6858000" cy="194945"/>
                <wp:effectExtent l="0" t="0" r="0" b="0"/>
                <wp:wrapNone/>
                <wp:docPr id="240"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94945"/>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51192739" id="Obdélník 77" o:spid="_x0000_s1026" style="position:absolute;margin-left:.1pt;margin-top:81.2pt;width:540pt;height:1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" o:allowincell="f" fillcolor="red" strokecolor="red" strokeweight=".71mm">
                <v:fill opacity="8481f"/>
                <v:stroke joinstyle="round"/>
                <v:path arrowok="t"/>
              </v:rect>
            </w:pict>
          </mc:Fallback>
        </mc:AlternateContent>
      </w:r>
      <w:r w:rsidR="0091426A">
        <w:rPr>
          <w:rFonts w:cstheme="minorHAnsi"/>
          <w:b/>
          <w:noProof/>
          <w:color w:val="FF0000"/>
          <w:sz w:val="18"/>
          <w:szCs w:val="18"/>
          <w:lang w:eastAsia="cs-CZ"/>
        </w:rPr>
        <w:drawing>
          <wp:inline distT="0" distB="0" distL="0" distR="0">
            <wp:extent cx="6840855" cy="3787140"/>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40855" cy="3787140"/>
                    </a:xfrm>
                    <a:prstGeom prst="rect">
                      <a:avLst/>
                    </a:prstGeom>
                    <a:noFill/>
                    <a:ln>
                      <a:noFill/>
                    </a:ln>
                  </pic:spPr>
                </pic:pic>
              </a:graphicData>
            </a:graphic>
          </wp:inline>
        </w:drawing>
      </w:r>
    </w:p>
    <w:p w:rsidR="00374C30" w:rsidRDefault="00374C30">
      <w:pPr>
        <w:spacing w:after="0"/>
        <w:jc w:val="both"/>
        <w:rPr>
          <w:rFonts w:cstheme="minorHAnsi"/>
          <w:b/>
          <w:color w:val="FF0000"/>
          <w:sz w:val="18"/>
          <w:szCs w:val="18"/>
        </w:rPr>
      </w:pPr>
    </w:p>
    <w:p w:rsidR="00374C30" w:rsidRDefault="00374C30">
      <w:pPr>
        <w:spacing w:after="0"/>
        <w:jc w:val="both"/>
        <w:rPr>
          <w:rFonts w:cstheme="minorHAnsi"/>
          <w:b/>
          <w:color w:val="FF0000"/>
          <w:sz w:val="18"/>
          <w:szCs w:val="18"/>
        </w:rPr>
      </w:pPr>
    </w:p>
    <w:p w:rsidR="00374C30" w:rsidRDefault="00374C30">
      <w:pPr>
        <w:spacing w:after="0"/>
        <w:jc w:val="both"/>
        <w:rPr>
          <w:rFonts w:cstheme="minorHAnsi"/>
          <w:b/>
          <w:color w:val="FF0000"/>
          <w:sz w:val="18"/>
          <w:szCs w:val="18"/>
        </w:rPr>
      </w:pPr>
    </w:p>
    <w:p w:rsidR="00374C30" w:rsidRDefault="00374C30">
      <w:pPr>
        <w:spacing w:after="0"/>
        <w:jc w:val="both"/>
        <w:rPr>
          <w:rFonts w:cstheme="minorHAnsi"/>
          <w:b/>
          <w:color w:val="FF0000"/>
          <w:sz w:val="18"/>
          <w:szCs w:val="18"/>
        </w:rPr>
      </w:pPr>
    </w:p>
    <w:p w:rsidR="00374C30" w:rsidRDefault="00374C30">
      <w:pPr>
        <w:spacing w:after="0"/>
        <w:jc w:val="both"/>
        <w:rPr>
          <w:rFonts w:cstheme="minorHAnsi"/>
          <w:b/>
          <w:color w:val="FF0000"/>
          <w:sz w:val="18"/>
          <w:szCs w:val="18"/>
        </w:rPr>
      </w:pPr>
    </w:p>
    <w:p w:rsidR="00374C30" w:rsidRDefault="00374C30">
      <w:pPr>
        <w:spacing w:after="0"/>
        <w:jc w:val="both"/>
        <w:rPr>
          <w:rFonts w:cstheme="minorHAnsi"/>
          <w:b/>
          <w:color w:val="FF0000"/>
          <w:sz w:val="18"/>
          <w:szCs w:val="18"/>
        </w:rPr>
      </w:pPr>
    </w:p>
    <w:p w:rsidR="00374C30" w:rsidRDefault="00374C30">
      <w:pPr>
        <w:spacing w:after="0"/>
        <w:jc w:val="both"/>
        <w:rPr>
          <w:rFonts w:cstheme="minorHAnsi"/>
          <w:b/>
          <w:color w:val="FF0000"/>
          <w:sz w:val="18"/>
          <w:szCs w:val="18"/>
        </w:rPr>
      </w:pPr>
    </w:p>
    <w:p w:rsidR="00374C30" w:rsidRDefault="00374C30">
      <w:pPr>
        <w:spacing w:after="0"/>
        <w:jc w:val="both"/>
        <w:rPr>
          <w:rFonts w:cstheme="minorHAnsi"/>
          <w:b/>
          <w:color w:val="FF0000"/>
          <w:sz w:val="18"/>
          <w:szCs w:val="18"/>
        </w:rPr>
      </w:pPr>
    </w:p>
    <w:p w:rsidR="00374C30" w:rsidRDefault="00374C30">
      <w:pPr>
        <w:spacing w:after="0"/>
        <w:jc w:val="both"/>
        <w:rPr>
          <w:rFonts w:cstheme="minorHAnsi"/>
          <w:b/>
          <w:color w:val="FF0000"/>
          <w:sz w:val="18"/>
          <w:szCs w:val="18"/>
        </w:rPr>
      </w:pPr>
    </w:p>
    <w:p w:rsidR="00374C30" w:rsidRDefault="00374C30" w:rsidP="00374C30">
      <w:pPr>
        <w:spacing w:after="0"/>
        <w:jc w:val="both"/>
        <w:rPr>
          <w:rFonts w:cstheme="minorHAnsi"/>
        </w:rPr>
      </w:pPr>
      <w:r>
        <w:rPr>
          <w:rFonts w:cstheme="minorHAnsi"/>
          <w:b/>
        </w:rPr>
        <w:t xml:space="preserve">Příloha č. 28: </w:t>
      </w:r>
      <w:r>
        <w:rPr>
          <w:rFonts w:cstheme="minorHAnsi"/>
        </w:rPr>
        <w:t xml:space="preserve">stratifikace přínosů </w:t>
      </w:r>
      <w:r w:rsidR="00292731">
        <w:rPr>
          <w:rFonts w:cstheme="minorHAnsi"/>
        </w:rPr>
        <w:t xml:space="preserve">(diskontované QALY) </w:t>
      </w:r>
      <w:r>
        <w:rPr>
          <w:rFonts w:cstheme="minorHAnsi"/>
        </w:rPr>
        <w:t>v</w:t>
      </w:r>
      <w:r w:rsidR="00292731">
        <w:rPr>
          <w:rFonts w:cstheme="minorHAnsi"/>
        </w:rPr>
        <w:t xml:space="preserve"> modelaci </w:t>
      </w:r>
      <w:r>
        <w:rPr>
          <w:rFonts w:cstheme="minorHAnsi"/>
        </w:rPr>
        <w:t>základní</w:t>
      </w:r>
      <w:r w:rsidR="00292731">
        <w:rPr>
          <w:rFonts w:cstheme="minorHAnsi"/>
        </w:rPr>
        <w:t>ho</w:t>
      </w:r>
      <w:r>
        <w:rPr>
          <w:rFonts w:cstheme="minorHAnsi"/>
        </w:rPr>
        <w:t xml:space="preserve"> scénář</w:t>
      </w:r>
      <w:r w:rsidR="00292731">
        <w:rPr>
          <w:rFonts w:cstheme="minorHAnsi"/>
        </w:rPr>
        <w:t>e</w:t>
      </w:r>
      <w:r>
        <w:rPr>
          <w:rFonts w:cstheme="minorHAnsi"/>
        </w:rPr>
        <w:t xml:space="preserve"> CUA od STADY s hodnoceným LP KINPEYGO + podpůrná léčba vs samotná podpůrná léčba (</w:t>
      </w:r>
      <w:r w:rsidRPr="002966B9">
        <w:rPr>
          <w:rFonts w:cstheme="minorHAnsi"/>
          <w:b/>
        </w:rPr>
        <w:t>základní scénář je uveden výše v odstavci „Výsledky CUA“</w:t>
      </w:r>
      <w:r>
        <w:rPr>
          <w:rFonts w:cstheme="minorHAnsi"/>
        </w:rPr>
        <w:t>) – upraveno dle zdroje uvedeného výše pod pozn. 133</w:t>
      </w:r>
    </w:p>
    <w:p w:rsidR="00374C30" w:rsidRDefault="00374C30" w:rsidP="00374C30">
      <w:pPr>
        <w:spacing w:after="0"/>
        <w:jc w:val="both"/>
        <w:rPr>
          <w:rFonts w:cstheme="minorHAnsi"/>
          <w:b/>
          <w:color w:val="FF0000"/>
          <w:sz w:val="18"/>
          <w:szCs w:val="18"/>
        </w:rPr>
      </w:pPr>
      <w:r w:rsidRPr="00C469CC">
        <w:rPr>
          <w:rFonts w:cstheme="minorHAnsi"/>
          <w:b/>
          <w:color w:val="FF0000"/>
          <w:sz w:val="18"/>
          <w:szCs w:val="18"/>
        </w:rPr>
        <w:t>(autorem této FE analýzy byly červeně zvýrazněny s</w:t>
      </w:r>
      <w:r w:rsidR="00612CC6">
        <w:rPr>
          <w:rFonts w:cstheme="minorHAnsi"/>
          <w:b/>
          <w:color w:val="FF0000"/>
          <w:sz w:val="18"/>
          <w:szCs w:val="18"/>
        </w:rPr>
        <w:t>tadia onemocnění s</w:t>
      </w:r>
      <w:r w:rsidRPr="00C469CC">
        <w:rPr>
          <w:rFonts w:cstheme="minorHAnsi"/>
          <w:b/>
          <w:color w:val="FF0000"/>
          <w:sz w:val="18"/>
          <w:szCs w:val="18"/>
        </w:rPr>
        <w:t xml:space="preserve"> největším </w:t>
      </w:r>
      <w:r w:rsidR="00612CC6">
        <w:rPr>
          <w:rFonts w:cstheme="minorHAnsi"/>
          <w:b/>
          <w:color w:val="FF0000"/>
          <w:sz w:val="18"/>
          <w:szCs w:val="18"/>
        </w:rPr>
        <w:t>přínosem LP KINPEYGO vůči placebu</w:t>
      </w:r>
      <w:r w:rsidRPr="00C469CC">
        <w:rPr>
          <w:rFonts w:cstheme="minorHAnsi"/>
          <w:b/>
          <w:color w:val="FF0000"/>
          <w:sz w:val="18"/>
          <w:szCs w:val="18"/>
        </w:rPr>
        <w:t>)</w:t>
      </w:r>
    </w:p>
    <w:p w:rsidR="00374C30" w:rsidRPr="00292731" w:rsidRDefault="00374C30">
      <w:pPr>
        <w:spacing w:after="0"/>
        <w:jc w:val="both"/>
        <w:rPr>
          <w:rFonts w:cstheme="minorHAnsi"/>
          <w:b/>
          <w:color w:val="FF0000"/>
          <w:sz w:val="6"/>
          <w:szCs w:val="6"/>
        </w:rPr>
      </w:pPr>
    </w:p>
    <w:p w:rsidR="00292731" w:rsidRDefault="00FB71D2">
      <w:pPr>
        <w:spacing w:after="0"/>
        <w:jc w:val="both"/>
        <w:rPr>
          <w:rFonts w:cstheme="minorHAnsi"/>
          <w:b/>
          <w:color w:val="FF0000"/>
          <w:sz w:val="18"/>
          <w:szCs w:val="18"/>
        </w:rPr>
      </w:pPr>
      <w:r>
        <w:rPr>
          <w:rFonts w:cstheme="minorHAnsi"/>
          <w:noProof/>
          <w:color w:val="FF0000"/>
          <w:sz w:val="18"/>
          <w:szCs w:val="18"/>
          <w:lang w:eastAsia="cs-CZ"/>
        </w:rPr>
        <mc:AlternateContent>
          <mc:Choice Requires="wps">
            <w:drawing>
              <wp:anchor distT="0" distB="0" distL="114300" distR="114300" simplePos="0" relativeHeight="251663360" behindDoc="0" locked="0" layoutInCell="0" allowOverlap="1">
                <wp:simplePos x="0" y="0"/>
                <wp:positionH relativeFrom="column">
                  <wp:posOffset>135255</wp:posOffset>
                </wp:positionH>
                <wp:positionV relativeFrom="paragraph">
                  <wp:posOffset>1941830</wp:posOffset>
                </wp:positionV>
                <wp:extent cx="6448425" cy="194945"/>
                <wp:effectExtent l="0" t="0" r="9525" b="0"/>
                <wp:wrapNone/>
                <wp:docPr id="239"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8425" cy="194945"/>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644021FD" id="Obdélník 77" o:spid="_x0000_s1026" style="position:absolute;margin-left:10.65pt;margin-top:152.9pt;width:507.75pt;height:1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" o:allowincell="f" fillcolor="red" strokecolor="red" strokeweight=".71mm">
                <v:fill opacity="8481f"/>
                <v:stroke joinstyle="round"/>
                <v:path arrowok="t"/>
              </v:rect>
            </w:pict>
          </mc:Fallback>
        </mc:AlternateContent>
      </w:r>
      <w:r>
        <w:rPr>
          <w:rFonts w:cstheme="minorHAnsi"/>
          <w:noProof/>
          <w:color w:val="FF0000"/>
          <w:sz w:val="18"/>
          <w:szCs w:val="18"/>
          <w:lang w:eastAsia="cs-CZ"/>
        </w:rPr>
        <mc:AlternateContent>
          <mc:Choice Requires="wps">
            <w:drawing>
              <wp:anchor distT="0" distB="0" distL="114300" distR="114300" simplePos="0" relativeHeight="251662336" behindDoc="0" locked="0" layoutInCell="0" allowOverlap="1">
                <wp:simplePos x="0" y="0"/>
                <wp:positionH relativeFrom="column">
                  <wp:posOffset>135255</wp:posOffset>
                </wp:positionH>
                <wp:positionV relativeFrom="paragraph">
                  <wp:posOffset>1517650</wp:posOffset>
                </wp:positionV>
                <wp:extent cx="6448425" cy="194945"/>
                <wp:effectExtent l="0" t="0" r="9525" b="0"/>
                <wp:wrapNone/>
                <wp:docPr id="238"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8425" cy="194945"/>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3D977815" id="Obdélník 77" o:spid="_x0000_s1026" style="position:absolute;margin-left:10.65pt;margin-top:119.5pt;width:507.75pt;height:1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" o:allowincell="f" fillcolor="red" strokecolor="red" strokeweight=".71mm">
                <v:fill opacity="8481f"/>
                <v:stroke joinstyle="round"/>
                <v:path arrowok="t"/>
              </v:rect>
            </w:pict>
          </mc:Fallback>
        </mc:AlternateContent>
      </w:r>
      <w:r w:rsidR="00292731" w:rsidRPr="00292731">
        <w:rPr>
          <w:rFonts w:cstheme="minorHAnsi"/>
          <w:noProof/>
          <w:color w:val="FF0000"/>
          <w:sz w:val="18"/>
          <w:szCs w:val="18"/>
          <w:lang w:eastAsia="cs-CZ"/>
        </w:rPr>
        <w:drawing>
          <wp:inline distT="0" distB="0" distL="0" distR="0" wp14:anchorId="789A77B3" wp14:editId="58EF0E27">
            <wp:extent cx="6800850" cy="3257550"/>
            <wp:effectExtent l="0" t="0" r="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00850" cy="3257550"/>
                    </a:xfrm>
                    <a:prstGeom prst="rect">
                      <a:avLst/>
                    </a:prstGeom>
                    <a:noFill/>
                    <a:ln>
                      <a:noFill/>
                    </a:ln>
                  </pic:spPr>
                </pic:pic>
              </a:graphicData>
            </a:graphic>
          </wp:inline>
        </w:drawing>
      </w:r>
    </w:p>
    <w:p w:rsidR="00510575" w:rsidRDefault="00510575">
      <w:pPr>
        <w:spacing w:after="0"/>
        <w:jc w:val="both"/>
        <w:rPr>
          <w:rFonts w:cstheme="minorHAnsi"/>
          <w:b/>
          <w:color w:val="FF0000"/>
          <w:sz w:val="18"/>
          <w:szCs w:val="18"/>
        </w:rPr>
      </w:pPr>
    </w:p>
    <w:p w:rsidR="00510575" w:rsidRDefault="00510575">
      <w:pPr>
        <w:spacing w:after="0"/>
        <w:jc w:val="both"/>
        <w:rPr>
          <w:rFonts w:cstheme="minorHAnsi"/>
          <w:b/>
          <w:color w:val="FF0000"/>
          <w:sz w:val="18"/>
          <w:szCs w:val="18"/>
        </w:rPr>
      </w:pPr>
    </w:p>
    <w:p w:rsidR="00416B98" w:rsidRDefault="00416B98">
      <w:pPr>
        <w:spacing w:after="0"/>
        <w:jc w:val="both"/>
        <w:rPr>
          <w:rFonts w:cstheme="minorHAnsi"/>
          <w:b/>
          <w:color w:val="FF0000"/>
          <w:sz w:val="18"/>
          <w:szCs w:val="18"/>
        </w:rPr>
      </w:pPr>
    </w:p>
    <w:p w:rsidR="00510575" w:rsidRDefault="00510575">
      <w:pPr>
        <w:spacing w:after="0"/>
        <w:jc w:val="both"/>
        <w:rPr>
          <w:rFonts w:cstheme="minorHAnsi"/>
          <w:b/>
          <w:color w:val="FF0000"/>
          <w:sz w:val="18"/>
          <w:szCs w:val="18"/>
        </w:rPr>
      </w:pPr>
    </w:p>
    <w:p w:rsidR="00510575" w:rsidRDefault="00510575" w:rsidP="00510575">
      <w:pPr>
        <w:spacing w:after="0"/>
        <w:jc w:val="both"/>
        <w:rPr>
          <w:rFonts w:cstheme="minorHAnsi"/>
        </w:rPr>
      </w:pPr>
      <w:r>
        <w:rPr>
          <w:rFonts w:cstheme="minorHAnsi"/>
          <w:b/>
        </w:rPr>
        <w:t xml:space="preserve">Příloha č. 29: </w:t>
      </w:r>
      <w:r w:rsidRPr="00510575">
        <w:rPr>
          <w:rFonts w:cstheme="minorHAnsi"/>
        </w:rPr>
        <w:t xml:space="preserve">metaanalýza porovnávající účinek </w:t>
      </w:r>
      <w:r>
        <w:rPr>
          <w:rFonts w:cstheme="minorHAnsi"/>
        </w:rPr>
        <w:t xml:space="preserve">systémových </w:t>
      </w:r>
      <w:r w:rsidRPr="00510575">
        <w:rPr>
          <w:rFonts w:cstheme="minorHAnsi"/>
        </w:rPr>
        <w:t xml:space="preserve">kortikosteroidů </w:t>
      </w:r>
      <w:r>
        <w:rPr>
          <w:rFonts w:cstheme="minorHAnsi"/>
        </w:rPr>
        <w:t>(</w:t>
      </w:r>
      <w:r w:rsidRPr="00FB60CE">
        <w:rPr>
          <w:rFonts w:cstheme="minorHAnsi"/>
          <w:b/>
        </w:rPr>
        <w:t xml:space="preserve">viz Přílohu č. </w:t>
      </w:r>
      <w:r w:rsidR="00FB60CE" w:rsidRPr="00FB60CE">
        <w:rPr>
          <w:rFonts w:cstheme="minorHAnsi"/>
          <w:b/>
        </w:rPr>
        <w:t>23</w:t>
      </w:r>
      <w:r w:rsidR="00FB60CE">
        <w:rPr>
          <w:rFonts w:cstheme="minorHAnsi"/>
        </w:rPr>
        <w:t xml:space="preserve">) </w:t>
      </w:r>
      <w:r w:rsidRPr="00510575">
        <w:rPr>
          <w:rFonts w:cstheme="minorHAnsi"/>
        </w:rPr>
        <w:t>na ochranu ledvin oproti placebu u IgA nefropatie</w:t>
      </w:r>
      <w:r>
        <w:rPr>
          <w:rFonts w:cstheme="minorHAnsi"/>
        </w:rPr>
        <w:t xml:space="preserve"> </w:t>
      </w:r>
      <w:proofErr w:type="gramStart"/>
      <w:r>
        <w:rPr>
          <w:rFonts w:cstheme="minorHAnsi"/>
        </w:rPr>
        <w:t>–  dle</w:t>
      </w:r>
      <w:proofErr w:type="gramEnd"/>
      <w:r>
        <w:rPr>
          <w:rFonts w:cstheme="minorHAnsi"/>
        </w:rPr>
        <w:t xml:space="preserve"> zdroje uvedeného výše pod pozn. 143</w:t>
      </w:r>
    </w:p>
    <w:p w:rsidR="00510575" w:rsidRDefault="00FB60CE" w:rsidP="00FB60CE">
      <w:pPr>
        <w:spacing w:after="0"/>
        <w:jc w:val="both"/>
        <w:rPr>
          <w:rFonts w:cstheme="minorHAnsi"/>
          <w:sz w:val="18"/>
          <w:szCs w:val="18"/>
        </w:rPr>
      </w:pPr>
      <w:r w:rsidRPr="00FB60CE">
        <w:rPr>
          <w:rFonts w:cstheme="minorHAnsi"/>
          <w:sz w:val="18"/>
          <w:szCs w:val="18"/>
        </w:rPr>
        <w:t>(</w:t>
      </w:r>
      <w:r w:rsidRPr="00FB60CE">
        <w:rPr>
          <w:rFonts w:cstheme="minorHAnsi"/>
          <w:sz w:val="18"/>
          <w:szCs w:val="18"/>
          <w:u w:val="single"/>
        </w:rPr>
        <w:t>Popis:</w:t>
      </w:r>
      <w:r>
        <w:rPr>
          <w:rFonts w:cstheme="minorHAnsi"/>
          <w:sz w:val="18"/>
          <w:szCs w:val="18"/>
        </w:rPr>
        <w:t xml:space="preserve"> Do metaanalýzy b</w:t>
      </w:r>
      <w:r w:rsidRPr="00FB60CE">
        <w:rPr>
          <w:rFonts w:cstheme="minorHAnsi"/>
          <w:sz w:val="18"/>
          <w:szCs w:val="18"/>
        </w:rPr>
        <w:t xml:space="preserve">ylo zahrnuto </w:t>
      </w:r>
      <w:r>
        <w:rPr>
          <w:rFonts w:cstheme="minorHAnsi"/>
          <w:sz w:val="18"/>
          <w:szCs w:val="18"/>
        </w:rPr>
        <w:t>9</w:t>
      </w:r>
      <w:r w:rsidRPr="00FB60CE">
        <w:rPr>
          <w:rFonts w:cstheme="minorHAnsi"/>
          <w:sz w:val="18"/>
          <w:szCs w:val="18"/>
        </w:rPr>
        <w:t xml:space="preserve"> studií: </w:t>
      </w:r>
      <w:r>
        <w:rPr>
          <w:rFonts w:cstheme="minorHAnsi"/>
          <w:sz w:val="18"/>
          <w:szCs w:val="18"/>
        </w:rPr>
        <w:t xml:space="preserve">studie </w:t>
      </w:r>
      <w:r w:rsidRPr="00FB60CE">
        <w:rPr>
          <w:rFonts w:cstheme="minorHAnsi"/>
          <w:sz w:val="18"/>
          <w:szCs w:val="18"/>
        </w:rPr>
        <w:t xml:space="preserve">STOP-IgAN, </w:t>
      </w:r>
      <w:r>
        <w:rPr>
          <w:rFonts w:cstheme="minorHAnsi"/>
          <w:sz w:val="18"/>
          <w:szCs w:val="18"/>
        </w:rPr>
        <w:t xml:space="preserve">studie </w:t>
      </w:r>
      <w:r w:rsidRPr="00FB60CE">
        <w:rPr>
          <w:rFonts w:cstheme="minorHAnsi"/>
          <w:sz w:val="18"/>
          <w:szCs w:val="18"/>
        </w:rPr>
        <w:t>VALIGA, Manno et al., Hogg et al., Pozzi et al., Julian a kol.,</w:t>
      </w:r>
      <w:r>
        <w:rPr>
          <w:rFonts w:cstheme="minorHAnsi"/>
          <w:sz w:val="18"/>
          <w:szCs w:val="18"/>
        </w:rPr>
        <w:t xml:space="preserve"> studie TESTING</w:t>
      </w:r>
      <w:r w:rsidRPr="00FB60CE">
        <w:rPr>
          <w:rFonts w:cstheme="minorHAnsi"/>
          <w:sz w:val="18"/>
          <w:szCs w:val="18"/>
        </w:rPr>
        <w:t xml:space="preserve">, Lv a kol. a Lai a kol. </w:t>
      </w:r>
      <w:r w:rsidRPr="00FB60CE">
        <w:rPr>
          <w:rFonts w:cstheme="minorHAnsi"/>
          <w:b/>
          <w:sz w:val="18"/>
          <w:szCs w:val="18"/>
        </w:rPr>
        <w:t>Kompozitní ukazatel účinnosti na ledviny zahrnuje</w:t>
      </w:r>
      <w:r>
        <w:rPr>
          <w:rFonts w:cstheme="minorHAnsi"/>
          <w:sz w:val="18"/>
          <w:szCs w:val="18"/>
        </w:rPr>
        <w:t>: (1)</w:t>
      </w:r>
      <w:r w:rsidRPr="00FB60CE">
        <w:rPr>
          <w:rFonts w:cstheme="minorHAnsi"/>
          <w:sz w:val="18"/>
          <w:szCs w:val="18"/>
        </w:rPr>
        <w:t xml:space="preserve"> více než </w:t>
      </w:r>
      <w:proofErr w:type="gramStart"/>
      <w:r w:rsidRPr="00FB60CE">
        <w:rPr>
          <w:rFonts w:cstheme="minorHAnsi"/>
          <w:sz w:val="18"/>
          <w:szCs w:val="18"/>
        </w:rPr>
        <w:t>40%</w:t>
      </w:r>
      <w:proofErr w:type="gramEnd"/>
      <w:r w:rsidRPr="00FB60CE">
        <w:rPr>
          <w:rFonts w:cstheme="minorHAnsi"/>
          <w:sz w:val="18"/>
          <w:szCs w:val="18"/>
        </w:rPr>
        <w:t xml:space="preserve"> snížení odhadované glomerulární filtrace (eGFR),</w:t>
      </w:r>
      <w:r>
        <w:rPr>
          <w:rFonts w:cstheme="minorHAnsi"/>
          <w:sz w:val="18"/>
          <w:szCs w:val="18"/>
        </w:rPr>
        <w:t xml:space="preserve"> (2)</w:t>
      </w:r>
      <w:r w:rsidRPr="00FB60CE">
        <w:rPr>
          <w:rFonts w:cstheme="minorHAnsi"/>
          <w:sz w:val="18"/>
          <w:szCs w:val="18"/>
        </w:rPr>
        <w:t xml:space="preserve"> selhání ledvin nebo transplantaci ledvin nebo úmrtí v důsledku onemocnění ledvin. </w:t>
      </w:r>
      <w:r w:rsidRPr="00FB60CE">
        <w:rPr>
          <w:rFonts w:cstheme="minorHAnsi"/>
          <w:sz w:val="18"/>
          <w:szCs w:val="18"/>
          <w:u w:val="single"/>
        </w:rPr>
        <w:t>Obrázek a)</w:t>
      </w:r>
      <w:r w:rsidRPr="00FB60CE">
        <w:rPr>
          <w:rFonts w:cstheme="minorHAnsi"/>
          <w:sz w:val="18"/>
          <w:szCs w:val="18"/>
        </w:rPr>
        <w:t xml:space="preserve"> Byly provedeny aktualizované souhrnné analýzy účinků </w:t>
      </w:r>
      <w:r>
        <w:rPr>
          <w:rFonts w:cstheme="minorHAnsi"/>
          <w:sz w:val="18"/>
          <w:szCs w:val="18"/>
        </w:rPr>
        <w:t xml:space="preserve">systémových </w:t>
      </w:r>
      <w:r w:rsidRPr="00FB60CE">
        <w:rPr>
          <w:rFonts w:cstheme="minorHAnsi"/>
          <w:sz w:val="18"/>
          <w:szCs w:val="18"/>
        </w:rPr>
        <w:t xml:space="preserve">glukokortikoidů na </w:t>
      </w:r>
      <w:r>
        <w:rPr>
          <w:rFonts w:cstheme="minorHAnsi"/>
          <w:sz w:val="18"/>
          <w:szCs w:val="18"/>
        </w:rPr>
        <w:t>kompozitní ukazetel (viz výše)</w:t>
      </w:r>
      <w:r w:rsidRPr="00FB60CE">
        <w:rPr>
          <w:rFonts w:cstheme="minorHAnsi"/>
          <w:sz w:val="18"/>
          <w:szCs w:val="18"/>
        </w:rPr>
        <w:t xml:space="preserve"> na základě</w:t>
      </w:r>
      <w:r>
        <w:rPr>
          <w:rFonts w:cstheme="minorHAnsi"/>
          <w:sz w:val="18"/>
          <w:szCs w:val="18"/>
        </w:rPr>
        <w:t>:</w:t>
      </w:r>
      <w:r w:rsidRPr="00FB60CE">
        <w:rPr>
          <w:rFonts w:cstheme="minorHAnsi"/>
          <w:sz w:val="18"/>
          <w:szCs w:val="18"/>
        </w:rPr>
        <w:t xml:space="preserve"> rasy, dávkování glukokortikoidů a použití inhibitoru renin angiotensinového systému (RA</w:t>
      </w:r>
      <w:r>
        <w:rPr>
          <w:rFonts w:cstheme="minorHAnsi"/>
          <w:sz w:val="18"/>
          <w:szCs w:val="18"/>
        </w:rPr>
        <w:t>A</w:t>
      </w:r>
      <w:r w:rsidRPr="00FB60CE">
        <w:rPr>
          <w:rFonts w:cstheme="minorHAnsi"/>
          <w:sz w:val="18"/>
          <w:szCs w:val="18"/>
        </w:rPr>
        <w:t>Si) v kontrolní skupině.</w:t>
      </w:r>
      <w:r>
        <w:rPr>
          <w:rFonts w:cstheme="minorHAnsi"/>
          <w:sz w:val="18"/>
          <w:szCs w:val="18"/>
        </w:rPr>
        <w:t xml:space="preserve"> CAVE</w:t>
      </w:r>
      <w:r w:rsidRPr="00FB60CE">
        <w:rPr>
          <w:rFonts w:cstheme="minorHAnsi"/>
          <w:sz w:val="18"/>
          <w:szCs w:val="18"/>
        </w:rPr>
        <w:t xml:space="preserve"> do analýzy podskupin podle rasy byli zahrnuti pouze čínští pacienti z</w:t>
      </w:r>
      <w:r>
        <w:rPr>
          <w:rFonts w:cstheme="minorHAnsi"/>
          <w:sz w:val="18"/>
          <w:szCs w:val="18"/>
        </w:rPr>
        <w:t>e studie</w:t>
      </w:r>
      <w:r w:rsidRPr="00FB60CE">
        <w:rPr>
          <w:rFonts w:cstheme="minorHAnsi"/>
          <w:sz w:val="18"/>
          <w:szCs w:val="18"/>
        </w:rPr>
        <w:t xml:space="preserve"> TESTING</w:t>
      </w:r>
      <w:r>
        <w:rPr>
          <w:rFonts w:cstheme="minorHAnsi"/>
          <w:sz w:val="18"/>
          <w:szCs w:val="18"/>
        </w:rPr>
        <w:t xml:space="preserve"> (viz Přílohu č. 22)</w:t>
      </w:r>
      <w:r w:rsidRPr="00FB60CE">
        <w:rPr>
          <w:rFonts w:cstheme="minorHAnsi"/>
          <w:sz w:val="18"/>
          <w:szCs w:val="18"/>
        </w:rPr>
        <w:t xml:space="preserve"> a kohorty s plnou dávkou a sníženou dávkou v</w:t>
      </w:r>
      <w:r>
        <w:rPr>
          <w:rFonts w:cstheme="minorHAnsi"/>
          <w:sz w:val="18"/>
          <w:szCs w:val="18"/>
        </w:rPr>
        <w:t>e studii TESTING (viz Přílohuy č.  22)</w:t>
      </w:r>
      <w:r w:rsidRPr="00FB60CE">
        <w:rPr>
          <w:rFonts w:cstheme="minorHAnsi"/>
          <w:sz w:val="18"/>
          <w:szCs w:val="18"/>
        </w:rPr>
        <w:t xml:space="preserve"> byly analyzovány odděleně v analýze podskupin podle dávkování glukokortikoidů. </w:t>
      </w:r>
      <w:r w:rsidRPr="00FB60CE">
        <w:rPr>
          <w:rFonts w:cstheme="minorHAnsi"/>
          <w:b/>
          <w:sz w:val="18"/>
          <w:szCs w:val="18"/>
        </w:rPr>
        <w:t>Plná dávka je definována</w:t>
      </w:r>
      <w:r w:rsidRPr="00FB60CE">
        <w:rPr>
          <w:rFonts w:cstheme="minorHAnsi"/>
          <w:sz w:val="18"/>
          <w:szCs w:val="18"/>
        </w:rPr>
        <w:t xml:space="preserve"> jako prednison &gt; 40 mg/den nebo methylprednisolon &gt; 32 mg/den nebo pulzní terapie methylprednisolonem, zatímco </w:t>
      </w:r>
      <w:r w:rsidRPr="00FB60CE">
        <w:rPr>
          <w:rFonts w:cstheme="minorHAnsi"/>
          <w:b/>
          <w:sz w:val="18"/>
          <w:szCs w:val="18"/>
        </w:rPr>
        <w:t>snížená dávka označuje</w:t>
      </w:r>
      <w:r w:rsidRPr="00FB60CE">
        <w:rPr>
          <w:rFonts w:cstheme="minorHAnsi"/>
          <w:sz w:val="18"/>
          <w:szCs w:val="18"/>
        </w:rPr>
        <w:t xml:space="preserve"> prednison &lt; 40 mg/den nebo methylprednisolon &lt; 32 mg/d. </w:t>
      </w:r>
      <w:r w:rsidRPr="00FB60CE">
        <w:rPr>
          <w:rFonts w:cstheme="minorHAnsi"/>
          <w:sz w:val="18"/>
          <w:szCs w:val="18"/>
          <w:u w:val="single"/>
        </w:rPr>
        <w:t>Obrázek b)</w:t>
      </w:r>
      <w:r w:rsidRPr="00FB60CE">
        <w:rPr>
          <w:rFonts w:cstheme="minorHAnsi"/>
          <w:sz w:val="18"/>
          <w:szCs w:val="18"/>
        </w:rPr>
        <w:t xml:space="preserve"> Vztah mezi mírou poklesu eGFR v kontrolní větvi kohort studie a léčebnými </w:t>
      </w:r>
      <w:r>
        <w:rPr>
          <w:rFonts w:cstheme="minorHAnsi"/>
          <w:sz w:val="18"/>
          <w:szCs w:val="18"/>
        </w:rPr>
        <w:t>výsledky</w:t>
      </w:r>
      <w:r w:rsidRPr="00FB60CE">
        <w:rPr>
          <w:rFonts w:cstheme="minorHAnsi"/>
          <w:sz w:val="18"/>
          <w:szCs w:val="18"/>
        </w:rPr>
        <w:t xml:space="preserve"> intervence s použitím glukokortikoidů na </w:t>
      </w:r>
      <w:r>
        <w:rPr>
          <w:rFonts w:cstheme="minorHAnsi"/>
          <w:sz w:val="18"/>
          <w:szCs w:val="18"/>
        </w:rPr>
        <w:t>kompozitní ukazatel účinnosti (viz definici výše)</w:t>
      </w:r>
      <w:r w:rsidRPr="00FB60CE">
        <w:rPr>
          <w:rFonts w:cstheme="minorHAnsi"/>
          <w:sz w:val="18"/>
          <w:szCs w:val="18"/>
        </w:rPr>
        <w:t>. Velikosti kruhů jsou inverzní k</w:t>
      </w:r>
      <w:r w:rsidR="009F5045">
        <w:rPr>
          <w:rFonts w:cstheme="minorHAnsi"/>
          <w:sz w:val="18"/>
          <w:szCs w:val="18"/>
        </w:rPr>
        <w:t>e standardní odchylce průměrné hodnoty</w:t>
      </w:r>
      <w:r w:rsidRPr="00FB60CE">
        <w:rPr>
          <w:rFonts w:cstheme="minorHAnsi"/>
          <w:sz w:val="18"/>
          <w:szCs w:val="18"/>
        </w:rPr>
        <w:t xml:space="preserve"> účinku léčby </w:t>
      </w:r>
      <w:r w:rsidR="009F5045">
        <w:rPr>
          <w:rFonts w:cstheme="minorHAnsi"/>
          <w:sz w:val="18"/>
          <w:szCs w:val="18"/>
        </w:rPr>
        <w:t>v kompozitním ukazeteli (viz definici výše), což souvisí s počtem pozorovaných</w:t>
      </w:r>
      <w:r w:rsidRPr="00FB60CE">
        <w:rPr>
          <w:rFonts w:cstheme="minorHAnsi"/>
          <w:sz w:val="18"/>
          <w:szCs w:val="18"/>
        </w:rPr>
        <w:t xml:space="preserve"> událostí</w:t>
      </w:r>
      <w:r w:rsidR="009F5045">
        <w:rPr>
          <w:rFonts w:cstheme="minorHAnsi"/>
          <w:sz w:val="18"/>
          <w:szCs w:val="18"/>
        </w:rPr>
        <w:t>/příhod</w:t>
      </w:r>
      <w:r w:rsidRPr="00FB60CE">
        <w:rPr>
          <w:rFonts w:cstheme="minorHAnsi"/>
          <w:sz w:val="18"/>
          <w:szCs w:val="18"/>
        </w:rPr>
        <w:t>.</w:t>
      </w:r>
      <w:r w:rsidR="009F5045">
        <w:rPr>
          <w:rFonts w:cstheme="minorHAnsi"/>
          <w:sz w:val="18"/>
          <w:szCs w:val="18"/>
        </w:rPr>
        <w:t xml:space="preserve"> </w:t>
      </w:r>
      <w:r w:rsidR="009F5045" w:rsidRPr="009F5045">
        <w:rPr>
          <w:rFonts w:cstheme="minorHAnsi"/>
          <w:b/>
          <w:sz w:val="18"/>
          <w:szCs w:val="18"/>
          <w:u w:val="single"/>
        </w:rPr>
        <w:t>Např. pravděpodobným důvodem nedostatečného účinku kortikoidů ve studii STOP-IgAN (viz Přílohu č. 23) byli tzv.  nízkorizikoví pacienti, rychlost poklesu eGFR v kontrolní skupině totiž byla 2,68 ml/min na 1,73 m</w:t>
      </w:r>
      <w:r w:rsidR="009F5045" w:rsidRPr="009F5045">
        <w:rPr>
          <w:rFonts w:cstheme="minorHAnsi"/>
          <w:b/>
          <w:sz w:val="18"/>
          <w:szCs w:val="18"/>
          <w:u w:val="single"/>
          <w:vertAlign w:val="superscript"/>
        </w:rPr>
        <w:t>2</w:t>
      </w:r>
      <w:r w:rsidR="009F5045" w:rsidRPr="009F5045">
        <w:rPr>
          <w:rFonts w:cstheme="minorHAnsi"/>
          <w:b/>
          <w:sz w:val="18"/>
          <w:szCs w:val="18"/>
          <w:u w:val="single"/>
        </w:rPr>
        <w:t xml:space="preserve"> za rok, takže bylo nepravděpodobné, že by nějaká intervence mohla reálně ukázat, že tuto rychlost dále zpomaluje, v závislosti na velikosti kohorty</w:t>
      </w:r>
      <w:r w:rsidR="009F5045">
        <w:rPr>
          <w:rFonts w:cstheme="minorHAnsi"/>
          <w:sz w:val="18"/>
          <w:szCs w:val="18"/>
        </w:rPr>
        <w:t>.</w:t>
      </w:r>
      <w:r>
        <w:rPr>
          <w:rFonts w:cstheme="minorHAnsi"/>
          <w:sz w:val="18"/>
          <w:szCs w:val="18"/>
        </w:rPr>
        <w:t xml:space="preserve"> </w:t>
      </w:r>
      <w:r w:rsidRPr="00FB60CE">
        <w:rPr>
          <w:rFonts w:cstheme="minorHAnsi"/>
          <w:sz w:val="18"/>
          <w:szCs w:val="18"/>
          <w:u w:val="single"/>
        </w:rPr>
        <w:t>Zkratky</w:t>
      </w:r>
      <w:r>
        <w:rPr>
          <w:rFonts w:cstheme="minorHAnsi"/>
          <w:sz w:val="18"/>
          <w:szCs w:val="18"/>
        </w:rPr>
        <w:t xml:space="preserve">: </w:t>
      </w:r>
      <w:r w:rsidRPr="00FB60CE">
        <w:rPr>
          <w:rFonts w:cstheme="minorHAnsi"/>
          <w:sz w:val="18"/>
          <w:szCs w:val="18"/>
        </w:rPr>
        <w:t>CI</w:t>
      </w:r>
      <w:r>
        <w:rPr>
          <w:rFonts w:cstheme="minorHAnsi"/>
          <w:sz w:val="18"/>
          <w:szCs w:val="18"/>
        </w:rPr>
        <w:t xml:space="preserve"> - interval spolehlivosti; LnRR -</w:t>
      </w:r>
      <w:r w:rsidRPr="00FB60CE">
        <w:rPr>
          <w:rFonts w:cstheme="minorHAnsi"/>
          <w:sz w:val="18"/>
          <w:szCs w:val="18"/>
        </w:rPr>
        <w:t xml:space="preserve"> logaritmus relativního rizika.</w:t>
      </w:r>
      <w:r w:rsidR="009F5045">
        <w:rPr>
          <w:rFonts w:cstheme="minorHAnsi"/>
          <w:sz w:val="18"/>
          <w:szCs w:val="18"/>
        </w:rPr>
        <w:t>)</w:t>
      </w:r>
    </w:p>
    <w:p w:rsidR="00853B1E" w:rsidRPr="00853B1E" w:rsidRDefault="00853B1E" w:rsidP="00FB60CE">
      <w:pPr>
        <w:spacing w:after="0"/>
        <w:jc w:val="both"/>
        <w:rPr>
          <w:rFonts w:cstheme="minorHAnsi"/>
          <w:sz w:val="6"/>
          <w:szCs w:val="6"/>
        </w:rPr>
      </w:pPr>
    </w:p>
    <w:p w:rsidR="00853B1E" w:rsidRDefault="00FB71D2" w:rsidP="00FB60CE">
      <w:pPr>
        <w:spacing w:after="0"/>
        <w:jc w:val="both"/>
        <w:rPr>
          <w:rFonts w:cstheme="minorHAnsi"/>
          <w:sz w:val="18"/>
          <w:szCs w:val="18"/>
        </w:rPr>
      </w:pPr>
      <w:r>
        <w:rPr>
          <w:rFonts w:cstheme="minorHAnsi"/>
          <w:noProof/>
          <w:sz w:val="18"/>
          <w:szCs w:val="18"/>
          <w:lang w:eastAsia="cs-CZ"/>
        </w:rPr>
        <mc:AlternateContent>
          <mc:Choice Requires="wps">
            <w:drawing>
              <wp:anchor distT="0" distB="0" distL="114300" distR="114300" simplePos="0" relativeHeight="251673600" behindDoc="0" locked="0" layoutInCell="1" allowOverlap="1">
                <wp:simplePos x="0" y="0"/>
                <wp:positionH relativeFrom="column">
                  <wp:posOffset>-6350</wp:posOffset>
                </wp:positionH>
                <wp:positionV relativeFrom="paragraph">
                  <wp:posOffset>2484120</wp:posOffset>
                </wp:positionV>
                <wp:extent cx="440055" cy="215265"/>
                <wp:effectExtent l="1270" t="0" r="0" b="0"/>
                <wp:wrapNone/>
                <wp:docPr id="2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6BF" w:rsidRDefault="009C56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left:0;text-align:left;margin-left:-.5pt;margin-top:195.6pt;width:34.65pt;height:1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" stroked="f">
                <v:textbox>
                  <w:txbxContent>
                    <w:p w:rsidR="009C56BF" w:rsidRDefault="009C56BF"/>
                  </w:txbxContent>
                </v:textbox>
              </v:shape>
            </w:pict>
          </mc:Fallback>
        </mc:AlternateContent>
      </w:r>
      <w:r w:rsidR="00853B1E">
        <w:rPr>
          <w:rFonts w:cstheme="minorHAnsi"/>
          <w:noProof/>
          <w:sz w:val="18"/>
          <w:szCs w:val="18"/>
          <w:lang w:eastAsia="cs-CZ"/>
        </w:rPr>
        <w:drawing>
          <wp:inline distT="0" distB="0" distL="0" distR="0" wp14:anchorId="219A4E3C" wp14:editId="37B80FD1">
            <wp:extent cx="6831423" cy="2579298"/>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831965" cy="2579503"/>
                    </a:xfrm>
                    <a:prstGeom prst="rect">
                      <a:avLst/>
                    </a:prstGeom>
                    <a:noFill/>
                    <a:ln>
                      <a:noFill/>
                    </a:ln>
                  </pic:spPr>
                </pic:pic>
              </a:graphicData>
            </a:graphic>
          </wp:inline>
        </w:drawing>
      </w:r>
    </w:p>
    <w:p w:rsidR="00853B1E" w:rsidRDefault="00853B1E" w:rsidP="00FB60CE">
      <w:pPr>
        <w:spacing w:after="0"/>
        <w:jc w:val="both"/>
        <w:rPr>
          <w:rFonts w:cstheme="minorHAnsi"/>
          <w:sz w:val="18"/>
          <w:szCs w:val="18"/>
        </w:rPr>
      </w:pPr>
    </w:p>
    <w:p w:rsidR="005C5BB8" w:rsidRDefault="005C5BB8" w:rsidP="005C5BB8">
      <w:pPr>
        <w:spacing w:after="0"/>
        <w:ind w:left="1531"/>
        <w:jc w:val="both"/>
        <w:rPr>
          <w:rFonts w:cstheme="minorHAnsi"/>
          <w:sz w:val="18"/>
          <w:szCs w:val="18"/>
        </w:rPr>
      </w:pPr>
      <w:r>
        <w:rPr>
          <w:rFonts w:cstheme="minorHAnsi"/>
          <w:noProof/>
          <w:sz w:val="18"/>
          <w:szCs w:val="18"/>
          <w:lang w:eastAsia="cs-CZ"/>
        </w:rPr>
        <w:drawing>
          <wp:inline distT="0" distB="0" distL="0" distR="0">
            <wp:extent cx="4468483" cy="3318400"/>
            <wp:effectExtent l="0" t="0" r="0"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68589" cy="3318479"/>
                    </a:xfrm>
                    <a:prstGeom prst="rect">
                      <a:avLst/>
                    </a:prstGeom>
                    <a:noFill/>
                    <a:ln>
                      <a:noFill/>
                    </a:ln>
                  </pic:spPr>
                </pic:pic>
              </a:graphicData>
            </a:graphic>
          </wp:inline>
        </w:drawing>
      </w:r>
    </w:p>
    <w:p w:rsidR="005C5BB8" w:rsidRDefault="005C5BB8" w:rsidP="00FB60CE">
      <w:pPr>
        <w:spacing w:after="0"/>
        <w:jc w:val="both"/>
        <w:rPr>
          <w:rFonts w:cstheme="minorHAnsi"/>
          <w:sz w:val="18"/>
          <w:szCs w:val="18"/>
        </w:rPr>
      </w:pPr>
    </w:p>
    <w:p w:rsidR="005C5BB8" w:rsidRDefault="005C5BB8" w:rsidP="00FB60CE">
      <w:pPr>
        <w:spacing w:after="0"/>
        <w:jc w:val="both"/>
        <w:rPr>
          <w:rFonts w:cstheme="minorHAnsi"/>
          <w:sz w:val="18"/>
          <w:szCs w:val="18"/>
        </w:rPr>
      </w:pPr>
    </w:p>
    <w:p w:rsidR="003A0E64" w:rsidRDefault="003A0E64" w:rsidP="00FB60CE">
      <w:pPr>
        <w:spacing w:after="0"/>
        <w:jc w:val="both"/>
        <w:rPr>
          <w:rFonts w:cstheme="minorHAnsi"/>
          <w:sz w:val="18"/>
          <w:szCs w:val="18"/>
        </w:rPr>
      </w:pPr>
    </w:p>
    <w:p w:rsidR="00712C02" w:rsidRDefault="00712C02" w:rsidP="00FB60CE">
      <w:pPr>
        <w:spacing w:after="0"/>
        <w:jc w:val="both"/>
        <w:rPr>
          <w:rFonts w:cstheme="minorHAnsi"/>
          <w:sz w:val="18"/>
          <w:szCs w:val="18"/>
        </w:rPr>
      </w:pPr>
    </w:p>
    <w:p w:rsidR="00712C02" w:rsidRDefault="003A0E64" w:rsidP="00FB60CE">
      <w:pPr>
        <w:spacing w:after="0"/>
        <w:jc w:val="both"/>
        <w:rPr>
          <w:rFonts w:cstheme="minorHAnsi"/>
        </w:rPr>
      </w:pPr>
      <w:r>
        <w:rPr>
          <w:rFonts w:cstheme="minorHAnsi"/>
          <w:b/>
        </w:rPr>
        <w:t xml:space="preserve">Příloha č. 30: </w:t>
      </w:r>
      <w:r>
        <w:rPr>
          <w:rFonts w:cstheme="minorHAnsi"/>
        </w:rPr>
        <w:t>přehled jednotkových cen LP zahrnutých do této FE analýzy (včetně profylaktické léčby), celkových nákladů podpůrné léčby z celoživotní perspektivy a scénaře dávkování různých režimů</w:t>
      </w:r>
    </w:p>
    <w:p w:rsidR="009F4040" w:rsidRDefault="009F4040" w:rsidP="009F4040">
      <w:pPr>
        <w:spacing w:after="0"/>
        <w:jc w:val="both"/>
        <w:rPr>
          <w:rFonts w:cstheme="minorHAnsi"/>
          <w:sz w:val="21"/>
          <w:szCs w:val="21"/>
        </w:rPr>
      </w:pPr>
      <w:r>
        <w:rPr>
          <w:rFonts w:cstheme="minorHAnsi"/>
          <w:b/>
          <w:bCs/>
          <w:color w:val="FF0000"/>
          <w:sz w:val="18"/>
          <w:szCs w:val="18"/>
          <w:u w:val="single"/>
        </w:rPr>
        <w:t>(Červeným orámováním jsou autorem této FE analýzy vyznačeny informace týkající se hodnoceného LP KINPEYGO</w:t>
      </w:r>
      <w:r>
        <w:rPr>
          <w:rFonts w:cstheme="minorHAnsi"/>
          <w:b/>
          <w:bCs/>
          <w:color w:val="FF0000"/>
          <w:sz w:val="18"/>
          <w:szCs w:val="18"/>
        </w:rPr>
        <w:t>!)</w:t>
      </w:r>
    </w:p>
    <w:p w:rsidR="005C5BB8" w:rsidRPr="003A0E64" w:rsidRDefault="005C5BB8" w:rsidP="00FB60CE">
      <w:pPr>
        <w:spacing w:after="0"/>
        <w:jc w:val="both"/>
        <w:rPr>
          <w:rFonts w:cstheme="minorHAnsi"/>
          <w:sz w:val="4"/>
          <w:szCs w:val="4"/>
        </w:rPr>
      </w:pPr>
    </w:p>
    <w:p w:rsidR="00712C02" w:rsidRPr="00FB60CE" w:rsidRDefault="00FB71D2" w:rsidP="00FB60CE">
      <w:pPr>
        <w:spacing w:after="0"/>
        <w:jc w:val="both"/>
        <w:rPr>
          <w:rFonts w:cstheme="minorHAnsi"/>
          <w:sz w:val="18"/>
          <w:szCs w:val="18"/>
        </w:rPr>
      </w:pPr>
      <w:r>
        <w:rPr>
          <w:rFonts w:cstheme="minorHAnsi"/>
          <w:noProof/>
          <w:sz w:val="18"/>
          <w:szCs w:val="18"/>
          <w:lang w:eastAsia="cs-CZ"/>
        </w:rPr>
        <mc:AlternateContent>
          <mc:Choice Requires="wps">
            <w:drawing>
              <wp:anchor distT="0" distB="0" distL="114300" distR="114300" simplePos="0" relativeHeight="251680768" behindDoc="0" locked="0" layoutInCell="0" allowOverlap="1">
                <wp:simplePos x="0" y="0"/>
                <wp:positionH relativeFrom="column">
                  <wp:posOffset>63500</wp:posOffset>
                </wp:positionH>
                <wp:positionV relativeFrom="paragraph">
                  <wp:posOffset>421640</wp:posOffset>
                </wp:positionV>
                <wp:extent cx="6736080" cy="509270"/>
                <wp:effectExtent l="0" t="0" r="7620" b="5080"/>
                <wp:wrapNone/>
                <wp:docPr id="2" name="Obdélník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6080" cy="509270"/>
                        </a:xfrm>
                        <a:prstGeom prst="rect">
                          <a:avLst/>
                        </a:prstGeom>
                        <a:solidFill>
                          <a:srgbClr val="FF0000">
                            <a:alpha val="13000"/>
                          </a:srgbClr>
                        </a:solidFill>
                        <a:ln w="25560">
                          <a:solidFill>
                            <a:srgbClr val="FF0000"/>
                          </a:solidFill>
                          <a:round/>
                        </a:ln>
                      </wps:spPr>
                      <wps:bodyPr/>
                    </wps:wsp>
                  </a:graphicData>
                </a:graphic>
                <wp14:sizeRelH relativeFrom="page">
                  <wp14:pctWidth>0</wp14:pctWidth>
                </wp14:sizeRelH>
                <wp14:sizeRelV relativeFrom="page">
                  <wp14:pctHeight>0</wp14:pctHeight>
                </wp14:sizeRelV>
              </wp:anchor>
            </w:drawing>
          </mc:Choice>
          <mc:Fallback>
            <w:pict>
              <v:rect w14:anchorId="7E4FD9F3" id="Obdélník 77" o:spid="_x0000_s1026" style="position:absolute;margin-left:5pt;margin-top:33.2pt;width:530.4pt;height:40.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" o:allowincell="f" fillcolor="red" strokecolor="red" strokeweight=".71mm">
                <v:fill opacity="8481f"/>
                <v:stroke joinstyle="round"/>
                <v:path arrowok="t"/>
              </v:rect>
            </w:pict>
          </mc:Fallback>
        </mc:AlternateContent>
      </w:r>
      <w:r w:rsidR="00712C02">
        <w:rPr>
          <w:rFonts w:cstheme="minorHAnsi"/>
          <w:noProof/>
          <w:sz w:val="18"/>
          <w:szCs w:val="18"/>
          <w:lang w:eastAsia="cs-CZ"/>
        </w:rPr>
        <w:drawing>
          <wp:inline distT="0" distB="0" distL="0" distR="0">
            <wp:extent cx="6840855" cy="4959985"/>
            <wp:effectExtent l="0" t="0" r="0" b="0"/>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40855" cy="4959985"/>
                    </a:xfrm>
                    <a:prstGeom prst="rect">
                      <a:avLst/>
                    </a:prstGeom>
                    <a:noFill/>
                    <a:ln>
                      <a:noFill/>
                    </a:ln>
                  </pic:spPr>
                </pic:pic>
              </a:graphicData>
            </a:graphic>
          </wp:inline>
        </w:drawing>
      </w:r>
    </w:p>
    <w:sectPr w:rsidR="00712C02" w:rsidRPr="00FB60CE" w:rsidSect="00D7147F">
      <w:footerReference w:type="default" r:id="rId100"/>
      <w:pgSz w:w="11906" w:h="16838"/>
      <w:pgMar w:top="454" w:right="567" w:bottom="624" w:left="567" w:header="0" w:footer="709" w:gutter="0"/>
      <w:cols w:space="708"/>
      <w:formProt w:val="0"/>
      <w:docGrid w:linePitch="360" w:charSpace="20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2C4A" w:rsidRDefault="00202C4A">
      <w:pPr>
        <w:spacing w:after="0" w:line="240" w:lineRule="auto"/>
      </w:pPr>
      <w:r>
        <w:separator/>
      </w:r>
    </w:p>
  </w:endnote>
  <w:endnote w:type="continuationSeparator" w:id="0">
    <w:p w:rsidR="00202C4A" w:rsidRDefault="00202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Times New Roman"/>
    <w:panose1 w:val="020B0602030504020204"/>
    <w:charset w:val="00"/>
    <w:family w:val="swiss"/>
    <w:pitch w:val="variable"/>
    <w:sig w:usb0="00000003" w:usb1="00000000" w:usb2="00000000" w:usb3="00000000" w:csb0="00000001" w:csb1="00000000"/>
  </w:font>
  <w:font w:name="TimesNewRomanPSMT">
    <w:panose1 w:val="00000000000000000000"/>
    <w:charset w:val="00"/>
    <w:family w:val="roman"/>
    <w:notTrueType/>
    <w:pitch w:val="default"/>
  </w:font>
  <w:font w:name="SourceSansPro-Regular">
    <w:altName w:val="Arial"/>
    <w:panose1 w:val="00000000000000000000"/>
    <w:charset w:val="00"/>
    <w:family w:val="moder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6BF" w:rsidRDefault="009C56BF">
    <w:pPr>
      <w:pStyle w:val="Zpat"/>
    </w:pPr>
    <w:r>
      <w:rPr>
        <w:noProof/>
        <w:lang w:eastAsia="cs-CZ"/>
      </w:rPr>
      <mc:AlternateContent>
        <mc:Choice Requires="wps">
          <w:drawing>
            <wp:anchor distT="635" distB="0" distL="635" distR="635" simplePos="0" relativeHeight="354" behindDoc="1" locked="0" layoutInCell="0" allowOverlap="1" wp14:anchorId="6B0C231D" wp14:editId="4BAC0E63">
              <wp:simplePos x="0" y="0"/>
              <wp:positionH relativeFrom="rightMargin">
                <wp:align>center</wp:align>
              </wp:positionH>
              <wp:positionV relativeFrom="bottomMargin">
                <wp:align>center</wp:align>
              </wp:positionV>
              <wp:extent cx="512445" cy="441325"/>
              <wp:effectExtent l="635" t="635" r="635" b="0"/>
              <wp:wrapNone/>
              <wp:docPr id="221" name="Vývojový diagram: alternativní postup 21"/>
              <wp:cNvGraphicFramePr/>
              <a:graphic xmlns:a="http://schemas.openxmlformats.org/drawingml/2006/main">
                <a:graphicData uri="http://schemas.microsoft.com/office/word/2010/wordprocessingShape">
                  <wps:wsp>
                    <wps:cNvSpPr/>
                    <wps:spPr>
                      <a:xfrm>
                        <a:off x="0" y="0"/>
                        <a:ext cx="512280" cy="441360"/>
                      </a:xfrm>
                      <a:prstGeom prst="flowChartAlternateProcess">
                        <a:avLst/>
                      </a:prstGeom>
                      <a:noFill/>
                      <a:ln w="0">
                        <a:noFill/>
                      </a:ln>
                    </wps:spPr>
                    <wps:style>
                      <a:lnRef idx="0">
                        <a:scrgbClr r="0" g="0" b="0"/>
                      </a:lnRef>
                      <a:fillRef idx="0">
                        <a:scrgbClr r="0" g="0" b="0"/>
                      </a:fillRef>
                      <a:effectRef idx="0">
                        <a:scrgbClr r="0" g="0" b="0"/>
                      </a:effectRef>
                      <a:fontRef idx="minor"/>
                    </wps:style>
                    <wps:txbx>
                      <w:txbxContent>
                        <w:sdt>
                          <w:sdtPr>
                            <w:id w:val="734336311"/>
                            <w:docPartObj>
                              <w:docPartGallery w:val="Page Numbers (Bottom of Page)"/>
                              <w:docPartUnique/>
                            </w:docPartObj>
                          </w:sdtPr>
                          <w:sdtContent>
                            <w:p w:rsidR="009C56BF" w:rsidRDefault="009C56BF">
                              <w:pPr>
                                <w:pStyle w:val="Zpat"/>
                                <w:pBdr>
                                  <w:top w:val="single" w:sz="12" w:space="1" w:color="A5A5A5"/>
                                  <w:bottom w:val="single" w:sz="48" w:space="1" w:color="A5A5A5"/>
                                </w:pBdr>
                                <w:jc w:val="center"/>
                                <w:rPr>
                                  <w:sz w:val="28"/>
                                  <w:szCs w:val="28"/>
                                </w:rPr>
                              </w:pPr>
                              <w:r>
                                <w:rPr>
                                  <w:color w:val="000000"/>
                                  <w:sz w:val="28"/>
                                  <w:szCs w:val="28"/>
                                </w:rPr>
                                <w:fldChar w:fldCharType="begin"/>
                              </w:r>
                              <w:r>
                                <w:rPr>
                                  <w:color w:val="000000"/>
                                  <w:sz w:val="28"/>
                                  <w:szCs w:val="28"/>
                                </w:rPr>
                                <w:instrText xml:space="preserve"> PAGE </w:instrText>
                              </w:r>
                              <w:r>
                                <w:rPr>
                                  <w:color w:val="000000"/>
                                  <w:sz w:val="28"/>
                                  <w:szCs w:val="28"/>
                                </w:rPr>
                                <w:fldChar w:fldCharType="separate"/>
                              </w:r>
                              <w:r>
                                <w:rPr>
                                  <w:noProof/>
                                  <w:color w:val="000000"/>
                                  <w:sz w:val="28"/>
                                  <w:szCs w:val="28"/>
                                </w:rPr>
                                <w:t>47</w:t>
                              </w:r>
                              <w:r>
                                <w:rPr>
                                  <w:color w:val="000000"/>
                                  <w:sz w:val="28"/>
                                  <w:szCs w:val="28"/>
                                </w:rPr>
                                <w:fldChar w:fldCharType="end"/>
                              </w:r>
                            </w:p>
                          </w:sdtContent>
                        </w:sdt>
                      </w:txbxContent>
                    </wps:txbx>
                    <wps:bodyPr anchor="t">
                      <a:noAutofit/>
                    </wps:bodyPr>
                  </wps:wsp>
                </a:graphicData>
              </a:graphic>
            </wp:anchor>
          </w:drawing>
        </mc:Choice>
        <mc:Fallback>
          <w:pict>
            <v:shapetype w14:anchorId="6B0C231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1" o:spid="_x0000_s1037" type="#_x0000_t176" style="position:absolute;margin-left:0;margin-top:0;width:40.35pt;height:34.75pt;z-index:-503316126;visibility:visible;mso-wrap-style:square;mso-wrap-distance-left:.05pt;mso-wrap-distance-top:.05pt;mso-wrap-distance-right:.05pt;mso-wrap-distance-bottom:0;mso-position-horizontal:center;mso-position-horizontal-relative:right-margin-area;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" o:allowincell="f" filled="f" stroked="f" strokeweight="0">
              <v:textbox>
                <w:txbxContent>
                  <w:sdt>
                    <w:sdtPr>
                      <w:id w:val="734336311"/>
                      <w:docPartObj>
                        <w:docPartGallery w:val="Page Numbers (Bottom of Page)"/>
                        <w:docPartUnique/>
                      </w:docPartObj>
                    </w:sdtPr>
                    <w:sdtContent>
                      <w:p w:rsidR="009C56BF" w:rsidRDefault="009C56BF">
                        <w:pPr>
                          <w:pStyle w:val="Zpat"/>
                          <w:pBdr>
                            <w:top w:val="single" w:sz="12" w:space="1" w:color="A5A5A5"/>
                            <w:bottom w:val="single" w:sz="48" w:space="1" w:color="A5A5A5"/>
                          </w:pBdr>
                          <w:jc w:val="center"/>
                          <w:rPr>
                            <w:sz w:val="28"/>
                            <w:szCs w:val="28"/>
                          </w:rPr>
                        </w:pPr>
                        <w:r>
                          <w:rPr>
                            <w:color w:val="000000"/>
                            <w:sz w:val="28"/>
                            <w:szCs w:val="28"/>
                          </w:rPr>
                          <w:fldChar w:fldCharType="begin"/>
                        </w:r>
                        <w:r>
                          <w:rPr>
                            <w:color w:val="000000"/>
                            <w:sz w:val="28"/>
                            <w:szCs w:val="28"/>
                          </w:rPr>
                          <w:instrText xml:space="preserve"> PAGE </w:instrText>
                        </w:r>
                        <w:r>
                          <w:rPr>
                            <w:color w:val="000000"/>
                            <w:sz w:val="28"/>
                            <w:szCs w:val="28"/>
                          </w:rPr>
                          <w:fldChar w:fldCharType="separate"/>
                        </w:r>
                        <w:r>
                          <w:rPr>
                            <w:noProof/>
                            <w:color w:val="000000"/>
                            <w:sz w:val="28"/>
                            <w:szCs w:val="28"/>
                          </w:rPr>
                          <w:t>47</w:t>
                        </w:r>
                        <w:r>
                          <w:rPr>
                            <w:color w:val="000000"/>
                            <w:sz w:val="28"/>
                            <w:szCs w:val="28"/>
                          </w:rPr>
                          <w:fldChar w:fldCharType="end"/>
                        </w:r>
                      </w:p>
                    </w:sdtContent>
                  </w:sdt>
                </w:txbxContent>
              </v:textbox>
              <w10:wrap anchorx="margin" anchory="margin"/>
            </v:shape>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2C4A" w:rsidRDefault="00202C4A">
      <w:pPr>
        <w:spacing w:after="0" w:line="240" w:lineRule="auto"/>
      </w:pPr>
      <w:r>
        <w:separator/>
      </w:r>
    </w:p>
  </w:footnote>
  <w:footnote w:type="continuationSeparator" w:id="0">
    <w:p w:rsidR="00202C4A" w:rsidRDefault="00202C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37399"/>
    <w:multiLevelType w:val="multilevel"/>
    <w:tmpl w:val="EE9094D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ED16907"/>
    <w:multiLevelType w:val="multilevel"/>
    <w:tmpl w:val="1F44E88C"/>
    <w:lvl w:ilvl="0">
      <w:numFmt w:val="bullet"/>
      <w:lvlText w:val="-"/>
      <w:lvlJc w:val="left"/>
      <w:pPr>
        <w:tabs>
          <w:tab w:val="num" w:pos="0"/>
        </w:tabs>
        <w:ind w:left="720" w:hanging="360"/>
      </w:pPr>
      <w:rPr>
        <w:rFonts w:ascii="Calibri" w:eastAsiaTheme="minorHAnsi" w:hAnsi="Calibri" w:cstheme="minorBidi" w:hint="default"/>
        <w:color w:val="00000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7DC6781"/>
    <w:multiLevelType w:val="multilevel"/>
    <w:tmpl w:val="17FA414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C834CC8"/>
    <w:multiLevelType w:val="multilevel"/>
    <w:tmpl w:val="C3EE03E2"/>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3194C00"/>
    <w:multiLevelType w:val="hybridMultilevel"/>
    <w:tmpl w:val="433E023E"/>
    <w:lvl w:ilvl="0" w:tplc="F626BABC">
      <w:start w:val="100"/>
      <w:numFmt w:val="decimal"/>
      <w:lvlText w:val="%1."/>
      <w:lvlJc w:val="left"/>
      <w:pPr>
        <w:ind w:left="720" w:hanging="360"/>
      </w:pPr>
      <w:rPr>
        <w:rFonts w:hint="default"/>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69484B45"/>
    <w:multiLevelType w:val="hybridMultilevel"/>
    <w:tmpl w:val="C690207E"/>
    <w:lvl w:ilvl="0" w:tplc="97367F14">
      <w:numFmt w:val="bullet"/>
      <w:lvlText w:val="-"/>
      <w:lvlJc w:val="left"/>
      <w:pPr>
        <w:ind w:left="720" w:hanging="360"/>
      </w:pPr>
      <w:rPr>
        <w:rFonts w:ascii="Calibri" w:eastAsiaTheme="minorHAnsi" w:hAnsi="Calibri" w:cstheme="minorHAnsi"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B253EF3"/>
    <w:multiLevelType w:val="hybridMultilevel"/>
    <w:tmpl w:val="52667F04"/>
    <w:lvl w:ilvl="0" w:tplc="3F2CFCA8">
      <w:start w:val="133"/>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6E8E7DD7"/>
    <w:multiLevelType w:val="hybridMultilevel"/>
    <w:tmpl w:val="E9503344"/>
    <w:lvl w:ilvl="0" w:tplc="0405000F">
      <w:start w:val="10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0E436A7"/>
    <w:multiLevelType w:val="multilevel"/>
    <w:tmpl w:val="CBAAC0E2"/>
    <w:lvl w:ilvl="0">
      <w:numFmt w:val="bullet"/>
      <w:lvlText w:val=""/>
      <w:lvlJc w:val="left"/>
      <w:pPr>
        <w:tabs>
          <w:tab w:val="num" w:pos="0"/>
        </w:tabs>
        <w:ind w:left="720" w:hanging="360"/>
      </w:pPr>
      <w:rPr>
        <w:rFonts w:ascii="Symbol" w:eastAsiaTheme="minorHAnsi" w:hAnsi="Symbol" w:cstheme="minorHAns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
  </w:num>
  <w:num w:numId="2">
    <w:abstractNumId w:val="8"/>
  </w:num>
  <w:num w:numId="3">
    <w:abstractNumId w:val="3"/>
  </w:num>
  <w:num w:numId="4">
    <w:abstractNumId w:val="1"/>
  </w:num>
  <w:num w:numId="5">
    <w:abstractNumId w:val="0"/>
  </w:num>
  <w:num w:numId="6">
    <w:abstractNumId w:val="5"/>
  </w:num>
  <w:num w:numId="7">
    <w:abstractNumId w:val="7"/>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07"/>
    <w:rsid w:val="00010794"/>
    <w:rsid w:val="000222C2"/>
    <w:rsid w:val="00033807"/>
    <w:rsid w:val="00053934"/>
    <w:rsid w:val="00066E94"/>
    <w:rsid w:val="00067B76"/>
    <w:rsid w:val="00072EE5"/>
    <w:rsid w:val="0009221D"/>
    <w:rsid w:val="00092DEC"/>
    <w:rsid w:val="000A78F0"/>
    <w:rsid w:val="000C3545"/>
    <w:rsid w:val="000C5E36"/>
    <w:rsid w:val="000E6DFD"/>
    <w:rsid w:val="00103D7A"/>
    <w:rsid w:val="00105521"/>
    <w:rsid w:val="00113996"/>
    <w:rsid w:val="001534C2"/>
    <w:rsid w:val="00176963"/>
    <w:rsid w:val="0019000B"/>
    <w:rsid w:val="001C1561"/>
    <w:rsid w:val="001D511D"/>
    <w:rsid w:val="001F11B6"/>
    <w:rsid w:val="001F6730"/>
    <w:rsid w:val="00202C4A"/>
    <w:rsid w:val="00222122"/>
    <w:rsid w:val="002728FC"/>
    <w:rsid w:val="00292731"/>
    <w:rsid w:val="002966B9"/>
    <w:rsid w:val="002C3816"/>
    <w:rsid w:val="002F4E16"/>
    <w:rsid w:val="003040B6"/>
    <w:rsid w:val="00315590"/>
    <w:rsid w:val="00322034"/>
    <w:rsid w:val="00326BC8"/>
    <w:rsid w:val="00360472"/>
    <w:rsid w:val="00362DCA"/>
    <w:rsid w:val="003738D3"/>
    <w:rsid w:val="00374C30"/>
    <w:rsid w:val="00390EEF"/>
    <w:rsid w:val="003A0E64"/>
    <w:rsid w:val="003B7FDE"/>
    <w:rsid w:val="003D529C"/>
    <w:rsid w:val="003F359B"/>
    <w:rsid w:val="003F7627"/>
    <w:rsid w:val="00416B98"/>
    <w:rsid w:val="004463FC"/>
    <w:rsid w:val="00466C1A"/>
    <w:rsid w:val="0049211F"/>
    <w:rsid w:val="00496648"/>
    <w:rsid w:val="004A7DAC"/>
    <w:rsid w:val="004C2E29"/>
    <w:rsid w:val="004D31EE"/>
    <w:rsid w:val="004E5C5A"/>
    <w:rsid w:val="00510575"/>
    <w:rsid w:val="005252CC"/>
    <w:rsid w:val="005342B2"/>
    <w:rsid w:val="00543F76"/>
    <w:rsid w:val="0059786F"/>
    <w:rsid w:val="005C44B1"/>
    <w:rsid w:val="005C5BB8"/>
    <w:rsid w:val="005D1435"/>
    <w:rsid w:val="005D152C"/>
    <w:rsid w:val="005D267E"/>
    <w:rsid w:val="00612CC6"/>
    <w:rsid w:val="0062340D"/>
    <w:rsid w:val="00683E93"/>
    <w:rsid w:val="00685D7D"/>
    <w:rsid w:val="006A6A81"/>
    <w:rsid w:val="006B1549"/>
    <w:rsid w:val="006B35C2"/>
    <w:rsid w:val="006D26DA"/>
    <w:rsid w:val="006F2002"/>
    <w:rsid w:val="00712C02"/>
    <w:rsid w:val="0074658E"/>
    <w:rsid w:val="0076135D"/>
    <w:rsid w:val="00772BB2"/>
    <w:rsid w:val="00787517"/>
    <w:rsid w:val="007B2BD7"/>
    <w:rsid w:val="007D67F0"/>
    <w:rsid w:val="008008CE"/>
    <w:rsid w:val="00853B1E"/>
    <w:rsid w:val="00863C59"/>
    <w:rsid w:val="0087365B"/>
    <w:rsid w:val="008943C9"/>
    <w:rsid w:val="008A1240"/>
    <w:rsid w:val="008C492D"/>
    <w:rsid w:val="008E00F6"/>
    <w:rsid w:val="008F2EEB"/>
    <w:rsid w:val="00902002"/>
    <w:rsid w:val="0091426A"/>
    <w:rsid w:val="0092655D"/>
    <w:rsid w:val="00952357"/>
    <w:rsid w:val="00983F86"/>
    <w:rsid w:val="009A36BD"/>
    <w:rsid w:val="009A4CAD"/>
    <w:rsid w:val="009C56BF"/>
    <w:rsid w:val="009E2C9D"/>
    <w:rsid w:val="009F4040"/>
    <w:rsid w:val="009F5045"/>
    <w:rsid w:val="00A0007C"/>
    <w:rsid w:val="00A004F8"/>
    <w:rsid w:val="00A21B2A"/>
    <w:rsid w:val="00A37558"/>
    <w:rsid w:val="00A41659"/>
    <w:rsid w:val="00A47A3A"/>
    <w:rsid w:val="00AB0476"/>
    <w:rsid w:val="00AB1F8A"/>
    <w:rsid w:val="00AD547F"/>
    <w:rsid w:val="00AF3B4B"/>
    <w:rsid w:val="00B20268"/>
    <w:rsid w:val="00B210BD"/>
    <w:rsid w:val="00B50358"/>
    <w:rsid w:val="00B5681C"/>
    <w:rsid w:val="00B66197"/>
    <w:rsid w:val="00B836F7"/>
    <w:rsid w:val="00BA1D96"/>
    <w:rsid w:val="00BA27CE"/>
    <w:rsid w:val="00BA33D6"/>
    <w:rsid w:val="00BA6134"/>
    <w:rsid w:val="00BC20BD"/>
    <w:rsid w:val="00BE782D"/>
    <w:rsid w:val="00C071AF"/>
    <w:rsid w:val="00C45DB9"/>
    <w:rsid w:val="00C469CC"/>
    <w:rsid w:val="00C71AAF"/>
    <w:rsid w:val="00CA21F4"/>
    <w:rsid w:val="00CB40AC"/>
    <w:rsid w:val="00CC4798"/>
    <w:rsid w:val="00D52208"/>
    <w:rsid w:val="00D7147F"/>
    <w:rsid w:val="00DB4EF1"/>
    <w:rsid w:val="00DB7AAC"/>
    <w:rsid w:val="00DC1D2D"/>
    <w:rsid w:val="00E020A9"/>
    <w:rsid w:val="00E03EF7"/>
    <w:rsid w:val="00E334A6"/>
    <w:rsid w:val="00E37C60"/>
    <w:rsid w:val="00E53177"/>
    <w:rsid w:val="00E60E68"/>
    <w:rsid w:val="00E65770"/>
    <w:rsid w:val="00E76255"/>
    <w:rsid w:val="00E96764"/>
    <w:rsid w:val="00EA1F18"/>
    <w:rsid w:val="00EC03A0"/>
    <w:rsid w:val="00ED221E"/>
    <w:rsid w:val="00EF268F"/>
    <w:rsid w:val="00EF58A5"/>
    <w:rsid w:val="00F06816"/>
    <w:rsid w:val="00F154D4"/>
    <w:rsid w:val="00F445EA"/>
    <w:rsid w:val="00F556EB"/>
    <w:rsid w:val="00F57C6F"/>
    <w:rsid w:val="00FA3015"/>
    <w:rsid w:val="00FB60CE"/>
    <w:rsid w:val="00FB71D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444E86"/>
  <w15:docId w15:val="{2C9009A7-F542-452D-82DC-B71D4A574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160" w:line="259"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q4iawc">
    <w:name w:val="q4iawc"/>
    <w:basedOn w:val="Standardnpsmoodstavce"/>
    <w:qFormat/>
    <w:rsid w:val="00890A50"/>
  </w:style>
  <w:style w:type="character" w:styleId="Hypertextovodkaz">
    <w:name w:val="Hyperlink"/>
    <w:basedOn w:val="Standardnpsmoodstavce"/>
    <w:uiPriority w:val="99"/>
    <w:unhideWhenUsed/>
    <w:rsid w:val="008A3E12"/>
    <w:rPr>
      <w:color w:val="0000FF"/>
      <w:u w:val="single"/>
    </w:rPr>
  </w:style>
  <w:style w:type="character" w:styleId="Sledovanodkaz">
    <w:name w:val="FollowedHyperlink"/>
    <w:basedOn w:val="Standardnpsmoodstavce"/>
    <w:uiPriority w:val="99"/>
    <w:semiHidden/>
    <w:unhideWhenUsed/>
    <w:rsid w:val="008A3E12"/>
    <w:rPr>
      <w:color w:val="954F72" w:themeColor="followedHyperlink"/>
      <w:u w:val="single"/>
    </w:rPr>
  </w:style>
  <w:style w:type="character" w:customStyle="1" w:styleId="Nevyeenzmnka1">
    <w:name w:val="Nevyřešená zmínka1"/>
    <w:basedOn w:val="Standardnpsmoodstavce"/>
    <w:uiPriority w:val="99"/>
    <w:semiHidden/>
    <w:unhideWhenUsed/>
    <w:qFormat/>
    <w:rsid w:val="008A3E12"/>
    <w:rPr>
      <w:color w:val="605E5C"/>
      <w:shd w:val="clear" w:color="auto" w:fill="E1DFDD"/>
    </w:rPr>
  </w:style>
  <w:style w:type="character" w:styleId="Zdraznn">
    <w:name w:val="Emphasis"/>
    <w:basedOn w:val="Standardnpsmoodstavce"/>
    <w:uiPriority w:val="20"/>
    <w:qFormat/>
    <w:rsid w:val="005A0D45"/>
    <w:rPr>
      <w:i/>
      <w:iCs/>
    </w:rPr>
  </w:style>
  <w:style w:type="character" w:customStyle="1" w:styleId="TextbublinyChar">
    <w:name w:val="Text bubliny Char"/>
    <w:basedOn w:val="Standardnpsmoodstavce"/>
    <w:link w:val="Textbubliny"/>
    <w:uiPriority w:val="99"/>
    <w:semiHidden/>
    <w:qFormat/>
    <w:rsid w:val="002C4487"/>
    <w:rPr>
      <w:rFonts w:ascii="Tahoma" w:hAnsi="Tahoma" w:cs="Tahoma"/>
      <w:sz w:val="16"/>
      <w:szCs w:val="16"/>
    </w:rPr>
  </w:style>
  <w:style w:type="character" w:customStyle="1" w:styleId="ZhlavChar">
    <w:name w:val="Záhlaví Char"/>
    <w:basedOn w:val="Standardnpsmoodstavce"/>
    <w:link w:val="Zhlav"/>
    <w:uiPriority w:val="99"/>
    <w:qFormat/>
    <w:rsid w:val="001312F1"/>
  </w:style>
  <w:style w:type="character" w:customStyle="1" w:styleId="ZpatChar">
    <w:name w:val="Zápatí Char"/>
    <w:basedOn w:val="Standardnpsmoodstavce"/>
    <w:link w:val="Zpat"/>
    <w:uiPriority w:val="99"/>
    <w:qFormat/>
    <w:rsid w:val="001312F1"/>
  </w:style>
  <w:style w:type="character" w:customStyle="1" w:styleId="Nevyeenzmnka2">
    <w:name w:val="Nevyřešená zmínka2"/>
    <w:basedOn w:val="Standardnpsmoodstavce"/>
    <w:uiPriority w:val="99"/>
    <w:semiHidden/>
    <w:unhideWhenUsed/>
    <w:qFormat/>
    <w:rsid w:val="007830F2"/>
    <w:rPr>
      <w:color w:val="605E5C"/>
      <w:shd w:val="clear" w:color="auto" w:fill="E1DFDD"/>
    </w:rPr>
  </w:style>
  <w:style w:type="character" w:customStyle="1" w:styleId="Nevyeenzmnka3">
    <w:name w:val="Nevyřešená zmínka3"/>
    <w:basedOn w:val="Standardnpsmoodstavce"/>
    <w:uiPriority w:val="99"/>
    <w:semiHidden/>
    <w:unhideWhenUsed/>
    <w:qFormat/>
    <w:rsid w:val="009E6D88"/>
    <w:rPr>
      <w:color w:val="605E5C"/>
      <w:shd w:val="clear" w:color="auto" w:fill="E1DFDD"/>
    </w:rPr>
  </w:style>
  <w:style w:type="character" w:customStyle="1" w:styleId="rynqvb">
    <w:name w:val="rynqvb"/>
    <w:basedOn w:val="Standardnpsmoodstavce"/>
    <w:qFormat/>
    <w:rsid w:val="00F83DB5"/>
  </w:style>
  <w:style w:type="character" w:customStyle="1" w:styleId="Nevyeenzmnka4">
    <w:name w:val="Nevyřešená zmínka4"/>
    <w:basedOn w:val="Standardnpsmoodstavce"/>
    <w:uiPriority w:val="99"/>
    <w:semiHidden/>
    <w:unhideWhenUsed/>
    <w:qFormat/>
    <w:rsid w:val="00C20709"/>
    <w:rPr>
      <w:color w:val="605E5C"/>
      <w:shd w:val="clear" w:color="auto" w:fill="E1DFDD"/>
    </w:rPr>
  </w:style>
  <w:style w:type="character" w:customStyle="1" w:styleId="Nevyeenzmnka5">
    <w:name w:val="Nevyřešená zmínka5"/>
    <w:basedOn w:val="Standardnpsmoodstavce"/>
    <w:uiPriority w:val="99"/>
    <w:semiHidden/>
    <w:unhideWhenUsed/>
    <w:qFormat/>
    <w:rsid w:val="00262CAE"/>
    <w:rPr>
      <w:color w:val="605E5C"/>
      <w:shd w:val="clear" w:color="auto" w:fill="E1DFDD"/>
    </w:rPr>
  </w:style>
  <w:style w:type="character" w:styleId="Siln">
    <w:name w:val="Strong"/>
    <w:basedOn w:val="Standardnpsmoodstavce"/>
    <w:uiPriority w:val="22"/>
    <w:qFormat/>
    <w:rsid w:val="001516D8"/>
    <w:rPr>
      <w:b/>
      <w:bCs/>
    </w:rPr>
  </w:style>
  <w:style w:type="character" w:customStyle="1" w:styleId="Nevyeenzmnka6">
    <w:name w:val="Nevyřešená zmínka6"/>
    <w:basedOn w:val="Standardnpsmoodstavce"/>
    <w:uiPriority w:val="99"/>
    <w:semiHidden/>
    <w:unhideWhenUsed/>
    <w:qFormat/>
    <w:rsid w:val="00284748"/>
    <w:rPr>
      <w:color w:val="605E5C"/>
      <w:shd w:val="clear" w:color="auto" w:fill="E1DFDD"/>
    </w:rPr>
  </w:style>
  <w:style w:type="character" w:customStyle="1" w:styleId="Nevyeenzmnka7">
    <w:name w:val="Nevyřešená zmínka7"/>
    <w:basedOn w:val="Standardnpsmoodstavce"/>
    <w:uiPriority w:val="99"/>
    <w:semiHidden/>
    <w:unhideWhenUsed/>
    <w:qFormat/>
    <w:rsid w:val="00724E79"/>
    <w:rPr>
      <w:color w:val="605E5C"/>
      <w:shd w:val="clear" w:color="auto" w:fill="E1DFDD"/>
    </w:rPr>
  </w:style>
  <w:style w:type="character" w:customStyle="1" w:styleId="Nevyeenzmnka8">
    <w:name w:val="Nevyřešená zmínka8"/>
    <w:basedOn w:val="Standardnpsmoodstavce"/>
    <w:uiPriority w:val="99"/>
    <w:semiHidden/>
    <w:unhideWhenUsed/>
    <w:qFormat/>
    <w:rsid w:val="00D477A2"/>
    <w:rPr>
      <w:color w:val="605E5C"/>
      <w:shd w:val="clear" w:color="auto" w:fill="E1DFDD"/>
    </w:rPr>
  </w:style>
  <w:style w:type="character" w:customStyle="1" w:styleId="Nevyeenzmnka9">
    <w:name w:val="Nevyřešená zmínka9"/>
    <w:basedOn w:val="Standardnpsmoodstavce"/>
    <w:uiPriority w:val="99"/>
    <w:semiHidden/>
    <w:unhideWhenUsed/>
    <w:qFormat/>
    <w:rsid w:val="00E21B48"/>
    <w:rPr>
      <w:color w:val="605E5C"/>
      <w:shd w:val="clear" w:color="auto" w:fill="E1DFDD"/>
    </w:rPr>
  </w:style>
  <w:style w:type="character" w:customStyle="1" w:styleId="Nevyeenzmnka10">
    <w:name w:val="Nevyřešená zmínka10"/>
    <w:basedOn w:val="Standardnpsmoodstavce"/>
    <w:uiPriority w:val="99"/>
    <w:semiHidden/>
    <w:unhideWhenUsed/>
    <w:qFormat/>
    <w:rsid w:val="00E801B1"/>
    <w:rPr>
      <w:color w:val="605E5C"/>
      <w:shd w:val="clear" w:color="auto" w:fill="E1DFDD"/>
    </w:rPr>
  </w:style>
  <w:style w:type="character" w:customStyle="1" w:styleId="Nevyeenzmnka11">
    <w:name w:val="Nevyřešená zmínka11"/>
    <w:basedOn w:val="Standardnpsmoodstavce"/>
    <w:uiPriority w:val="99"/>
    <w:semiHidden/>
    <w:unhideWhenUsed/>
    <w:qFormat/>
    <w:rsid w:val="007670C7"/>
    <w:rPr>
      <w:color w:val="605E5C"/>
      <w:shd w:val="clear" w:color="auto" w:fill="E1DFDD"/>
    </w:rPr>
  </w:style>
  <w:style w:type="character" w:customStyle="1" w:styleId="Nevyeenzmnka12">
    <w:name w:val="Nevyřešená zmínka12"/>
    <w:basedOn w:val="Standardnpsmoodstavce"/>
    <w:uiPriority w:val="99"/>
    <w:semiHidden/>
    <w:unhideWhenUsed/>
    <w:qFormat/>
    <w:rsid w:val="001E6A6C"/>
    <w:rPr>
      <w:color w:val="605E5C"/>
      <w:shd w:val="clear" w:color="auto" w:fill="E1DFDD"/>
    </w:rPr>
  </w:style>
  <w:style w:type="character" w:customStyle="1" w:styleId="Nevyeenzmnka13">
    <w:name w:val="Nevyřešená zmínka13"/>
    <w:basedOn w:val="Standardnpsmoodstavce"/>
    <w:uiPriority w:val="99"/>
    <w:semiHidden/>
    <w:unhideWhenUsed/>
    <w:qFormat/>
    <w:rsid w:val="00277088"/>
    <w:rPr>
      <w:color w:val="605E5C"/>
      <w:shd w:val="clear" w:color="auto" w:fill="E1DFDD"/>
    </w:rPr>
  </w:style>
  <w:style w:type="character" w:styleId="Odkaznakoment">
    <w:name w:val="annotation reference"/>
    <w:basedOn w:val="Standardnpsmoodstavce"/>
    <w:uiPriority w:val="99"/>
    <w:semiHidden/>
    <w:unhideWhenUsed/>
    <w:qFormat/>
    <w:rsid w:val="00452733"/>
    <w:rPr>
      <w:sz w:val="16"/>
      <w:szCs w:val="16"/>
    </w:rPr>
  </w:style>
  <w:style w:type="character" w:customStyle="1" w:styleId="TextkomenteChar">
    <w:name w:val="Text komentáře Char"/>
    <w:basedOn w:val="Standardnpsmoodstavce"/>
    <w:link w:val="Textkomente"/>
    <w:uiPriority w:val="99"/>
    <w:semiHidden/>
    <w:qFormat/>
    <w:rsid w:val="00452733"/>
    <w:rPr>
      <w:sz w:val="20"/>
      <w:szCs w:val="20"/>
    </w:rPr>
  </w:style>
  <w:style w:type="character" w:customStyle="1" w:styleId="PedmtkomenteChar">
    <w:name w:val="Předmět komentáře Char"/>
    <w:basedOn w:val="TextkomenteChar"/>
    <w:link w:val="Pedmtkomente"/>
    <w:uiPriority w:val="99"/>
    <w:semiHidden/>
    <w:qFormat/>
    <w:rsid w:val="00452733"/>
    <w:rPr>
      <w:b/>
      <w:bCs/>
      <w:sz w:val="20"/>
      <w:szCs w:val="20"/>
    </w:rPr>
  </w:style>
  <w:style w:type="character" w:customStyle="1" w:styleId="Nevyeenzmnka14">
    <w:name w:val="Nevyřešená zmínka14"/>
    <w:basedOn w:val="Standardnpsmoodstavce"/>
    <w:uiPriority w:val="99"/>
    <w:semiHidden/>
    <w:unhideWhenUsed/>
    <w:qFormat/>
    <w:rsid w:val="00052DE5"/>
    <w:rPr>
      <w:color w:val="605E5C"/>
      <w:shd w:val="clear" w:color="auto" w:fill="E1DFDD"/>
    </w:rPr>
  </w:style>
  <w:style w:type="character" w:customStyle="1" w:styleId="Nevyeenzmnka15">
    <w:name w:val="Nevyřešená zmínka15"/>
    <w:basedOn w:val="Standardnpsmoodstavce"/>
    <w:uiPriority w:val="99"/>
    <w:semiHidden/>
    <w:unhideWhenUsed/>
    <w:qFormat/>
    <w:rsid w:val="00DF1ED0"/>
    <w:rPr>
      <w:color w:val="605E5C"/>
      <w:shd w:val="clear" w:color="auto" w:fill="E1DFDD"/>
    </w:rPr>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pPr>
      <w:spacing w:after="140" w:line="276" w:lineRule="auto"/>
    </w:pPr>
  </w:style>
  <w:style w:type="paragraph" w:styleId="Seznam">
    <w:name w:val="List"/>
    <w:basedOn w:val="Zkladntext"/>
    <w:rPr>
      <w:rFonts w:cs="Lucida Sans"/>
    </w:rPr>
  </w:style>
  <w:style w:type="paragraph" w:styleId="Titulek">
    <w:name w:val="caption"/>
    <w:basedOn w:val="Normln"/>
    <w:qFormat/>
    <w:pPr>
      <w:suppressLineNumbers/>
      <w:spacing w:before="120" w:after="120"/>
    </w:pPr>
    <w:rPr>
      <w:rFonts w:cs="Lucida Sans"/>
      <w:i/>
      <w:iCs/>
      <w:sz w:val="24"/>
      <w:szCs w:val="24"/>
    </w:rPr>
  </w:style>
  <w:style w:type="paragraph" w:customStyle="1" w:styleId="Rejstk">
    <w:name w:val="Rejstřík"/>
    <w:basedOn w:val="Normln"/>
    <w:qFormat/>
    <w:pPr>
      <w:suppressLineNumbers/>
    </w:pPr>
    <w:rPr>
      <w:rFonts w:cs="Lucida Sans"/>
    </w:rPr>
  </w:style>
  <w:style w:type="paragraph" w:styleId="Odstavecseseznamem">
    <w:name w:val="List Paragraph"/>
    <w:basedOn w:val="Normln"/>
    <w:uiPriority w:val="34"/>
    <w:qFormat/>
    <w:rsid w:val="00F561E0"/>
    <w:pPr>
      <w:ind w:left="720"/>
      <w:contextualSpacing/>
    </w:pPr>
  </w:style>
  <w:style w:type="paragraph" w:styleId="Textbubliny">
    <w:name w:val="Balloon Text"/>
    <w:basedOn w:val="Normln"/>
    <w:link w:val="TextbublinyChar"/>
    <w:uiPriority w:val="99"/>
    <w:semiHidden/>
    <w:unhideWhenUsed/>
    <w:qFormat/>
    <w:rsid w:val="002C4487"/>
    <w:pPr>
      <w:spacing w:after="0" w:line="240" w:lineRule="auto"/>
    </w:pPr>
    <w:rPr>
      <w:rFonts w:ascii="Tahoma" w:hAnsi="Tahoma" w:cs="Tahoma"/>
      <w:sz w:val="16"/>
      <w:szCs w:val="16"/>
    </w:rPr>
  </w:style>
  <w:style w:type="paragraph" w:styleId="Normlnweb">
    <w:name w:val="Normal (Web)"/>
    <w:basedOn w:val="Normln"/>
    <w:uiPriority w:val="99"/>
    <w:unhideWhenUsed/>
    <w:qFormat/>
    <w:rsid w:val="0081327F"/>
    <w:pPr>
      <w:spacing w:beforeAutospacing="1" w:afterAutospacing="1" w:line="240" w:lineRule="auto"/>
    </w:pPr>
    <w:rPr>
      <w:rFonts w:ascii="Times New Roman" w:eastAsia="Times New Roman" w:hAnsi="Times New Roman" w:cs="Times New Roman"/>
      <w:sz w:val="24"/>
      <w:szCs w:val="24"/>
      <w:lang w:eastAsia="cs-CZ"/>
    </w:rPr>
  </w:style>
  <w:style w:type="paragraph" w:customStyle="1" w:styleId="Zhlavazpat">
    <w:name w:val="Záhlaví a zápatí"/>
    <w:basedOn w:val="Normln"/>
    <w:qFormat/>
  </w:style>
  <w:style w:type="paragraph" w:styleId="Zhlav">
    <w:name w:val="header"/>
    <w:basedOn w:val="Normln"/>
    <w:link w:val="ZhlavChar"/>
    <w:uiPriority w:val="99"/>
    <w:unhideWhenUsed/>
    <w:rsid w:val="001312F1"/>
    <w:pPr>
      <w:tabs>
        <w:tab w:val="center" w:pos="4536"/>
        <w:tab w:val="right" w:pos="9072"/>
      </w:tabs>
      <w:spacing w:after="0" w:line="240" w:lineRule="auto"/>
    </w:pPr>
  </w:style>
  <w:style w:type="paragraph" w:styleId="Zpat">
    <w:name w:val="footer"/>
    <w:basedOn w:val="Normln"/>
    <w:link w:val="ZpatChar"/>
    <w:uiPriority w:val="99"/>
    <w:unhideWhenUsed/>
    <w:rsid w:val="001312F1"/>
    <w:pPr>
      <w:tabs>
        <w:tab w:val="center" w:pos="4536"/>
        <w:tab w:val="right" w:pos="9072"/>
      </w:tabs>
      <w:spacing w:after="0" w:line="240" w:lineRule="auto"/>
    </w:pPr>
  </w:style>
  <w:style w:type="paragraph" w:customStyle="1" w:styleId="-wm-msonormal">
    <w:name w:val="-wm-msonormal"/>
    <w:basedOn w:val="Normln"/>
    <w:qFormat/>
    <w:rsid w:val="00CF67D6"/>
    <w:pPr>
      <w:spacing w:beforeAutospacing="1" w:afterAutospacing="1" w:line="240" w:lineRule="auto"/>
    </w:pPr>
    <w:rPr>
      <w:rFonts w:ascii="Times New Roman" w:eastAsia="Times New Roman" w:hAnsi="Times New Roman" w:cs="Times New Roman"/>
      <w:sz w:val="24"/>
      <w:szCs w:val="24"/>
      <w:lang w:eastAsia="cs-CZ"/>
    </w:rPr>
  </w:style>
  <w:style w:type="paragraph" w:customStyle="1" w:styleId="Obsahrmce">
    <w:name w:val="Obsah rámce"/>
    <w:basedOn w:val="Normln"/>
    <w:qFormat/>
  </w:style>
  <w:style w:type="paragraph" w:customStyle="1" w:styleId="Default">
    <w:name w:val="Default"/>
    <w:qFormat/>
    <w:rsid w:val="00E90315"/>
    <w:pPr>
      <w:suppressAutoHyphens w:val="0"/>
    </w:pPr>
    <w:rPr>
      <w:rFonts w:ascii="Calibri" w:eastAsia="Calibri" w:hAnsi="Calibri" w:cs="Calibri"/>
      <w:color w:val="000000"/>
      <w:sz w:val="24"/>
      <w:szCs w:val="24"/>
    </w:rPr>
  </w:style>
  <w:style w:type="paragraph" w:styleId="Textkomente">
    <w:name w:val="annotation text"/>
    <w:basedOn w:val="Normln"/>
    <w:link w:val="TextkomenteChar"/>
    <w:uiPriority w:val="99"/>
    <w:semiHidden/>
    <w:unhideWhenUsed/>
    <w:qFormat/>
    <w:rsid w:val="00452733"/>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4527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68DEB-F2BB-4FD1-8C1B-9333B9763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39</Pages>
  <Words>7573</Words>
  <Characters>43702</Characters>
  <Application>Microsoft Office Word</Application>
  <DocSecurity>0</DocSecurity>
  <Lines>1065</Lines>
  <Paragraphs>152</Paragraphs>
  <ScaleCrop>false</ScaleCrop>
  <HeadingPairs>
    <vt:vector size="2" baseType="variant">
      <vt:variant>
        <vt:lpstr>Název</vt:lpstr>
      </vt:variant>
      <vt:variant>
        <vt:i4>1</vt:i4>
      </vt:variant>
    </vt:vector>
  </HeadingPairs>
  <TitlesOfParts>
    <vt:vector size="1" baseType="lpstr">
      <vt:lpstr/>
    </vt:vector>
  </TitlesOfParts>
  <Company>FN Olomouc</Company>
  <LinksUpToDate>false</LinksUpToDate>
  <CharactersWithSpaces>51123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Duda Jaroslav, Mgr.</dc:creator>
  <dc:description/>
  <cp:lastModifiedBy>Duda Jaroslav, Mgr.</cp:lastModifiedBy>
  <cp:revision>9</cp:revision>
  <cp:lastPrinted>2024-06-03T16:59:00Z</cp:lastPrinted>
  <dcterms:created xsi:type="dcterms:W3CDTF">2024-08-19T19:59:00Z</dcterms:created>
  <dcterms:modified xsi:type="dcterms:W3CDTF">2024-08-19T20:27:00Z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492c23bfb30de9d3d0a76badc6cbbe91d5ffa9aca1fde406e817679b826315ac</vt:lpwstr>
  </property>
</Properties>
</file>