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E6" w:rsidRDefault="00CD2B91" w:rsidP="005C1148">
      <w:r>
        <w:t xml:space="preserve">                                           </w:t>
      </w:r>
      <w:r w:rsidR="005C1148">
        <w:t xml:space="preserve">                          </w:t>
      </w:r>
    </w:p>
    <w:p w:rsidR="000A048D" w:rsidRDefault="00906BE6" w:rsidP="005C1148">
      <w:r>
        <w:t xml:space="preserve">                                                         </w:t>
      </w:r>
      <w:r w:rsidR="00CD2B91">
        <w:t xml:space="preserve">Analýza nákladové efektivity pro léčivý přípravek </w:t>
      </w:r>
    </w:p>
    <w:p w:rsidR="000A048D" w:rsidRDefault="000A048D">
      <w:pPr>
        <w:spacing w:after="0"/>
      </w:pPr>
    </w:p>
    <w:p w:rsidR="000A048D" w:rsidRDefault="00CD2B91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AKEEGA</w:t>
      </w:r>
    </w:p>
    <w:p w:rsidR="000A048D" w:rsidRDefault="000A048D">
      <w:pPr>
        <w:spacing w:after="0"/>
        <w:rPr>
          <w:sz w:val="10"/>
          <w:szCs w:val="10"/>
        </w:rPr>
      </w:pPr>
    </w:p>
    <w:p w:rsidR="000A048D" w:rsidRDefault="00CD2B91">
      <w:pPr>
        <w:spacing w:after="0" w:line="240" w:lineRule="auto"/>
        <w:jc w:val="center"/>
        <w:rPr>
          <w:rFonts w:cs="Times New Roman"/>
          <w:b/>
          <w:sz w:val="27"/>
          <w:szCs w:val="27"/>
        </w:rPr>
      </w:pPr>
      <w:r>
        <w:rPr>
          <w:rFonts w:cstheme="minorHAnsi"/>
          <w:b/>
          <w:sz w:val="27"/>
          <w:szCs w:val="27"/>
        </w:rPr>
        <w:t xml:space="preserve">spolu s </w:t>
      </w:r>
      <w:proofErr w:type="spellStart"/>
      <w:r>
        <w:rPr>
          <w:rFonts w:cstheme="minorHAnsi"/>
          <w:b/>
          <w:sz w:val="27"/>
          <w:szCs w:val="27"/>
        </w:rPr>
        <w:t>prednisonem</w:t>
      </w:r>
      <w:proofErr w:type="spellEnd"/>
      <w:r>
        <w:rPr>
          <w:rFonts w:cstheme="minorHAnsi"/>
          <w:b/>
          <w:sz w:val="27"/>
          <w:szCs w:val="27"/>
        </w:rPr>
        <w:t xml:space="preserve"> nebo </w:t>
      </w:r>
      <w:proofErr w:type="spellStart"/>
      <w:r>
        <w:rPr>
          <w:rFonts w:cstheme="minorHAnsi"/>
          <w:b/>
          <w:sz w:val="27"/>
          <w:szCs w:val="27"/>
        </w:rPr>
        <w:t>prednisolonem</w:t>
      </w:r>
      <w:proofErr w:type="spellEnd"/>
      <w:r>
        <w:rPr>
          <w:rFonts w:cstheme="minorHAnsi"/>
          <w:b/>
          <w:sz w:val="27"/>
          <w:szCs w:val="27"/>
        </w:rPr>
        <w:t xml:space="preserve"> k léčbě dospělých pacientů s metastazujícím, </w:t>
      </w:r>
      <w:proofErr w:type="spellStart"/>
      <w:r>
        <w:rPr>
          <w:rFonts w:cstheme="minorHAnsi"/>
          <w:b/>
          <w:sz w:val="27"/>
          <w:szCs w:val="27"/>
        </w:rPr>
        <w:t>kastračně</w:t>
      </w:r>
      <w:proofErr w:type="spellEnd"/>
      <w:r>
        <w:rPr>
          <w:rFonts w:cstheme="minorHAnsi"/>
          <w:b/>
          <w:sz w:val="27"/>
          <w:szCs w:val="27"/>
        </w:rPr>
        <w:t xml:space="preserve"> rezistentním karcinomem prostaty (</w:t>
      </w:r>
      <w:proofErr w:type="spellStart"/>
      <w:r>
        <w:rPr>
          <w:rFonts w:cstheme="minorHAnsi"/>
          <w:b/>
          <w:sz w:val="27"/>
          <w:szCs w:val="27"/>
        </w:rPr>
        <w:t>mCRPC</w:t>
      </w:r>
      <w:proofErr w:type="spellEnd"/>
      <w:r>
        <w:rPr>
          <w:rFonts w:cstheme="minorHAnsi"/>
          <w:b/>
          <w:sz w:val="27"/>
          <w:szCs w:val="27"/>
        </w:rPr>
        <w:t xml:space="preserve">, </w:t>
      </w:r>
      <w:proofErr w:type="spellStart"/>
      <w:r>
        <w:rPr>
          <w:rFonts w:cstheme="minorHAnsi"/>
          <w:b/>
          <w:sz w:val="27"/>
          <w:szCs w:val="27"/>
        </w:rPr>
        <w:t>metastatic</w:t>
      </w:r>
      <w:proofErr w:type="spellEnd"/>
      <w:r>
        <w:rPr>
          <w:rFonts w:cstheme="minorHAnsi"/>
          <w:b/>
          <w:sz w:val="27"/>
          <w:szCs w:val="27"/>
        </w:rPr>
        <w:t xml:space="preserve"> </w:t>
      </w:r>
      <w:proofErr w:type="spellStart"/>
      <w:r>
        <w:rPr>
          <w:rFonts w:cstheme="minorHAnsi"/>
          <w:b/>
          <w:sz w:val="27"/>
          <w:szCs w:val="27"/>
        </w:rPr>
        <w:t>castration-resistant</w:t>
      </w:r>
      <w:proofErr w:type="spellEnd"/>
      <w:r>
        <w:rPr>
          <w:rFonts w:cstheme="minorHAnsi"/>
          <w:b/>
          <w:sz w:val="27"/>
          <w:szCs w:val="27"/>
        </w:rPr>
        <w:t xml:space="preserve"> </w:t>
      </w:r>
      <w:proofErr w:type="spellStart"/>
      <w:r>
        <w:rPr>
          <w:rFonts w:cstheme="minorHAnsi"/>
          <w:b/>
          <w:sz w:val="27"/>
          <w:szCs w:val="27"/>
        </w:rPr>
        <w:t>prostate</w:t>
      </w:r>
      <w:proofErr w:type="spellEnd"/>
      <w:r>
        <w:rPr>
          <w:rFonts w:cstheme="minorHAnsi"/>
          <w:b/>
          <w:sz w:val="27"/>
          <w:szCs w:val="27"/>
        </w:rPr>
        <w:t xml:space="preserve"> </w:t>
      </w:r>
      <w:proofErr w:type="spellStart"/>
      <w:r>
        <w:rPr>
          <w:rFonts w:cstheme="minorHAnsi"/>
          <w:b/>
          <w:sz w:val="27"/>
          <w:szCs w:val="27"/>
        </w:rPr>
        <w:t>cancer</w:t>
      </w:r>
      <w:proofErr w:type="spellEnd"/>
      <w:r>
        <w:rPr>
          <w:rFonts w:cstheme="minorHAnsi"/>
          <w:b/>
          <w:sz w:val="27"/>
          <w:szCs w:val="27"/>
        </w:rPr>
        <w:t>) a mutacemi genu BRCA 1/2 (zárodečné a/nebo somatické), u kterých není klinicky indikována chemoterapie</w:t>
      </w:r>
    </w:p>
    <w:p w:rsidR="000A048D" w:rsidRDefault="000A048D">
      <w:pPr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0A048D" w:rsidRDefault="000A048D">
      <w:pPr>
        <w:spacing w:after="0"/>
        <w:rPr>
          <w:rFonts w:cstheme="minorHAnsi"/>
          <w:b/>
          <w:sz w:val="16"/>
          <w:szCs w:val="16"/>
        </w:rPr>
      </w:pPr>
    </w:p>
    <w:p w:rsidR="000A048D" w:rsidRDefault="00CD2B91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Celý název přípravku</w:t>
      </w:r>
      <w:r>
        <w:rPr>
          <w:rFonts w:cstheme="minorHAnsi"/>
        </w:rPr>
        <w:t xml:space="preserve">: AKEEGA 100mg/500mg </w:t>
      </w:r>
      <w:proofErr w:type="spellStart"/>
      <w:r>
        <w:rPr>
          <w:rFonts w:cstheme="minorHAnsi"/>
        </w:rPr>
        <w:t>tbl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flm</w:t>
      </w:r>
      <w:proofErr w:type="spellEnd"/>
      <w:r>
        <w:rPr>
          <w:rFonts w:cstheme="minorHAnsi"/>
        </w:rPr>
        <w:t xml:space="preserve"> 56 (poměr množství je pro: </w:t>
      </w:r>
      <w:proofErr w:type="spellStart"/>
      <w:r>
        <w:rPr>
          <w:rFonts w:cstheme="minorHAnsi"/>
        </w:rPr>
        <w:t>niraparib</w:t>
      </w:r>
      <w:proofErr w:type="spellEnd"/>
      <w:r>
        <w:rPr>
          <w:rFonts w:cstheme="minorHAnsi"/>
        </w:rPr>
        <w:t>/</w:t>
      </w:r>
      <w:proofErr w:type="spellStart"/>
      <w:r>
        <w:rPr>
          <w:rFonts w:cstheme="minorHAnsi"/>
        </w:rPr>
        <w:t>abirateron</w:t>
      </w:r>
      <w:proofErr w:type="spellEnd"/>
      <w:r>
        <w:rPr>
          <w:rFonts w:cstheme="minorHAnsi"/>
        </w:rPr>
        <w:t xml:space="preserve"> acetát), léková forma: potahované tablety</w:t>
      </w:r>
    </w:p>
    <w:p w:rsidR="000A048D" w:rsidRDefault="000A048D">
      <w:pPr>
        <w:spacing w:after="0"/>
        <w:jc w:val="both"/>
        <w:rPr>
          <w:rFonts w:cstheme="minorHAnsi"/>
          <w:sz w:val="16"/>
          <w:szCs w:val="16"/>
        </w:rPr>
      </w:pPr>
    </w:p>
    <w:p w:rsidR="000A048D" w:rsidRDefault="00CD2B91">
      <w:pPr>
        <w:pStyle w:val="Normlnweb"/>
        <w:spacing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Účinná látka</w:t>
      </w:r>
      <w:r>
        <w:rPr>
          <w:rFonts w:asciiTheme="minorHAnsi" w:hAnsiTheme="minorHAnsi" w:cstheme="minorHAnsi"/>
          <w:b/>
          <w:sz w:val="22"/>
          <w:szCs w:val="22"/>
          <w:u w:val="single"/>
          <w:vertAlign w:val="superscript"/>
        </w:rPr>
        <w:t>2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A048D" w:rsidRDefault="00CD2B91">
      <w:pPr>
        <w:spacing w:after="0" w:line="240" w:lineRule="auto"/>
        <w:jc w:val="both"/>
        <w:rPr>
          <w:rFonts w:eastAsia="TimesNewRomanPSMT" w:cs="TimesNewRomanPSMT"/>
        </w:rPr>
      </w:pPr>
      <w:r>
        <w:rPr>
          <w:rFonts w:eastAsia="TimesNewRomanPSMT" w:cs="TimesNewRomanPSMT"/>
          <w:b/>
        </w:rPr>
        <w:t xml:space="preserve">Přípravek je kombinací </w:t>
      </w:r>
      <w:proofErr w:type="spellStart"/>
      <w:r>
        <w:rPr>
          <w:rFonts w:eastAsia="TimesNewRomanPSMT" w:cs="TimesNewRomanPSMT"/>
          <w:b/>
        </w:rPr>
        <w:t>niraparibu</w:t>
      </w:r>
      <w:proofErr w:type="spellEnd"/>
      <w:r>
        <w:rPr>
          <w:rFonts w:eastAsia="TimesNewRomanPSMT" w:cs="TimesNewRomanPSMT"/>
        </w:rPr>
        <w:t xml:space="preserve">, což je inhibitor </w:t>
      </w:r>
      <w:proofErr w:type="spellStart"/>
      <w:r>
        <w:rPr>
          <w:rFonts w:eastAsia="TimesNewRomanPSMT" w:cs="TimesNewRomanPSMT"/>
        </w:rPr>
        <w:t>poly</w:t>
      </w:r>
      <w:proofErr w:type="spellEnd"/>
      <w:r>
        <w:rPr>
          <w:rFonts w:eastAsia="TimesNewRomanPSMT" w:cs="TimesNewRomanPSMT"/>
        </w:rPr>
        <w:t xml:space="preserve">(ADP-ribóza)polymerázy (PARP), </w:t>
      </w:r>
      <w:r>
        <w:rPr>
          <w:rFonts w:eastAsia="TimesNewRomanPSMT" w:cs="TimesNewRomanPSMT"/>
          <w:b/>
        </w:rPr>
        <w:t xml:space="preserve">a </w:t>
      </w:r>
      <w:proofErr w:type="spellStart"/>
      <w:r>
        <w:rPr>
          <w:rFonts w:eastAsia="TimesNewRomanPSMT" w:cs="TimesNewRomanPSMT"/>
          <w:b/>
        </w:rPr>
        <w:t>abirateron</w:t>
      </w:r>
      <w:proofErr w:type="spellEnd"/>
      <w:r>
        <w:rPr>
          <w:rFonts w:eastAsia="TimesNewRomanPSMT" w:cs="TimesNewRomanPSMT"/>
          <w:b/>
        </w:rPr>
        <w:t>-acetátu</w:t>
      </w:r>
      <w:r>
        <w:rPr>
          <w:rFonts w:eastAsia="TimesNewRomanPSMT" w:cs="TimesNewRomanPSMT"/>
        </w:rPr>
        <w:t xml:space="preserve"> (který je </w:t>
      </w:r>
      <w:proofErr w:type="spellStart"/>
      <w:r>
        <w:rPr>
          <w:rFonts w:eastAsia="TimesNewRomanPSMT" w:cs="TimesNewRomanPSMT"/>
        </w:rPr>
        <w:t>proléčivem</w:t>
      </w:r>
      <w:proofErr w:type="spellEnd"/>
      <w:r>
        <w:rPr>
          <w:rFonts w:eastAsia="TimesNewRomanPSMT" w:cs="TimesNewRomanPSMT"/>
        </w:rPr>
        <w:t xml:space="preserve"> </w:t>
      </w:r>
      <w:proofErr w:type="spellStart"/>
      <w:r>
        <w:rPr>
          <w:rFonts w:eastAsia="TimesNewRomanPSMT" w:cs="TimesNewRomanPSMT"/>
        </w:rPr>
        <w:t>abirateronu</w:t>
      </w:r>
      <w:proofErr w:type="spellEnd"/>
      <w:r>
        <w:rPr>
          <w:rFonts w:eastAsia="TimesNewRomanPSMT" w:cs="TimesNewRomanPSMT"/>
        </w:rPr>
        <w:t xml:space="preserve">), což je inhibitor CYP17. </w:t>
      </w:r>
      <w:proofErr w:type="spellStart"/>
      <w:r>
        <w:rPr>
          <w:rFonts w:eastAsia="TimesNewRomanPSMT" w:cs="TimesNewRomanPSMT"/>
          <w:u w:val="single"/>
        </w:rPr>
        <w:t>Niraparib</w:t>
      </w:r>
      <w:proofErr w:type="spellEnd"/>
      <w:r>
        <w:rPr>
          <w:rFonts w:eastAsia="TimesNewRomanPSMT" w:cs="TimesNewRomanPSMT"/>
          <w:u w:val="single"/>
        </w:rPr>
        <w:t xml:space="preserve"> je inhibitorem enzymů </w:t>
      </w:r>
      <w:proofErr w:type="spellStart"/>
      <w:r>
        <w:rPr>
          <w:rFonts w:eastAsia="TimesNewRomanPSMT" w:cs="TimesNewRomanPSMT"/>
          <w:u w:val="single"/>
        </w:rPr>
        <w:t>poly</w:t>
      </w:r>
      <w:proofErr w:type="spellEnd"/>
      <w:r>
        <w:rPr>
          <w:rFonts w:eastAsia="TimesNewRomanPSMT" w:cs="TimesNewRomanPSMT"/>
          <w:u w:val="single"/>
        </w:rPr>
        <w:t>(ADP-ribóza)polymeráza (PARP), PARP-1 a PARP-2,</w:t>
      </w:r>
      <w:r>
        <w:rPr>
          <w:rFonts w:eastAsia="TimesNewRomanPSMT" w:cs="TimesNewRomanPSMT"/>
        </w:rPr>
        <w:t xml:space="preserve"> které hrají roli v opravě DNA (viz podrobněji pozn. 26) - studie in vitro prokázaly, že </w:t>
      </w:r>
      <w:proofErr w:type="spellStart"/>
      <w:r>
        <w:rPr>
          <w:rFonts w:eastAsia="TimesNewRomanPSMT" w:cs="TimesNewRomanPSMT"/>
        </w:rPr>
        <w:t>niraparibem</w:t>
      </w:r>
      <w:proofErr w:type="spellEnd"/>
      <w:r>
        <w:rPr>
          <w:rFonts w:eastAsia="TimesNewRomanPSMT" w:cs="TimesNewRomanPSMT"/>
        </w:rPr>
        <w:t xml:space="preserve"> indukovaná cytotoxicita může zahrnovat inhibici enzymatické aktivity PARP a zvýšenou tvorbu komplexů PARP-DNA, což vede k poškození DNA, </w:t>
      </w:r>
      <w:proofErr w:type="spellStart"/>
      <w:r>
        <w:rPr>
          <w:rFonts w:eastAsia="TimesNewRomanPSMT" w:cs="TimesNewRomanPSMT"/>
        </w:rPr>
        <w:t>apoptóze</w:t>
      </w:r>
      <w:proofErr w:type="spellEnd"/>
      <w:r>
        <w:rPr>
          <w:rFonts w:eastAsia="TimesNewRomanPSMT" w:cs="TimesNewRomanPSMT"/>
        </w:rPr>
        <w:t xml:space="preserve"> a buněčné smrti. </w:t>
      </w:r>
      <w:proofErr w:type="spellStart"/>
      <w:r>
        <w:rPr>
          <w:rFonts w:eastAsia="TimesNewRomanPSMT" w:cs="TimesNewRomanPSMT"/>
          <w:u w:val="single"/>
        </w:rPr>
        <w:t>Abirateron</w:t>
      </w:r>
      <w:proofErr w:type="spellEnd"/>
      <w:r>
        <w:rPr>
          <w:rFonts w:eastAsia="TimesNewRomanPSMT" w:cs="TimesNewRomanPSMT"/>
          <w:u w:val="single"/>
        </w:rPr>
        <w:t xml:space="preserve">-acetát se in </w:t>
      </w:r>
      <w:proofErr w:type="spellStart"/>
      <w:r>
        <w:rPr>
          <w:rFonts w:eastAsia="TimesNewRomanPSMT" w:cs="TimesNewRomanPSMT"/>
          <w:u w:val="single"/>
        </w:rPr>
        <w:t>vivo</w:t>
      </w:r>
      <w:proofErr w:type="spellEnd"/>
      <w:r>
        <w:rPr>
          <w:rFonts w:eastAsia="TimesNewRomanPSMT" w:cs="TimesNewRomanPSMT"/>
          <w:u w:val="single"/>
        </w:rPr>
        <w:t xml:space="preserve"> přeměňuje na </w:t>
      </w:r>
      <w:proofErr w:type="spellStart"/>
      <w:r>
        <w:rPr>
          <w:rFonts w:eastAsia="TimesNewRomanPSMT" w:cs="TimesNewRomanPSMT"/>
          <w:u w:val="single"/>
        </w:rPr>
        <w:t>abirateron</w:t>
      </w:r>
      <w:proofErr w:type="spellEnd"/>
      <w:r>
        <w:rPr>
          <w:rFonts w:eastAsia="TimesNewRomanPSMT" w:cs="TimesNewRomanPSMT"/>
          <w:u w:val="single"/>
        </w:rPr>
        <w:t>, což je inhibitor syntézy androgenů (viz také níže pozn. 16 a Přílohu č. 2)</w:t>
      </w:r>
      <w:r>
        <w:rPr>
          <w:rFonts w:eastAsia="TimesNewRomanPSMT" w:cs="TimesNewRomanPSMT"/>
        </w:rPr>
        <w:t xml:space="preserve"> - konkrétně, </w:t>
      </w:r>
      <w:proofErr w:type="spellStart"/>
      <w:r>
        <w:rPr>
          <w:rFonts w:eastAsia="TimesNewRomanPSMT" w:cs="TimesNewRomanPSMT"/>
        </w:rPr>
        <w:t>abirateron</w:t>
      </w:r>
      <w:proofErr w:type="spellEnd"/>
      <w:r>
        <w:rPr>
          <w:rFonts w:eastAsia="TimesNewRomanPSMT" w:cs="TimesNewRomanPSMT"/>
        </w:rPr>
        <w:t xml:space="preserve"> selektivně inhibuje enzym </w:t>
      </w:r>
      <w:proofErr w:type="gramStart"/>
      <w:r>
        <w:rPr>
          <w:rFonts w:eastAsia="TimesNewRomanPSMT" w:cs="TimesNewRomanPSMT"/>
        </w:rPr>
        <w:t>17α-hydroxylázu/C17</w:t>
      </w:r>
      <w:proofErr w:type="gramEnd"/>
      <w:r>
        <w:rPr>
          <w:rFonts w:eastAsia="TimesNewRomanPSMT" w:cs="TimesNewRomanPSMT"/>
        </w:rPr>
        <w:t xml:space="preserve">,20-lyázu (CYP17). Tento enzym je exprimován v nádorových tkáních varlat, nadledvin a prostaty a je potřebný k biosyntéze androgenů v těchto nádorových tkáních. CYP17 katalyzuje konverzi </w:t>
      </w:r>
      <w:proofErr w:type="spellStart"/>
      <w:r>
        <w:rPr>
          <w:rFonts w:eastAsia="TimesNewRomanPSMT" w:cs="TimesNewRomanPSMT"/>
        </w:rPr>
        <w:t>pregnenolonu</w:t>
      </w:r>
      <w:proofErr w:type="spellEnd"/>
      <w:r>
        <w:rPr>
          <w:rFonts w:eastAsia="TimesNewRomanPSMT" w:cs="TimesNewRomanPSMT"/>
        </w:rPr>
        <w:t xml:space="preserve"> a progesteronu na prekurzory testosteronu, DHEA, respektive </w:t>
      </w:r>
      <w:proofErr w:type="spellStart"/>
      <w:r>
        <w:rPr>
          <w:rFonts w:eastAsia="TimesNewRomanPSMT" w:cs="TimesNewRomanPSMT"/>
        </w:rPr>
        <w:t>androstendionu</w:t>
      </w:r>
      <w:proofErr w:type="spellEnd"/>
      <w:r>
        <w:rPr>
          <w:rFonts w:eastAsia="TimesNewRomanPSMT" w:cs="TimesNewRomanPSMT"/>
        </w:rPr>
        <w:t xml:space="preserve">, a to 17α-hydroxylací a štěpením vazby C17,20. Inhibice CYP17 rovněž vede ke zvýšené tvorbě </w:t>
      </w:r>
      <w:proofErr w:type="spellStart"/>
      <w:r>
        <w:rPr>
          <w:rFonts w:eastAsia="TimesNewRomanPSMT" w:cs="TimesNewRomanPSMT"/>
        </w:rPr>
        <w:t>mineralokortikoidů</w:t>
      </w:r>
      <w:proofErr w:type="spellEnd"/>
      <w:r>
        <w:rPr>
          <w:rFonts w:eastAsia="TimesNewRomanPSMT" w:cs="TimesNewRomanPSMT"/>
        </w:rPr>
        <w:t xml:space="preserve"> nadledvinami (viz Přílohu č. 2).</w:t>
      </w:r>
    </w:p>
    <w:p w:rsidR="000A048D" w:rsidRDefault="000A048D">
      <w:pPr>
        <w:spacing w:after="0" w:line="240" w:lineRule="auto"/>
        <w:jc w:val="both"/>
        <w:rPr>
          <w:rFonts w:cstheme="minorHAnsi"/>
        </w:rPr>
      </w:pPr>
    </w:p>
    <w:p w:rsidR="000A048D" w:rsidRDefault="00CD2B91">
      <w:pPr>
        <w:spacing w:after="0"/>
        <w:jc w:val="both"/>
        <w:rPr>
          <w:rFonts w:cstheme="minorHAnsi"/>
        </w:rPr>
      </w:pPr>
      <w:r>
        <w:rPr>
          <w:rFonts w:cstheme="minorHAnsi"/>
          <w:b/>
          <w:u w:val="single"/>
        </w:rPr>
        <w:t>Držitel registrace</w:t>
      </w:r>
      <w:r>
        <w:rPr>
          <w:rFonts w:cstheme="minorHAnsi"/>
          <w:b/>
          <w:u w:val="single"/>
          <w:vertAlign w:val="superscript"/>
        </w:rPr>
        <w:t>2</w:t>
      </w:r>
      <w:r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Janssen-Cilag</w:t>
      </w:r>
      <w:proofErr w:type="spellEnd"/>
    </w:p>
    <w:p w:rsidR="000A048D" w:rsidRDefault="000A048D">
      <w:pPr>
        <w:spacing w:after="0"/>
        <w:jc w:val="both"/>
        <w:rPr>
          <w:rFonts w:cstheme="minorHAnsi"/>
          <w:sz w:val="16"/>
          <w:szCs w:val="16"/>
        </w:rPr>
      </w:pPr>
    </w:p>
    <w:p w:rsidR="00906BE6" w:rsidRPr="005C1148" w:rsidRDefault="00906BE6">
      <w:pPr>
        <w:spacing w:after="0"/>
        <w:jc w:val="both"/>
        <w:rPr>
          <w:rFonts w:cstheme="minorHAnsi"/>
          <w:sz w:val="16"/>
          <w:szCs w:val="16"/>
        </w:rPr>
      </w:pPr>
    </w:p>
    <w:p w:rsidR="000A048D" w:rsidRDefault="00CD2B91">
      <w:pPr>
        <w:spacing w:after="0"/>
        <w:jc w:val="both"/>
        <w:rPr>
          <w:rFonts w:cstheme="minorHAnsi"/>
        </w:rPr>
      </w:pPr>
      <w:r>
        <w:rPr>
          <w:rFonts w:cstheme="minorHAnsi"/>
          <w:b/>
          <w:u w:val="single"/>
        </w:rPr>
        <w:t>Indikace dle SPC</w:t>
      </w:r>
      <w:r>
        <w:rPr>
          <w:rFonts w:cstheme="minorHAnsi"/>
          <w:b/>
          <w:u w:val="single"/>
          <w:vertAlign w:val="superscript"/>
        </w:rPr>
        <w:t>2</w:t>
      </w:r>
      <w:r>
        <w:rPr>
          <w:rFonts w:cstheme="minorHAnsi"/>
          <w:b/>
          <w:u w:val="single"/>
        </w:rPr>
        <w:t>:</w:t>
      </w:r>
    </w:p>
    <w:p w:rsidR="000A048D" w:rsidRDefault="00CD2B9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„</w:t>
      </w:r>
      <w:r>
        <w:rPr>
          <w:rFonts w:cstheme="minorHAnsi"/>
          <w:i/>
        </w:rPr>
        <w:t xml:space="preserve">spolu s </w:t>
      </w:r>
      <w:proofErr w:type="spellStart"/>
      <w:r>
        <w:rPr>
          <w:rFonts w:cstheme="minorHAnsi"/>
          <w:i/>
        </w:rPr>
        <w:t>prednisonem</w:t>
      </w:r>
      <w:proofErr w:type="spellEnd"/>
      <w:r>
        <w:rPr>
          <w:rFonts w:cstheme="minorHAnsi"/>
          <w:i/>
        </w:rPr>
        <w:t xml:space="preserve"> nebo </w:t>
      </w:r>
      <w:proofErr w:type="spellStart"/>
      <w:r>
        <w:rPr>
          <w:rFonts w:cstheme="minorHAnsi"/>
          <w:i/>
        </w:rPr>
        <w:t>prednisolonem</w:t>
      </w:r>
      <w:proofErr w:type="spellEnd"/>
      <w:r>
        <w:rPr>
          <w:rFonts w:cstheme="minorHAnsi"/>
        </w:rPr>
        <w:t xml:space="preserve"> (pozn. autora této FE analýzy: viz podrobněji níže pozn. 6)</w:t>
      </w:r>
      <w:r>
        <w:rPr>
          <w:rFonts w:cstheme="minorHAnsi"/>
          <w:i/>
        </w:rPr>
        <w:t xml:space="preserve"> k léčbě dospělých pacientů s metastazujícím, </w:t>
      </w:r>
      <w:proofErr w:type="spellStart"/>
      <w:r>
        <w:rPr>
          <w:rFonts w:cstheme="minorHAnsi"/>
          <w:i/>
        </w:rPr>
        <w:t>kastračně</w:t>
      </w:r>
      <w:proofErr w:type="spellEnd"/>
      <w:r>
        <w:rPr>
          <w:rFonts w:cstheme="minorHAnsi"/>
          <w:i/>
        </w:rPr>
        <w:t xml:space="preserve"> rezistentním karcinomem prostaty (</w:t>
      </w:r>
      <w:proofErr w:type="spellStart"/>
      <w:r>
        <w:rPr>
          <w:rFonts w:cstheme="minorHAnsi"/>
          <w:i/>
        </w:rPr>
        <w:t>mCRPC</w:t>
      </w:r>
      <w:proofErr w:type="spellEnd"/>
      <w:r>
        <w:rPr>
          <w:rFonts w:cstheme="minorHAnsi"/>
          <w:i/>
        </w:rPr>
        <w:t xml:space="preserve">, </w:t>
      </w:r>
      <w:proofErr w:type="spellStart"/>
      <w:r>
        <w:rPr>
          <w:rFonts w:cstheme="minorHAnsi"/>
          <w:i/>
        </w:rPr>
        <w:t>metastatic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castration-resistant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prostate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cancer</w:t>
      </w:r>
      <w:proofErr w:type="spellEnd"/>
      <w:r>
        <w:rPr>
          <w:rFonts w:cstheme="minorHAnsi"/>
          <w:i/>
        </w:rPr>
        <w:t xml:space="preserve"> – </w:t>
      </w:r>
      <w:r>
        <w:rPr>
          <w:rFonts w:cstheme="minorHAnsi"/>
        </w:rPr>
        <w:t>pozn. autora této FE analýzy: viz podrobněji níže odstavec „Stručná charakteristika onemocnění“ a Přílohu č. 3</w:t>
      </w:r>
      <w:r>
        <w:rPr>
          <w:rFonts w:cstheme="minorHAnsi"/>
          <w:i/>
        </w:rPr>
        <w:t xml:space="preserve">) a mutacemi genu BRCA 1/2 (zárodečné a/nebo somatické - </w:t>
      </w:r>
      <w:r>
        <w:rPr>
          <w:rFonts w:cstheme="minorHAnsi"/>
        </w:rPr>
        <w:t>pozn. autora této FE analýzy: viz podrobněji níže pozn. 12</w:t>
      </w:r>
      <w:r>
        <w:rPr>
          <w:rFonts w:cstheme="minorHAnsi"/>
          <w:i/>
        </w:rPr>
        <w:t xml:space="preserve">), u kterých není klinicky indikována chemoterapie </w:t>
      </w:r>
      <w:r>
        <w:rPr>
          <w:rFonts w:cstheme="minorHAnsi"/>
        </w:rPr>
        <w:t xml:space="preserve">(pozn. autora této FE analýzy: viz podrobněji níže pozn. 5)“. </w:t>
      </w:r>
    </w:p>
    <w:p w:rsidR="000A048D" w:rsidRPr="005C1148" w:rsidRDefault="000A048D">
      <w:pPr>
        <w:spacing w:after="0"/>
        <w:jc w:val="both"/>
        <w:rPr>
          <w:rFonts w:cstheme="minorHAnsi"/>
          <w:sz w:val="16"/>
          <w:szCs w:val="16"/>
        </w:rPr>
      </w:pPr>
    </w:p>
    <w:p w:rsidR="000A048D" w:rsidRPr="0056441C" w:rsidRDefault="000A048D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</w:p>
    <w:p w:rsidR="000A048D" w:rsidRDefault="00CD2B91">
      <w:pPr>
        <w:spacing w:after="0"/>
        <w:jc w:val="both"/>
        <w:rPr>
          <w:rFonts w:cstheme="minorHAnsi"/>
        </w:rPr>
      </w:pPr>
      <w:r>
        <w:rPr>
          <w:rFonts w:cstheme="minorHAnsi"/>
          <w:b/>
          <w:u w:val="single"/>
        </w:rPr>
        <w:t>Stav LP v ČR</w:t>
      </w:r>
      <w:r>
        <w:rPr>
          <w:rFonts w:cstheme="minorHAnsi"/>
          <w:b/>
          <w:u w:val="single"/>
          <w:vertAlign w:val="superscript"/>
        </w:rPr>
        <w:t xml:space="preserve"> </w:t>
      </w:r>
      <w:r w:rsidR="0090490E">
        <w:rPr>
          <w:rFonts w:cstheme="minorHAnsi"/>
          <w:b/>
          <w:u w:val="single"/>
        </w:rPr>
        <w:t>k datu 4. 6</w:t>
      </w:r>
      <w:r>
        <w:rPr>
          <w:rFonts w:cstheme="minorHAnsi"/>
          <w:b/>
          <w:u w:val="single"/>
        </w:rPr>
        <w:t>. 2024</w:t>
      </w:r>
      <w:r>
        <w:rPr>
          <w:rFonts w:cstheme="minorHAnsi"/>
          <w:b/>
        </w:rPr>
        <w:t>:</w:t>
      </w:r>
      <w:r>
        <w:rPr>
          <w:rFonts w:cstheme="minorHAnsi"/>
        </w:rPr>
        <w:t xml:space="preserve">  </w:t>
      </w:r>
    </w:p>
    <w:p w:rsidR="00F333B1" w:rsidRDefault="00CD2B91">
      <w:pPr>
        <w:spacing w:after="0"/>
        <w:jc w:val="both"/>
        <w:rPr>
          <w:sz w:val="21"/>
          <w:szCs w:val="21"/>
        </w:rPr>
      </w:pPr>
      <w:r w:rsidRPr="00AF7F5C">
        <w:rPr>
          <w:rFonts w:cstheme="minorHAnsi"/>
          <w:b/>
          <w:sz w:val="21"/>
          <w:szCs w:val="21"/>
        </w:rPr>
        <w:t>LP AKEEGA byl registrován</w:t>
      </w:r>
      <w:r w:rsidRPr="00AF7F5C">
        <w:rPr>
          <w:rFonts w:cstheme="minorHAnsi"/>
          <w:b/>
          <w:sz w:val="21"/>
          <w:szCs w:val="21"/>
          <w:vertAlign w:val="superscript"/>
        </w:rPr>
        <w:t xml:space="preserve">1 </w:t>
      </w:r>
      <w:r w:rsidRPr="00AF7F5C">
        <w:rPr>
          <w:rFonts w:cstheme="minorHAnsi"/>
          <w:sz w:val="21"/>
          <w:szCs w:val="21"/>
        </w:rPr>
        <w:t xml:space="preserve">(centralizovaným postupem EMA pro EU) dne 19. 4. 2023. </w:t>
      </w:r>
      <w:r w:rsidR="0090490E" w:rsidRPr="00AF7F5C">
        <w:rPr>
          <w:rFonts w:cstheme="minorHAnsi"/>
          <w:b/>
          <w:sz w:val="21"/>
          <w:szCs w:val="21"/>
          <w:u w:val="single"/>
        </w:rPr>
        <w:t>K datu 4. 6</w:t>
      </w:r>
      <w:r w:rsidRPr="00AF7F5C">
        <w:rPr>
          <w:rFonts w:cstheme="minorHAnsi"/>
          <w:b/>
          <w:sz w:val="21"/>
          <w:szCs w:val="21"/>
          <w:u w:val="single"/>
        </w:rPr>
        <w:t xml:space="preserve">. 2024 nemá LP dosud </w:t>
      </w:r>
      <w:proofErr w:type="spellStart"/>
      <w:r w:rsidR="00F333B1">
        <w:rPr>
          <w:rFonts w:cstheme="minorHAnsi"/>
          <w:b/>
          <w:sz w:val="21"/>
          <w:szCs w:val="21"/>
          <w:u w:val="single"/>
        </w:rPr>
        <w:t>SUKLem</w:t>
      </w:r>
      <w:proofErr w:type="spellEnd"/>
      <w:r w:rsidR="00F333B1">
        <w:rPr>
          <w:rFonts w:cstheme="minorHAnsi"/>
          <w:b/>
          <w:sz w:val="21"/>
          <w:szCs w:val="21"/>
          <w:u w:val="single"/>
        </w:rPr>
        <w:t xml:space="preserve"> </w:t>
      </w:r>
      <w:r w:rsidRPr="00AF7F5C">
        <w:rPr>
          <w:rFonts w:cstheme="minorHAnsi"/>
          <w:b/>
          <w:sz w:val="21"/>
          <w:szCs w:val="21"/>
          <w:u w:val="single"/>
        </w:rPr>
        <w:t>stanovenou úhradu</w:t>
      </w:r>
      <w:r w:rsidRPr="00AF7F5C">
        <w:rPr>
          <w:rFonts w:cstheme="minorHAnsi"/>
          <w:b/>
          <w:sz w:val="21"/>
          <w:szCs w:val="21"/>
        </w:rPr>
        <w:t xml:space="preserve"> –</w:t>
      </w:r>
      <w:r w:rsidRPr="00AF7F5C">
        <w:rPr>
          <w:rFonts w:cstheme="minorHAnsi"/>
          <w:sz w:val="21"/>
          <w:szCs w:val="21"/>
        </w:rPr>
        <w:t xml:space="preserve"> SŘ o úhradě tohoto LP nebylo k tomuto datu ani zahájeno</w:t>
      </w:r>
      <w:r w:rsidRPr="00AF7F5C">
        <w:rPr>
          <w:rFonts w:cstheme="minorHAnsi"/>
          <w:sz w:val="21"/>
          <w:szCs w:val="21"/>
          <w:vertAlign w:val="superscript"/>
        </w:rPr>
        <w:t>3</w:t>
      </w:r>
      <w:r w:rsidRPr="00AF7F5C">
        <w:rPr>
          <w:rFonts w:cstheme="minorHAnsi"/>
          <w:b/>
          <w:sz w:val="21"/>
          <w:szCs w:val="21"/>
        </w:rPr>
        <w:t>.</w:t>
      </w:r>
      <w:r w:rsidR="00AF7F5C" w:rsidRPr="00AF7F5C">
        <w:rPr>
          <w:rFonts w:cstheme="minorHAnsi"/>
          <w:b/>
          <w:sz w:val="21"/>
          <w:szCs w:val="21"/>
        </w:rPr>
        <w:t xml:space="preserve"> Pro podrobnější charakteristiky pac</w:t>
      </w:r>
      <w:r w:rsidR="00F333B1">
        <w:rPr>
          <w:rFonts w:cstheme="minorHAnsi"/>
          <w:b/>
          <w:sz w:val="21"/>
          <w:szCs w:val="21"/>
        </w:rPr>
        <w:t>.</w:t>
      </w:r>
      <w:r w:rsidR="00AF7F5C" w:rsidRPr="00AF7F5C">
        <w:rPr>
          <w:rFonts w:cstheme="minorHAnsi"/>
          <w:b/>
          <w:sz w:val="21"/>
          <w:szCs w:val="21"/>
        </w:rPr>
        <w:t xml:space="preserve"> </w:t>
      </w:r>
      <w:proofErr w:type="gramStart"/>
      <w:r w:rsidR="00AF7F5C" w:rsidRPr="00AF7F5C">
        <w:rPr>
          <w:rFonts w:cstheme="minorHAnsi"/>
          <w:b/>
          <w:sz w:val="21"/>
          <w:szCs w:val="21"/>
        </w:rPr>
        <w:t>zařazených</w:t>
      </w:r>
      <w:proofErr w:type="gramEnd"/>
      <w:r w:rsidR="00AF7F5C" w:rsidRPr="00AF7F5C">
        <w:rPr>
          <w:rFonts w:cstheme="minorHAnsi"/>
          <w:b/>
          <w:sz w:val="21"/>
          <w:szCs w:val="21"/>
        </w:rPr>
        <w:t xml:space="preserve"> do studie s LP AKEEGA</w:t>
      </w:r>
      <w:r w:rsidR="00300208">
        <w:rPr>
          <w:rFonts w:cstheme="minorHAnsi"/>
          <w:b/>
          <w:sz w:val="21"/>
          <w:szCs w:val="21"/>
        </w:rPr>
        <w:t xml:space="preserve"> (zejména hodnotu BPI-SF)</w:t>
      </w:r>
      <w:r w:rsidR="00AF7F5C" w:rsidRPr="00AF7F5C">
        <w:rPr>
          <w:rFonts w:cstheme="minorHAnsi"/>
          <w:b/>
          <w:sz w:val="21"/>
          <w:szCs w:val="21"/>
        </w:rPr>
        <w:t xml:space="preserve"> viz Přílohu č. 17!</w:t>
      </w:r>
      <w:r w:rsidRPr="00AF7F5C">
        <w:rPr>
          <w:rFonts w:cstheme="minorHAnsi"/>
          <w:b/>
          <w:sz w:val="21"/>
          <w:szCs w:val="21"/>
        </w:rPr>
        <w:t xml:space="preserve"> </w:t>
      </w:r>
      <w:r w:rsidRPr="00AF7F5C">
        <w:rPr>
          <w:b/>
          <w:sz w:val="21"/>
          <w:szCs w:val="21"/>
          <w:u w:val="single"/>
        </w:rPr>
        <w:t>Tzn. aktuálně by byla u LP požadována mimořádná úhrada ze zdrav</w:t>
      </w:r>
      <w:r w:rsidR="00F333B1">
        <w:rPr>
          <w:b/>
          <w:sz w:val="21"/>
          <w:szCs w:val="21"/>
          <w:u w:val="single"/>
        </w:rPr>
        <w:t>.</w:t>
      </w:r>
      <w:r w:rsidRPr="00AF7F5C">
        <w:rPr>
          <w:b/>
          <w:sz w:val="21"/>
          <w:szCs w:val="21"/>
          <w:u w:val="single"/>
        </w:rPr>
        <w:t xml:space="preserve"> </w:t>
      </w:r>
      <w:proofErr w:type="gramStart"/>
      <w:r w:rsidRPr="00AF7F5C">
        <w:rPr>
          <w:b/>
          <w:sz w:val="21"/>
          <w:szCs w:val="21"/>
          <w:u w:val="single"/>
        </w:rPr>
        <w:t>pojištění</w:t>
      </w:r>
      <w:proofErr w:type="gramEnd"/>
      <w:r w:rsidRPr="00AF7F5C">
        <w:rPr>
          <w:b/>
          <w:sz w:val="21"/>
          <w:szCs w:val="21"/>
          <w:u w:val="single"/>
        </w:rPr>
        <w:t xml:space="preserve"> </w:t>
      </w:r>
      <w:r w:rsidRPr="00AF7F5C">
        <w:rPr>
          <w:b/>
          <w:sz w:val="21"/>
          <w:szCs w:val="21"/>
        </w:rPr>
        <w:t>dle ustanovení § 16 zákona č. 48/1997 Sb. o veřejném zdravotním pojištění</w:t>
      </w:r>
      <w:r w:rsidRPr="00AF7F5C">
        <w:rPr>
          <w:sz w:val="21"/>
          <w:szCs w:val="21"/>
        </w:rPr>
        <w:t xml:space="preserve">. </w:t>
      </w:r>
      <w:r w:rsidRPr="00AF7F5C">
        <w:rPr>
          <w:sz w:val="21"/>
          <w:szCs w:val="21"/>
          <w:u w:val="single"/>
        </w:rPr>
        <w:t>Např. kanadská CADTh</w:t>
      </w:r>
      <w:r w:rsidR="00076B4C" w:rsidRPr="00AF7F5C">
        <w:rPr>
          <w:sz w:val="21"/>
          <w:szCs w:val="21"/>
          <w:u w:val="single"/>
          <w:vertAlign w:val="superscript"/>
        </w:rPr>
        <w:t>107</w:t>
      </w:r>
      <w:r w:rsidR="00076B4C" w:rsidRPr="00AF7F5C">
        <w:rPr>
          <w:sz w:val="21"/>
          <w:szCs w:val="21"/>
          <w:u w:val="single"/>
        </w:rPr>
        <w:t xml:space="preserve"> doporučila pro LP AKEEGA mj. další následující podmínky úhrady: (1) </w:t>
      </w:r>
      <w:r w:rsidR="00076B4C" w:rsidRPr="00AF7F5C">
        <w:rPr>
          <w:i/>
          <w:sz w:val="21"/>
          <w:szCs w:val="21"/>
          <w:u w:val="single"/>
        </w:rPr>
        <w:t>nepodstoupili předchozí léčbu ARPI</w:t>
      </w:r>
      <w:r w:rsidR="00076B4C" w:rsidRPr="00AF7F5C">
        <w:rPr>
          <w:sz w:val="21"/>
          <w:szCs w:val="21"/>
          <w:u w:val="single"/>
        </w:rPr>
        <w:t xml:space="preserve"> </w:t>
      </w:r>
      <w:r w:rsidR="00076B4C" w:rsidRPr="00AF7F5C">
        <w:rPr>
          <w:sz w:val="21"/>
          <w:szCs w:val="21"/>
        </w:rPr>
        <w:t>(viz níže pozn. 16)</w:t>
      </w:r>
      <w:r w:rsidR="00076B4C" w:rsidRPr="00AF7F5C">
        <w:rPr>
          <w:sz w:val="21"/>
          <w:szCs w:val="21"/>
          <w:u w:val="single"/>
        </w:rPr>
        <w:t xml:space="preserve"> </w:t>
      </w:r>
      <w:r w:rsidR="00076B4C" w:rsidRPr="00AF7F5C">
        <w:rPr>
          <w:i/>
          <w:sz w:val="21"/>
          <w:szCs w:val="21"/>
          <w:u w:val="single"/>
        </w:rPr>
        <w:t xml:space="preserve">pro </w:t>
      </w:r>
      <w:proofErr w:type="spellStart"/>
      <w:r w:rsidR="00076B4C" w:rsidRPr="00AF7F5C">
        <w:rPr>
          <w:i/>
          <w:sz w:val="21"/>
          <w:szCs w:val="21"/>
          <w:u w:val="single"/>
        </w:rPr>
        <w:t>mHSPC</w:t>
      </w:r>
      <w:proofErr w:type="spellEnd"/>
      <w:r w:rsidR="00076B4C" w:rsidRPr="00AF7F5C">
        <w:rPr>
          <w:sz w:val="21"/>
          <w:szCs w:val="21"/>
          <w:u w:val="single"/>
        </w:rPr>
        <w:t xml:space="preserve"> </w:t>
      </w:r>
      <w:r w:rsidR="00076B4C" w:rsidRPr="00AF7F5C">
        <w:rPr>
          <w:sz w:val="21"/>
          <w:szCs w:val="21"/>
        </w:rPr>
        <w:t>(viz níže pozn. 46)</w:t>
      </w:r>
      <w:r w:rsidR="00076B4C" w:rsidRPr="00AF7F5C">
        <w:rPr>
          <w:sz w:val="21"/>
          <w:szCs w:val="21"/>
          <w:u w:val="single"/>
        </w:rPr>
        <w:t xml:space="preserve"> </w:t>
      </w:r>
      <w:r w:rsidR="00076B4C" w:rsidRPr="00AF7F5C">
        <w:rPr>
          <w:i/>
          <w:sz w:val="21"/>
          <w:szCs w:val="21"/>
          <w:u w:val="single"/>
        </w:rPr>
        <w:t xml:space="preserve">nebo </w:t>
      </w:r>
      <w:proofErr w:type="spellStart"/>
      <w:r w:rsidR="00076B4C" w:rsidRPr="00AF7F5C">
        <w:rPr>
          <w:i/>
          <w:sz w:val="21"/>
          <w:szCs w:val="21"/>
          <w:u w:val="single"/>
        </w:rPr>
        <w:t>nmCRPC</w:t>
      </w:r>
      <w:proofErr w:type="spellEnd"/>
      <w:r w:rsidR="00076B4C" w:rsidRPr="00AF7F5C">
        <w:rPr>
          <w:sz w:val="21"/>
          <w:szCs w:val="21"/>
          <w:u w:val="single"/>
        </w:rPr>
        <w:t xml:space="preserve"> </w:t>
      </w:r>
      <w:r w:rsidR="00076B4C" w:rsidRPr="00AF7F5C">
        <w:rPr>
          <w:sz w:val="21"/>
          <w:szCs w:val="21"/>
        </w:rPr>
        <w:t>(viz níže pozn. 49)</w:t>
      </w:r>
      <w:r w:rsidR="00076B4C" w:rsidRPr="00AF7F5C">
        <w:rPr>
          <w:sz w:val="21"/>
          <w:szCs w:val="21"/>
          <w:u w:val="single"/>
        </w:rPr>
        <w:t>, (2)</w:t>
      </w:r>
      <w:r w:rsidR="008B63BD" w:rsidRPr="00AF7F5C">
        <w:rPr>
          <w:sz w:val="21"/>
          <w:szCs w:val="21"/>
          <w:u w:val="single"/>
        </w:rPr>
        <w:t xml:space="preserve"> </w:t>
      </w:r>
      <w:r w:rsidR="008B63BD" w:rsidRPr="00AF7F5C">
        <w:rPr>
          <w:i/>
          <w:sz w:val="21"/>
          <w:szCs w:val="21"/>
          <w:u w:val="single"/>
        </w:rPr>
        <w:t xml:space="preserve">nepodstoupili předchozí systém. </w:t>
      </w:r>
      <w:proofErr w:type="gramStart"/>
      <w:r w:rsidR="008B63BD" w:rsidRPr="00AF7F5C">
        <w:rPr>
          <w:i/>
          <w:sz w:val="21"/>
          <w:szCs w:val="21"/>
          <w:u w:val="single"/>
        </w:rPr>
        <w:t>léčbu</w:t>
      </w:r>
      <w:proofErr w:type="gramEnd"/>
      <w:r w:rsidR="008B63BD" w:rsidRPr="00AF7F5C">
        <w:rPr>
          <w:i/>
          <w:sz w:val="21"/>
          <w:szCs w:val="21"/>
          <w:u w:val="single"/>
        </w:rPr>
        <w:t xml:space="preserve"> </w:t>
      </w:r>
      <w:proofErr w:type="spellStart"/>
      <w:r w:rsidR="008B63BD" w:rsidRPr="00AF7F5C">
        <w:rPr>
          <w:i/>
          <w:sz w:val="21"/>
          <w:szCs w:val="21"/>
          <w:u w:val="single"/>
        </w:rPr>
        <w:t>mCRPC</w:t>
      </w:r>
      <w:proofErr w:type="spellEnd"/>
      <w:r w:rsidR="008B63BD" w:rsidRPr="00AF7F5C">
        <w:rPr>
          <w:i/>
          <w:sz w:val="21"/>
          <w:szCs w:val="21"/>
          <w:u w:val="single"/>
        </w:rPr>
        <w:t xml:space="preserve">, kromě &lt; 4 </w:t>
      </w:r>
      <w:proofErr w:type="spellStart"/>
      <w:r w:rsidR="008B63BD" w:rsidRPr="00AF7F5C">
        <w:rPr>
          <w:i/>
          <w:sz w:val="21"/>
          <w:szCs w:val="21"/>
          <w:u w:val="single"/>
        </w:rPr>
        <w:t>měs</w:t>
      </w:r>
      <w:proofErr w:type="spellEnd"/>
      <w:r w:rsidR="008B63BD" w:rsidRPr="00AF7F5C">
        <w:rPr>
          <w:i/>
          <w:sz w:val="21"/>
          <w:szCs w:val="21"/>
          <w:u w:val="single"/>
        </w:rPr>
        <w:t xml:space="preserve">. </w:t>
      </w:r>
      <w:proofErr w:type="spellStart"/>
      <w:r w:rsidR="008B63BD" w:rsidRPr="00AF7F5C">
        <w:rPr>
          <w:i/>
          <w:sz w:val="21"/>
          <w:szCs w:val="21"/>
          <w:u w:val="single"/>
        </w:rPr>
        <w:t>abirateron</w:t>
      </w:r>
      <w:r w:rsidR="00F333B1">
        <w:rPr>
          <w:i/>
          <w:sz w:val="21"/>
          <w:szCs w:val="21"/>
          <w:u w:val="single"/>
        </w:rPr>
        <w:t>u</w:t>
      </w:r>
      <w:proofErr w:type="spellEnd"/>
      <w:r w:rsidR="008B63BD" w:rsidRPr="00AF7F5C">
        <w:rPr>
          <w:i/>
          <w:sz w:val="21"/>
          <w:szCs w:val="21"/>
          <w:u w:val="single"/>
        </w:rPr>
        <w:t xml:space="preserve"> s </w:t>
      </w:r>
      <w:proofErr w:type="spellStart"/>
      <w:r w:rsidR="008B63BD" w:rsidRPr="00AF7F5C">
        <w:rPr>
          <w:i/>
          <w:sz w:val="21"/>
          <w:szCs w:val="21"/>
          <w:u w:val="single"/>
        </w:rPr>
        <w:t>prednisonem</w:t>
      </w:r>
      <w:proofErr w:type="spellEnd"/>
      <w:r w:rsidR="008B63BD" w:rsidRPr="00AF7F5C">
        <w:rPr>
          <w:sz w:val="21"/>
          <w:szCs w:val="21"/>
          <w:u w:val="single"/>
        </w:rPr>
        <w:t xml:space="preserve"> </w:t>
      </w:r>
      <w:r w:rsidR="008B63BD" w:rsidRPr="00AF7F5C">
        <w:rPr>
          <w:sz w:val="21"/>
          <w:szCs w:val="21"/>
        </w:rPr>
        <w:t>(viz níže pozn. 6)</w:t>
      </w:r>
      <w:r w:rsidR="008B63BD" w:rsidRPr="00AF7F5C">
        <w:rPr>
          <w:sz w:val="21"/>
          <w:szCs w:val="21"/>
          <w:u w:val="single"/>
        </w:rPr>
        <w:t xml:space="preserve"> </w:t>
      </w:r>
      <w:r w:rsidR="008B63BD" w:rsidRPr="00AF7F5C">
        <w:rPr>
          <w:i/>
          <w:sz w:val="21"/>
          <w:szCs w:val="21"/>
          <w:u w:val="single"/>
        </w:rPr>
        <w:t xml:space="preserve">pro </w:t>
      </w:r>
      <w:proofErr w:type="spellStart"/>
      <w:r w:rsidR="008B63BD" w:rsidRPr="00AF7F5C">
        <w:rPr>
          <w:i/>
          <w:sz w:val="21"/>
          <w:szCs w:val="21"/>
          <w:u w:val="single"/>
        </w:rPr>
        <w:t>mCRPC</w:t>
      </w:r>
      <w:proofErr w:type="spellEnd"/>
      <w:r w:rsidR="008B63BD" w:rsidRPr="00AF7F5C">
        <w:rPr>
          <w:sz w:val="21"/>
          <w:szCs w:val="21"/>
          <w:u w:val="single"/>
        </w:rPr>
        <w:t xml:space="preserve">, (3) </w:t>
      </w:r>
      <w:r w:rsidR="008B63BD" w:rsidRPr="00AF7F5C">
        <w:rPr>
          <w:i/>
          <w:sz w:val="21"/>
          <w:szCs w:val="21"/>
          <w:u w:val="single"/>
        </w:rPr>
        <w:t>pacienti s ECOG statusem 0-1</w:t>
      </w:r>
      <w:r w:rsidR="008B63BD" w:rsidRPr="00AF7F5C">
        <w:rPr>
          <w:sz w:val="21"/>
          <w:szCs w:val="21"/>
          <w:u w:val="single"/>
        </w:rPr>
        <w:t xml:space="preserve"> </w:t>
      </w:r>
      <w:r w:rsidR="008B63BD" w:rsidRPr="00AF7F5C">
        <w:rPr>
          <w:sz w:val="21"/>
          <w:szCs w:val="21"/>
        </w:rPr>
        <w:t>(viz Přílohu č. 10</w:t>
      </w:r>
      <w:r w:rsidR="008B63BD" w:rsidRPr="007215E0">
        <w:rPr>
          <w:sz w:val="21"/>
          <w:szCs w:val="21"/>
        </w:rPr>
        <w:t>).</w:t>
      </w:r>
      <w:r w:rsidR="00076B4C" w:rsidRPr="007215E0">
        <w:rPr>
          <w:sz w:val="21"/>
          <w:szCs w:val="21"/>
        </w:rPr>
        <w:t xml:space="preserve"> </w:t>
      </w:r>
      <w:r w:rsidR="007215E0" w:rsidRPr="007215E0">
        <w:rPr>
          <w:sz w:val="21"/>
          <w:szCs w:val="21"/>
        </w:rPr>
        <w:t xml:space="preserve">Kanadská </w:t>
      </w:r>
      <w:proofErr w:type="spellStart"/>
      <w:r w:rsidR="007215E0" w:rsidRPr="007215E0">
        <w:rPr>
          <w:sz w:val="21"/>
          <w:szCs w:val="21"/>
        </w:rPr>
        <w:t>CADTh</w:t>
      </w:r>
      <w:proofErr w:type="spellEnd"/>
      <w:r w:rsidR="007215E0" w:rsidRPr="007215E0">
        <w:rPr>
          <w:sz w:val="21"/>
          <w:szCs w:val="21"/>
        </w:rPr>
        <w:t xml:space="preserve"> mj</w:t>
      </w:r>
      <w:r w:rsidR="007215E0">
        <w:rPr>
          <w:sz w:val="21"/>
          <w:szCs w:val="21"/>
        </w:rPr>
        <w:t>. doporučuje snížení ceny LP AKEEGA o 61%, aby dosáhl stanovené hodnoty pro ICER považované za nákladové efektivní LP</w:t>
      </w:r>
      <w:r w:rsidR="007215E0" w:rsidRPr="007215E0">
        <w:rPr>
          <w:sz w:val="21"/>
          <w:szCs w:val="21"/>
          <w:vertAlign w:val="superscript"/>
        </w:rPr>
        <w:t>107</w:t>
      </w:r>
      <w:r w:rsidR="007215E0">
        <w:rPr>
          <w:sz w:val="21"/>
          <w:szCs w:val="21"/>
        </w:rPr>
        <w:t>.</w:t>
      </w:r>
      <w:r w:rsidR="007215E0" w:rsidRPr="00F333B1">
        <w:rPr>
          <w:sz w:val="21"/>
          <w:szCs w:val="21"/>
        </w:rPr>
        <w:t xml:space="preserve"> </w:t>
      </w:r>
      <w:r w:rsidR="00F333B1">
        <w:rPr>
          <w:sz w:val="21"/>
          <w:szCs w:val="21"/>
        </w:rPr>
        <w:t>Anglická NICE hodnocení LP AKEEGA k datu 4.</w:t>
      </w:r>
      <w:r w:rsidR="00FD4401">
        <w:rPr>
          <w:sz w:val="21"/>
          <w:szCs w:val="21"/>
        </w:rPr>
        <w:t xml:space="preserve"> </w:t>
      </w:r>
      <w:r w:rsidR="00F333B1">
        <w:rPr>
          <w:sz w:val="21"/>
          <w:szCs w:val="21"/>
        </w:rPr>
        <w:t>6.</w:t>
      </w:r>
      <w:r w:rsidR="00FD4401">
        <w:rPr>
          <w:sz w:val="21"/>
          <w:szCs w:val="21"/>
        </w:rPr>
        <w:t xml:space="preserve"> </w:t>
      </w:r>
      <w:r w:rsidR="00F333B1">
        <w:rPr>
          <w:sz w:val="21"/>
          <w:szCs w:val="21"/>
        </w:rPr>
        <w:t>2024 pozastavila</w:t>
      </w:r>
      <w:r w:rsidR="00F333B1" w:rsidRPr="00F333B1">
        <w:rPr>
          <w:sz w:val="21"/>
          <w:szCs w:val="21"/>
          <w:vertAlign w:val="superscript"/>
        </w:rPr>
        <w:t>108</w:t>
      </w:r>
      <w:r w:rsidR="00F333B1">
        <w:rPr>
          <w:sz w:val="21"/>
          <w:szCs w:val="21"/>
        </w:rPr>
        <w:t xml:space="preserve">. </w:t>
      </w:r>
    </w:p>
    <w:p w:rsidR="000A048D" w:rsidRPr="00AF7F5C" w:rsidRDefault="005C1148">
      <w:pPr>
        <w:spacing w:after="0"/>
        <w:jc w:val="both"/>
        <w:rPr>
          <w:rFonts w:cstheme="minorHAnsi"/>
          <w:b/>
          <w:sz w:val="21"/>
          <w:szCs w:val="21"/>
        </w:rPr>
      </w:pPr>
      <w:r w:rsidRPr="00AF7F5C">
        <w:rPr>
          <w:sz w:val="21"/>
          <w:szCs w:val="21"/>
        </w:rPr>
        <w:t xml:space="preserve">Pro přehled navrhovaných podmínek úhrady v ČR pro další (v ČR) dostupné </w:t>
      </w:r>
      <w:r w:rsidR="007215E0">
        <w:rPr>
          <w:sz w:val="21"/>
          <w:szCs w:val="21"/>
        </w:rPr>
        <w:t xml:space="preserve">LP s </w:t>
      </w:r>
      <w:proofErr w:type="spellStart"/>
      <w:r w:rsidRPr="00AF7F5C">
        <w:rPr>
          <w:sz w:val="21"/>
          <w:szCs w:val="21"/>
        </w:rPr>
        <w:t>PARPi</w:t>
      </w:r>
      <w:proofErr w:type="spellEnd"/>
      <w:r w:rsidRPr="00AF7F5C">
        <w:rPr>
          <w:sz w:val="21"/>
          <w:szCs w:val="21"/>
        </w:rPr>
        <w:t xml:space="preserve"> viz tabulku „</w:t>
      </w:r>
      <w:r w:rsidRPr="00AF7F5C">
        <w:rPr>
          <w:i/>
          <w:sz w:val="21"/>
          <w:szCs w:val="21"/>
        </w:rPr>
        <w:t xml:space="preserve">Přehled aktuálně dostupných </w:t>
      </w:r>
      <w:proofErr w:type="spellStart"/>
      <w:r w:rsidRPr="00AF7F5C">
        <w:rPr>
          <w:i/>
          <w:sz w:val="21"/>
          <w:szCs w:val="21"/>
        </w:rPr>
        <w:t>PARPi</w:t>
      </w:r>
      <w:proofErr w:type="spellEnd"/>
      <w:r w:rsidRPr="00AF7F5C">
        <w:rPr>
          <w:i/>
          <w:sz w:val="21"/>
          <w:szCs w:val="21"/>
        </w:rPr>
        <w:t xml:space="preserve"> …</w:t>
      </w:r>
      <w:r w:rsidRPr="00AF7F5C">
        <w:rPr>
          <w:sz w:val="21"/>
          <w:szCs w:val="21"/>
        </w:rPr>
        <w:t>“ uvedenou níže v odstavci „</w:t>
      </w:r>
      <w:r w:rsidRPr="00AF7F5C">
        <w:rPr>
          <w:i/>
          <w:sz w:val="21"/>
          <w:szCs w:val="21"/>
        </w:rPr>
        <w:t>Postavení léčiva v …</w:t>
      </w:r>
      <w:r w:rsidRPr="00AF7F5C">
        <w:rPr>
          <w:sz w:val="21"/>
          <w:szCs w:val="21"/>
        </w:rPr>
        <w:t>“.</w:t>
      </w:r>
    </w:p>
    <w:p w:rsidR="000A048D" w:rsidRPr="00EC1E20" w:rsidRDefault="00EC1E20">
      <w:pPr>
        <w:spacing w:after="0"/>
        <w:jc w:val="both"/>
        <w:rPr>
          <w:rFonts w:cstheme="minorHAnsi"/>
          <w:b/>
          <w:sz w:val="21"/>
          <w:szCs w:val="21"/>
        </w:rPr>
      </w:pPr>
      <w:r w:rsidRPr="00EC1E20">
        <w:rPr>
          <w:rFonts w:cstheme="minorHAnsi"/>
          <w:sz w:val="21"/>
          <w:szCs w:val="21"/>
          <w:u w:val="single"/>
        </w:rPr>
        <w:t>mírně klesá - je to dáno lepší a včasnější diagnostikou onemocnění</w:t>
      </w:r>
      <w:r>
        <w:rPr>
          <w:rFonts w:cstheme="minorHAnsi"/>
          <w:sz w:val="21"/>
          <w:szCs w:val="21"/>
        </w:rPr>
        <w:t xml:space="preserve"> (</w:t>
      </w:r>
      <w:r w:rsidRPr="00EC1E20">
        <w:rPr>
          <w:rFonts w:cstheme="minorHAnsi"/>
          <w:sz w:val="21"/>
          <w:szCs w:val="21"/>
        </w:rPr>
        <w:t>stoupá počet nádorů diagnostikovaných ve stádiu I a II (60 % až 70 % nádorů zachyceno v těchto stádiích), naopak klesá záchyt nádorů v pozdních stádiích III a IV</w:t>
      </w:r>
      <w:r>
        <w:rPr>
          <w:rFonts w:cstheme="minorHAnsi"/>
          <w:sz w:val="21"/>
          <w:szCs w:val="21"/>
        </w:rPr>
        <w:t>)</w:t>
      </w:r>
      <w:r w:rsidRPr="00EC1E20">
        <w:rPr>
          <w:rFonts w:cstheme="minorHAnsi"/>
          <w:sz w:val="21"/>
          <w:szCs w:val="21"/>
          <w:vertAlign w:val="superscript"/>
        </w:rPr>
        <w:t>102</w:t>
      </w:r>
      <w:r>
        <w:rPr>
          <w:rFonts w:cstheme="minorHAnsi"/>
          <w:sz w:val="21"/>
          <w:szCs w:val="21"/>
        </w:rPr>
        <w:t>.</w:t>
      </w:r>
      <w:r w:rsidR="00CD2B91" w:rsidRPr="00EC1E20">
        <w:rPr>
          <w:rFonts w:cstheme="minorHAnsi"/>
          <w:b/>
          <w:sz w:val="21"/>
          <w:szCs w:val="21"/>
        </w:rPr>
        <w:t xml:space="preserve"> </w:t>
      </w:r>
    </w:p>
    <w:p w:rsidR="000A048D" w:rsidRPr="00BD5C9F" w:rsidRDefault="000A048D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</w:p>
    <w:p w:rsidR="00906BE6" w:rsidRDefault="00906BE6">
      <w:pPr>
        <w:spacing w:after="0"/>
        <w:jc w:val="both"/>
        <w:rPr>
          <w:rFonts w:cstheme="minorHAnsi"/>
          <w:b/>
          <w:u w:val="single"/>
        </w:rPr>
      </w:pPr>
    </w:p>
    <w:p w:rsidR="00906BE6" w:rsidRDefault="00906BE6">
      <w:pPr>
        <w:spacing w:after="0"/>
        <w:jc w:val="both"/>
        <w:rPr>
          <w:rFonts w:cstheme="minorHAnsi"/>
          <w:b/>
          <w:u w:val="single"/>
        </w:rPr>
      </w:pPr>
    </w:p>
    <w:p w:rsidR="000A048D" w:rsidRDefault="00CD2B91">
      <w:pPr>
        <w:spacing w:after="0"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Postavení léčiva v klinické praxi a relevantní komparátory:</w:t>
      </w:r>
    </w:p>
    <w:p w:rsidR="000A048D" w:rsidRDefault="00CD2B91">
      <w:pPr>
        <w:spacing w:after="0"/>
        <w:jc w:val="both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highlight w:val="cyan"/>
          <w:shd w:val="clear" w:color="auto" w:fill="FFFFFF"/>
        </w:rPr>
        <w:t>Je potřeba zdůraznit, že léčba metastatického karcinomu prostaty není kurativní léčbou, ale jen paliativní (viz diagram výše) a vedlejší účinky související s touto léčbou mohou nepříznivě ovlivnit kvalitu života pacienta</w:t>
      </w:r>
      <w:r>
        <w:rPr>
          <w:rFonts w:cstheme="minorHAnsi"/>
          <w:b/>
          <w:highlight w:val="cyan"/>
          <w:shd w:val="clear" w:color="auto" w:fill="FFFFFF"/>
          <w:vertAlign w:val="superscript"/>
        </w:rPr>
        <w:t>45</w:t>
      </w:r>
      <w:r>
        <w:rPr>
          <w:rFonts w:cstheme="minorHAnsi"/>
          <w:b/>
          <w:shd w:val="clear" w:color="auto" w:fill="FFFFFF"/>
        </w:rPr>
        <w:t>.</w:t>
      </w:r>
    </w:p>
    <w:p w:rsidR="000A048D" w:rsidRDefault="00CD2B91">
      <w:pPr>
        <w:spacing w:after="0"/>
        <w:jc w:val="both"/>
        <w:rPr>
          <w:rFonts w:cstheme="minorHAnsi"/>
        </w:rPr>
      </w:pPr>
      <w:r>
        <w:rPr>
          <w:rFonts w:cstheme="minorHAnsi"/>
          <w:b/>
          <w:shd w:val="clear" w:color="auto" w:fill="FFFFFF"/>
        </w:rPr>
        <w:t>Obecně výběr úvodní systémové léčby CRPC závisí na mnoha faktorech, zejména na druhu předcházející systémové léčby, na místě a rozsahu postižení, na zdatnosti pacienta (viz Přílohu č. 10), na event. přítomnosti symptomů</w:t>
      </w:r>
      <w:r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b/>
          <w:shd w:val="clear" w:color="auto" w:fill="FFFFFF"/>
        </w:rPr>
        <w:t>(viz odstavec výše., pozn. 11 níže a Příloha č. 12 níže)</w:t>
      </w:r>
      <w:r>
        <w:rPr>
          <w:rFonts w:cstheme="minorHAnsi"/>
          <w:shd w:val="clear" w:color="auto" w:fill="FFFFFF"/>
          <w:vertAlign w:val="superscript"/>
        </w:rPr>
        <w:t>18</w:t>
      </w:r>
      <w:r>
        <w:rPr>
          <w:rFonts w:cstheme="minorHAnsi"/>
          <w:shd w:val="clear" w:color="auto" w:fill="FFFFFF"/>
        </w:rPr>
        <w:t xml:space="preserve">. U pacientů s karcinomem prostaty se doporučuje testování event. zárodečných genetických mutací (zejména: </w:t>
      </w:r>
      <w:r w:rsidRPr="00BD5C9F">
        <w:rPr>
          <w:rFonts w:cstheme="minorHAnsi"/>
          <w:i/>
          <w:shd w:val="clear" w:color="auto" w:fill="FFFFFF"/>
        </w:rPr>
        <w:t>MLH1, MSH2, MSH6, PMS2, BRCA1/2, ATM, PALB2</w:t>
      </w:r>
      <w:r>
        <w:rPr>
          <w:rFonts w:cstheme="minorHAnsi"/>
          <w:shd w:val="clear" w:color="auto" w:fill="FFFFFF"/>
        </w:rPr>
        <w:t xml:space="preserve"> a </w:t>
      </w:r>
      <w:r w:rsidRPr="00BD5C9F">
        <w:rPr>
          <w:rFonts w:cstheme="minorHAnsi"/>
          <w:i/>
          <w:shd w:val="clear" w:color="auto" w:fill="FFFFFF"/>
        </w:rPr>
        <w:t>CHEK2</w:t>
      </w:r>
      <w:r>
        <w:rPr>
          <w:rFonts w:cstheme="minorHAnsi"/>
          <w:shd w:val="clear" w:color="auto" w:fill="FFFFFF"/>
        </w:rPr>
        <w:t xml:space="preserve"> – tzn. geny spojené s opravou homologní rekombinace, „HRR“</w:t>
      </w:r>
      <w:r w:rsidR="00BD5C9F">
        <w:rPr>
          <w:rFonts w:cstheme="minorHAnsi"/>
          <w:shd w:val="clear" w:color="auto" w:fill="FFFFFF"/>
        </w:rPr>
        <w:t xml:space="preserve"> – viz níže pozn. 14</w:t>
      </w:r>
      <w:r>
        <w:rPr>
          <w:rFonts w:cstheme="minorHAnsi"/>
          <w:shd w:val="clear" w:color="auto" w:fill="FFFFFF"/>
        </w:rPr>
        <w:t xml:space="preserve">) – </w:t>
      </w:r>
      <w:r w:rsidRPr="00A47C36">
        <w:rPr>
          <w:rFonts w:cstheme="minorHAnsi"/>
          <w:b/>
          <w:shd w:val="clear" w:color="auto" w:fill="FFFFFF"/>
        </w:rPr>
        <w:t>asi 5-10 % pacientů má zárodečné mutace těchto HRR genů a mohou být vhodní pro léčbu PARP inhibitory</w:t>
      </w:r>
      <w:r w:rsidR="00BD5C9F" w:rsidRPr="00A47C36">
        <w:rPr>
          <w:rFonts w:cstheme="minorHAnsi"/>
          <w:b/>
          <w:shd w:val="clear" w:color="auto" w:fill="FFFFFF"/>
        </w:rPr>
        <w:t xml:space="preserve"> (viz níže pozn. 26)</w:t>
      </w:r>
      <w:r w:rsidRPr="00A47C36">
        <w:rPr>
          <w:rFonts w:cstheme="minorHAnsi"/>
          <w:b/>
          <w:shd w:val="clear" w:color="auto" w:fill="FFFFFF"/>
          <w:vertAlign w:val="superscript"/>
        </w:rPr>
        <w:t>18</w:t>
      </w:r>
      <w:r w:rsidR="00A47C36" w:rsidRPr="00A47C36">
        <w:rPr>
          <w:rFonts w:cstheme="minorHAnsi"/>
          <w:b/>
          <w:shd w:val="clear" w:color="auto" w:fill="FFFFFF"/>
          <w:vertAlign w:val="superscript"/>
        </w:rPr>
        <w:t xml:space="preserve"> </w:t>
      </w:r>
      <w:r w:rsidR="00A47C36" w:rsidRPr="00A47C36">
        <w:rPr>
          <w:rFonts w:cstheme="minorHAnsi"/>
          <w:b/>
          <w:shd w:val="clear" w:color="auto" w:fill="FFFFFF"/>
        </w:rPr>
        <w:t>- viz podrobněji níže pozn. 70.</w:t>
      </w:r>
      <w:r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u w:val="single"/>
          <w:shd w:val="clear" w:color="auto" w:fill="FFFFFF"/>
        </w:rPr>
        <w:t>Pro většinu pacientů s CRPC se doporučuje pokračovat v androgen deprivační léčbě (dále jen „ADT“ – viz níže pozn. 43) spolu s další systémovou léčbou</w:t>
      </w:r>
      <w:r>
        <w:rPr>
          <w:rFonts w:cstheme="minorHAnsi"/>
          <w:u w:val="single"/>
          <w:shd w:val="clear" w:color="auto" w:fill="FFFFFF"/>
          <w:vertAlign w:val="superscript"/>
        </w:rPr>
        <w:t>18</w:t>
      </w:r>
      <w:r>
        <w:rPr>
          <w:rFonts w:cstheme="minorHAnsi"/>
          <w:u w:val="single"/>
          <w:shd w:val="clear" w:color="auto" w:fill="FFFFFF"/>
        </w:rPr>
        <w:t xml:space="preserve"> – viz podrobněji Přílohu č. 4</w:t>
      </w:r>
      <w:r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</w:rPr>
        <w:t>Většina pacientů v 1. linii léčby CRPC má stále ještě dobrou kvalitu života s minimem symptomů nebo zcela bez projevů symptomů onemocnění (přibližně 80 % pacientů) - cílem léčby je tedy zachovat efektivitu moderní léčby v předchozích linií a současně udržet kvalitu života pacientů</w:t>
      </w:r>
      <w:r>
        <w:rPr>
          <w:rFonts w:cstheme="minorHAnsi"/>
          <w:vertAlign w:val="superscript"/>
        </w:rPr>
        <w:t>15</w:t>
      </w:r>
      <w:r>
        <w:rPr>
          <w:rFonts w:cstheme="minorHAnsi"/>
        </w:rPr>
        <w:t xml:space="preserve">. </w:t>
      </w:r>
      <w:r>
        <w:rPr>
          <w:rFonts w:cstheme="minorHAnsi"/>
          <w:b/>
          <w:u w:val="single"/>
        </w:rPr>
        <w:t xml:space="preserve">V poslední době bylo pro léčbu </w:t>
      </w:r>
      <w:proofErr w:type="spellStart"/>
      <w:r>
        <w:rPr>
          <w:rFonts w:cstheme="minorHAnsi"/>
          <w:b/>
          <w:u w:val="single"/>
        </w:rPr>
        <w:t>mCRPC</w:t>
      </w:r>
      <w:proofErr w:type="spellEnd"/>
      <w:r>
        <w:rPr>
          <w:rFonts w:cstheme="minorHAnsi"/>
          <w:b/>
          <w:u w:val="single"/>
        </w:rPr>
        <w:t xml:space="preserve"> registrováno několik nových léčiv, ale pořadí jejich „</w:t>
      </w:r>
      <w:proofErr w:type="spellStart"/>
      <w:r>
        <w:rPr>
          <w:rFonts w:cstheme="minorHAnsi"/>
          <w:b/>
          <w:u w:val="single"/>
        </w:rPr>
        <w:t>sekvenace</w:t>
      </w:r>
      <w:proofErr w:type="spellEnd"/>
      <w:r>
        <w:rPr>
          <w:rFonts w:cstheme="minorHAnsi"/>
          <w:b/>
          <w:u w:val="single"/>
        </w:rPr>
        <w:t>“ není úplně jasné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- většina kontrolních ramen studií totiž ne</w:t>
      </w:r>
      <w:r w:rsidR="000D57CE">
        <w:rPr>
          <w:rFonts w:cstheme="minorHAnsi"/>
        </w:rPr>
        <w:t>byla</w:t>
      </w:r>
      <w:r>
        <w:rPr>
          <w:rFonts w:cstheme="minorHAnsi"/>
        </w:rPr>
        <w:t xml:space="preserve"> tzv. současnou standardní terapií, většina zahrnutých pac</w:t>
      </w:r>
      <w:r w:rsidR="000D57CE">
        <w:rPr>
          <w:rFonts w:cstheme="minorHAnsi"/>
        </w:rPr>
        <w:t>ientů</w:t>
      </w:r>
      <w:r>
        <w:rPr>
          <w:rFonts w:cstheme="minorHAnsi"/>
        </w:rPr>
        <w:t xml:space="preserve"> neb</w:t>
      </w:r>
      <w:r w:rsidR="000D57CE">
        <w:rPr>
          <w:rFonts w:cstheme="minorHAnsi"/>
        </w:rPr>
        <w:t>yla</w:t>
      </w:r>
      <w:r>
        <w:rPr>
          <w:rFonts w:cstheme="minorHAnsi"/>
        </w:rPr>
        <w:t xml:space="preserve"> totiž léčena aktuálně doporučovanou kombinovanou léčbou pro </w:t>
      </w:r>
      <w:proofErr w:type="spellStart"/>
      <w:r>
        <w:rPr>
          <w:rFonts w:cstheme="minorHAnsi"/>
        </w:rPr>
        <w:t>mHSPC</w:t>
      </w:r>
      <w:proofErr w:type="spellEnd"/>
      <w:r>
        <w:rPr>
          <w:rFonts w:cstheme="minorHAnsi"/>
        </w:rPr>
        <w:t xml:space="preserve"> (viz výše odstavec: „</w:t>
      </w:r>
      <w:r w:rsidRPr="000D57CE">
        <w:rPr>
          <w:rFonts w:cstheme="minorHAnsi"/>
          <w:i/>
        </w:rPr>
        <w:t xml:space="preserve">Stručná charakteristika </w:t>
      </w:r>
      <w:r>
        <w:rPr>
          <w:rFonts w:cstheme="minorHAnsi"/>
        </w:rPr>
        <w:t xml:space="preserve">…“, níže pozn. 46 a Přílohu č. 7) s cílem pokusit se nabídnout co nejvíce možných terapií a </w:t>
      </w:r>
      <w:r>
        <w:rPr>
          <w:rFonts w:cstheme="minorHAnsi"/>
          <w:b/>
        </w:rPr>
        <w:t xml:space="preserve">rozhodnutí o léčbě </w:t>
      </w:r>
      <w:proofErr w:type="spellStart"/>
      <w:r>
        <w:rPr>
          <w:rFonts w:cstheme="minorHAnsi"/>
          <w:b/>
        </w:rPr>
        <w:t>mCRPC</w:t>
      </w:r>
      <w:proofErr w:type="spellEnd"/>
      <w:r>
        <w:rPr>
          <w:rFonts w:cstheme="minorHAnsi"/>
          <w:b/>
        </w:rPr>
        <w:t xml:space="preserve"> tak začíná již „v prostoru“ onemocnění </w:t>
      </w:r>
      <w:proofErr w:type="spellStart"/>
      <w:r>
        <w:rPr>
          <w:rFonts w:cstheme="minorHAnsi"/>
          <w:b/>
        </w:rPr>
        <w:t>mHSPC</w:t>
      </w:r>
      <w:proofErr w:type="spellEnd"/>
      <w:r>
        <w:rPr>
          <w:rFonts w:cstheme="minorHAnsi"/>
          <w:b/>
        </w:rPr>
        <w:t xml:space="preserve"> </w:t>
      </w:r>
      <w:r>
        <w:rPr>
          <w:rFonts w:cstheme="minorHAnsi"/>
        </w:rPr>
        <w:t>(viz výše odstavec: „Stručná charakteristika …“ a níže Přílohu č. 13)</w:t>
      </w:r>
      <w:r>
        <w:rPr>
          <w:rFonts w:cstheme="minorHAnsi"/>
          <w:vertAlign w:val="superscript"/>
        </w:rPr>
        <w:t>41</w:t>
      </w:r>
      <w:r>
        <w:rPr>
          <w:rFonts w:cstheme="minorHAnsi"/>
        </w:rPr>
        <w:t xml:space="preserve">. </w:t>
      </w:r>
      <w:r>
        <w:rPr>
          <w:rFonts w:cstheme="minorHAnsi"/>
          <w:b/>
        </w:rPr>
        <w:t xml:space="preserve">V současné době tedy existují různé scénáře pro zahájení léčby </w:t>
      </w:r>
      <w:proofErr w:type="spellStart"/>
      <w:r>
        <w:rPr>
          <w:rFonts w:cstheme="minorHAnsi"/>
          <w:b/>
        </w:rPr>
        <w:t>mCRPC</w:t>
      </w:r>
      <w:proofErr w:type="spellEnd"/>
      <w:r>
        <w:rPr>
          <w:rFonts w:cstheme="minorHAnsi"/>
          <w:b/>
        </w:rPr>
        <w:t xml:space="preserve"> 1. linie na základě předchozích terapií pacienta ve stadiu HSCP (viz níže pozn. 46 a Přílohu č. 7)</w:t>
      </w:r>
      <w:r>
        <w:rPr>
          <w:rFonts w:cstheme="minorHAnsi"/>
        </w:rPr>
        <w:t xml:space="preserve">: tj. (1) samotná ADT (viz podrobněji níže pozn. 43) pro </w:t>
      </w:r>
      <w:proofErr w:type="spellStart"/>
      <w:r>
        <w:rPr>
          <w:rFonts w:cstheme="minorHAnsi"/>
        </w:rPr>
        <w:t>mHSPC</w:t>
      </w:r>
      <w:proofErr w:type="spellEnd"/>
      <w:r>
        <w:rPr>
          <w:rFonts w:cstheme="minorHAnsi"/>
        </w:rPr>
        <w:t xml:space="preserve">, (2) ADT plus </w:t>
      </w:r>
      <w:proofErr w:type="spellStart"/>
      <w:r>
        <w:rPr>
          <w:rFonts w:cstheme="minorHAnsi"/>
        </w:rPr>
        <w:t>docetaxel</w:t>
      </w:r>
      <w:proofErr w:type="spellEnd"/>
      <w:r>
        <w:rPr>
          <w:rFonts w:cstheme="minorHAnsi"/>
        </w:rPr>
        <w:t xml:space="preserve"> pro </w:t>
      </w:r>
      <w:proofErr w:type="spellStart"/>
      <w:r>
        <w:rPr>
          <w:rFonts w:cstheme="minorHAnsi"/>
        </w:rPr>
        <w:t>mHSPC</w:t>
      </w:r>
      <w:proofErr w:type="spellEnd"/>
      <w:r>
        <w:rPr>
          <w:rFonts w:cstheme="minorHAnsi"/>
        </w:rPr>
        <w:t xml:space="preserve">, (3) ADT plus ARPI (pro ARPI viz podrobněji níže pozn. 16) pro </w:t>
      </w:r>
      <w:proofErr w:type="spellStart"/>
      <w:r>
        <w:rPr>
          <w:rFonts w:cstheme="minorHAnsi"/>
        </w:rPr>
        <w:t>mHSPC</w:t>
      </w:r>
      <w:proofErr w:type="spellEnd"/>
      <w:r>
        <w:rPr>
          <w:rFonts w:cstheme="minorHAnsi"/>
        </w:rPr>
        <w:t xml:space="preserve">, či (4) ADT plus </w:t>
      </w:r>
      <w:proofErr w:type="spellStart"/>
      <w:r>
        <w:rPr>
          <w:rFonts w:cstheme="minorHAnsi"/>
        </w:rPr>
        <w:t>docetaxel</w:t>
      </w:r>
      <w:proofErr w:type="spellEnd"/>
      <w:r>
        <w:rPr>
          <w:rFonts w:cstheme="minorHAnsi"/>
        </w:rPr>
        <w:t xml:space="preserve"> + ARPI pro mHSPC</w:t>
      </w:r>
      <w:r>
        <w:rPr>
          <w:rFonts w:cstheme="minorHAnsi"/>
          <w:vertAlign w:val="superscript"/>
        </w:rPr>
        <w:t>41</w:t>
      </w:r>
      <w:r>
        <w:rPr>
          <w:rFonts w:cstheme="minorHAnsi"/>
        </w:rPr>
        <w:t xml:space="preserve">. </w:t>
      </w:r>
    </w:p>
    <w:p w:rsidR="00CD2B91" w:rsidRDefault="00CD2B91">
      <w:pPr>
        <w:spacing w:after="0"/>
        <w:jc w:val="both"/>
        <w:rPr>
          <w:rFonts w:cstheme="minorHAnsi"/>
          <w:b/>
          <w:highlight w:val="cyan"/>
        </w:rPr>
      </w:pPr>
      <w:r>
        <w:rPr>
          <w:rFonts w:cstheme="minorHAnsi"/>
          <w:b/>
          <w:highlight w:val="cyan"/>
        </w:rPr>
        <w:t xml:space="preserve">Je potřeba zdůraznit, že nepodat kombinovanou léčbu s ADT ve fázi </w:t>
      </w:r>
      <w:proofErr w:type="spellStart"/>
      <w:r>
        <w:rPr>
          <w:rFonts w:cstheme="minorHAnsi"/>
          <w:b/>
          <w:highlight w:val="cyan"/>
        </w:rPr>
        <w:t>mHSPC</w:t>
      </w:r>
      <w:proofErr w:type="spellEnd"/>
      <w:r>
        <w:rPr>
          <w:rFonts w:cstheme="minorHAnsi"/>
          <w:b/>
          <w:highlight w:val="cyan"/>
        </w:rPr>
        <w:t xml:space="preserve"> (s cílem, aby mi tzv. „něco zbylo na později“ – viz podrobněji níže pozn. 46 a Přílohu č. 7) je aktuálně považováno za špatný přístup</w:t>
      </w:r>
      <w:r>
        <w:rPr>
          <w:rFonts w:cstheme="minorHAnsi"/>
          <w:b/>
          <w:highlight w:val="cyan"/>
          <w:vertAlign w:val="superscript"/>
        </w:rPr>
        <w:t>31</w:t>
      </w:r>
      <w:r>
        <w:rPr>
          <w:rFonts w:cstheme="minorHAnsi"/>
          <w:b/>
          <w:highlight w:val="cyan"/>
        </w:rPr>
        <w:t xml:space="preserve">. </w:t>
      </w:r>
      <w:r>
        <w:rPr>
          <w:rFonts w:cstheme="minorHAnsi"/>
          <w:b/>
          <w:highlight w:val="cyan"/>
          <w:u w:val="single"/>
        </w:rPr>
        <w:t xml:space="preserve">Většina pacientů s karcinomem prostaty tedy bude stále více již ve stadiu </w:t>
      </w:r>
      <w:proofErr w:type="spellStart"/>
      <w:r>
        <w:rPr>
          <w:rFonts w:cstheme="minorHAnsi"/>
          <w:b/>
          <w:highlight w:val="cyan"/>
          <w:u w:val="single"/>
        </w:rPr>
        <w:t>mHSCP</w:t>
      </w:r>
      <w:proofErr w:type="spellEnd"/>
      <w:r>
        <w:rPr>
          <w:rFonts w:cstheme="minorHAnsi"/>
          <w:b/>
          <w:highlight w:val="cyan"/>
          <w:u w:val="single"/>
        </w:rPr>
        <w:t xml:space="preserve"> </w:t>
      </w:r>
      <w:proofErr w:type="spellStart"/>
      <w:r>
        <w:rPr>
          <w:rFonts w:cstheme="minorHAnsi"/>
          <w:b/>
          <w:highlight w:val="cyan"/>
          <w:u w:val="single"/>
        </w:rPr>
        <w:t>předléčena</w:t>
      </w:r>
      <w:proofErr w:type="spellEnd"/>
      <w:r>
        <w:rPr>
          <w:rFonts w:cstheme="minorHAnsi"/>
          <w:b/>
          <w:highlight w:val="cyan"/>
          <w:u w:val="single"/>
        </w:rPr>
        <w:t xml:space="preserve"> minimálně </w:t>
      </w:r>
      <w:proofErr w:type="spellStart"/>
      <w:r>
        <w:rPr>
          <w:rFonts w:cstheme="minorHAnsi"/>
          <w:b/>
          <w:highlight w:val="cyan"/>
          <w:u w:val="single"/>
        </w:rPr>
        <w:t>dubletem</w:t>
      </w:r>
      <w:proofErr w:type="spellEnd"/>
      <w:r>
        <w:rPr>
          <w:rFonts w:cstheme="minorHAnsi"/>
          <w:b/>
          <w:highlight w:val="cyan"/>
          <w:u w:val="single"/>
        </w:rPr>
        <w:t xml:space="preserve"> ADT + ARPI </w:t>
      </w:r>
      <w:r w:rsidRPr="006E2321">
        <w:rPr>
          <w:rFonts w:cstheme="minorHAnsi"/>
          <w:highlight w:val="cyan"/>
        </w:rPr>
        <w:t xml:space="preserve">(viz </w:t>
      </w:r>
      <w:r w:rsidR="006E2321" w:rsidRPr="006E2321">
        <w:rPr>
          <w:rFonts w:cstheme="minorHAnsi"/>
          <w:highlight w:val="cyan"/>
        </w:rPr>
        <w:t>výše informace v odstavci „</w:t>
      </w:r>
      <w:r w:rsidR="006E2321" w:rsidRPr="006E2321">
        <w:rPr>
          <w:rFonts w:cstheme="minorHAnsi"/>
          <w:i/>
          <w:highlight w:val="cyan"/>
        </w:rPr>
        <w:t>Stručná charakteristika onemocnění</w:t>
      </w:r>
      <w:r w:rsidR="006E2321" w:rsidRPr="006E2321">
        <w:rPr>
          <w:rFonts w:cstheme="minorHAnsi"/>
          <w:highlight w:val="cyan"/>
        </w:rPr>
        <w:t xml:space="preserve">“ a </w:t>
      </w:r>
      <w:r w:rsidRPr="006E2321">
        <w:rPr>
          <w:rFonts w:cstheme="minorHAnsi"/>
          <w:highlight w:val="cyan"/>
        </w:rPr>
        <w:t>níže Přílohu č. 7 a pozn. 43)</w:t>
      </w:r>
      <w:r>
        <w:rPr>
          <w:rFonts w:cstheme="minorHAnsi"/>
          <w:b/>
          <w:highlight w:val="cyan"/>
          <w:u w:val="single"/>
        </w:rPr>
        <w:t xml:space="preserve">, takže množství pacientů pro podávání kombinace </w:t>
      </w:r>
      <w:proofErr w:type="spellStart"/>
      <w:r>
        <w:rPr>
          <w:rFonts w:cstheme="minorHAnsi"/>
          <w:b/>
          <w:highlight w:val="cyan"/>
          <w:u w:val="single"/>
        </w:rPr>
        <w:t>niraparibu</w:t>
      </w:r>
      <w:proofErr w:type="spellEnd"/>
      <w:r>
        <w:rPr>
          <w:rFonts w:cstheme="minorHAnsi"/>
          <w:b/>
          <w:highlight w:val="cyan"/>
          <w:u w:val="single"/>
        </w:rPr>
        <w:t xml:space="preserve"> s </w:t>
      </w:r>
      <w:proofErr w:type="spellStart"/>
      <w:r>
        <w:rPr>
          <w:rFonts w:cstheme="minorHAnsi"/>
          <w:b/>
          <w:highlight w:val="cyan"/>
          <w:u w:val="single"/>
        </w:rPr>
        <w:t>abirateronem</w:t>
      </w:r>
      <w:proofErr w:type="spellEnd"/>
      <w:r>
        <w:rPr>
          <w:rFonts w:cstheme="minorHAnsi"/>
          <w:b/>
          <w:highlight w:val="cyan"/>
          <w:u w:val="single"/>
        </w:rPr>
        <w:t xml:space="preserve"> (tzn. hodnocený LP AKEEGA) by se mělo stále snižovat, a to z důvodu obecného nedoporučení </w:t>
      </w:r>
      <w:proofErr w:type="spellStart"/>
      <w:r>
        <w:rPr>
          <w:rFonts w:cstheme="minorHAnsi"/>
          <w:b/>
          <w:highlight w:val="cyan"/>
          <w:u w:val="single"/>
        </w:rPr>
        <w:t>sekvenace</w:t>
      </w:r>
      <w:proofErr w:type="spellEnd"/>
      <w:r>
        <w:rPr>
          <w:rFonts w:cstheme="minorHAnsi"/>
          <w:b/>
          <w:highlight w:val="cyan"/>
          <w:u w:val="single"/>
        </w:rPr>
        <w:t xml:space="preserve"> ARPI přípravků, naopak bude</w:t>
      </w:r>
      <w:r w:rsidR="006E2321">
        <w:rPr>
          <w:rFonts w:cstheme="minorHAnsi"/>
          <w:b/>
          <w:highlight w:val="cyan"/>
          <w:u w:val="single"/>
        </w:rPr>
        <w:t>, velmi pravděpodobně,</w:t>
      </w:r>
      <w:r>
        <w:rPr>
          <w:rFonts w:cstheme="minorHAnsi"/>
          <w:b/>
          <w:highlight w:val="cyan"/>
          <w:u w:val="single"/>
        </w:rPr>
        <w:t xml:space="preserve"> vzrůstat potřeba podávání samotného PARP inhibitoru </w:t>
      </w:r>
      <w:r>
        <w:rPr>
          <w:rFonts w:cstheme="minorHAnsi"/>
          <w:b/>
          <w:highlight w:val="cyan"/>
        </w:rPr>
        <w:t>(</w:t>
      </w:r>
      <w:r w:rsidR="00BD5C9F">
        <w:rPr>
          <w:rFonts w:cstheme="minorHAnsi"/>
          <w:b/>
          <w:highlight w:val="cyan"/>
        </w:rPr>
        <w:t>dále jen „</w:t>
      </w:r>
      <w:proofErr w:type="spellStart"/>
      <w:r w:rsidR="00BD5C9F">
        <w:rPr>
          <w:rFonts w:cstheme="minorHAnsi"/>
          <w:b/>
          <w:highlight w:val="cyan"/>
        </w:rPr>
        <w:t>PARPi</w:t>
      </w:r>
      <w:proofErr w:type="spellEnd"/>
      <w:r w:rsidR="00BD5C9F">
        <w:rPr>
          <w:rFonts w:cstheme="minorHAnsi"/>
          <w:b/>
          <w:highlight w:val="cyan"/>
        </w:rPr>
        <w:t xml:space="preserve">“ - </w:t>
      </w:r>
      <w:r>
        <w:rPr>
          <w:rFonts w:cstheme="minorHAnsi"/>
          <w:b/>
          <w:highlight w:val="cyan"/>
        </w:rPr>
        <w:t xml:space="preserve">viz níže pozn. 26) </w:t>
      </w:r>
      <w:r w:rsidRPr="006E2321">
        <w:rPr>
          <w:rFonts w:cstheme="minorHAnsi"/>
          <w:b/>
          <w:highlight w:val="cyan"/>
        </w:rPr>
        <w:t xml:space="preserve">– </w:t>
      </w:r>
      <w:r>
        <w:rPr>
          <w:rFonts w:cstheme="minorHAnsi"/>
          <w:b/>
          <w:highlight w:val="cyan"/>
          <w:u w:val="single"/>
        </w:rPr>
        <w:t>viz podrobněji Přílohu č. 13</w:t>
      </w:r>
      <w:r>
        <w:rPr>
          <w:rFonts w:cstheme="minorHAnsi"/>
          <w:b/>
          <w:highlight w:val="cyan"/>
        </w:rPr>
        <w:t xml:space="preserve">! Dále se ARPI s ADT běžně podávají </w:t>
      </w:r>
      <w:r w:rsidR="000D57CE">
        <w:rPr>
          <w:rFonts w:cstheme="minorHAnsi"/>
          <w:b/>
          <w:highlight w:val="cyan"/>
        </w:rPr>
        <w:t xml:space="preserve">také </w:t>
      </w:r>
      <w:r>
        <w:rPr>
          <w:rFonts w:cstheme="minorHAnsi"/>
          <w:b/>
          <w:highlight w:val="cyan"/>
        </w:rPr>
        <w:t xml:space="preserve">u </w:t>
      </w:r>
      <w:proofErr w:type="spellStart"/>
      <w:r>
        <w:rPr>
          <w:rFonts w:cstheme="minorHAnsi"/>
          <w:b/>
          <w:highlight w:val="cyan"/>
        </w:rPr>
        <w:t>nemetastatického</w:t>
      </w:r>
      <w:proofErr w:type="spellEnd"/>
      <w:r>
        <w:rPr>
          <w:rFonts w:cstheme="minorHAnsi"/>
          <w:b/>
          <w:highlight w:val="cyan"/>
        </w:rPr>
        <w:t xml:space="preserve"> CRPC (</w:t>
      </w:r>
      <w:r w:rsidR="000D57CE">
        <w:rPr>
          <w:rFonts w:cstheme="minorHAnsi"/>
          <w:b/>
          <w:highlight w:val="cyan"/>
        </w:rPr>
        <w:t>tzv. „</w:t>
      </w:r>
      <w:proofErr w:type="spellStart"/>
      <w:r w:rsidR="000D57CE">
        <w:rPr>
          <w:rFonts w:cstheme="minorHAnsi"/>
          <w:b/>
          <w:highlight w:val="cyan"/>
        </w:rPr>
        <w:t>nmCRPC</w:t>
      </w:r>
      <w:proofErr w:type="spellEnd"/>
      <w:r w:rsidR="000D57CE">
        <w:rPr>
          <w:rFonts w:cstheme="minorHAnsi"/>
          <w:b/>
          <w:highlight w:val="cyan"/>
        </w:rPr>
        <w:t xml:space="preserve">“ - </w:t>
      </w:r>
      <w:r>
        <w:rPr>
          <w:rFonts w:cstheme="minorHAnsi"/>
          <w:b/>
          <w:highlight w:val="cyan"/>
        </w:rPr>
        <w:t>viz podrobněji níže pozn. 49), úhradu</w:t>
      </w:r>
      <w:r>
        <w:rPr>
          <w:rFonts w:cstheme="minorHAnsi"/>
          <w:b/>
          <w:highlight w:val="cyan"/>
          <w:vertAlign w:val="superscript"/>
        </w:rPr>
        <w:t>2</w:t>
      </w:r>
      <w:r>
        <w:rPr>
          <w:rFonts w:cstheme="minorHAnsi"/>
          <w:b/>
          <w:highlight w:val="cyan"/>
        </w:rPr>
        <w:t xml:space="preserve"> v ČR mají </w:t>
      </w:r>
      <w:proofErr w:type="spellStart"/>
      <w:r>
        <w:rPr>
          <w:rFonts w:cstheme="minorHAnsi"/>
          <w:b/>
          <w:highlight w:val="cyan"/>
        </w:rPr>
        <w:t>apalutamid</w:t>
      </w:r>
      <w:proofErr w:type="spellEnd"/>
      <w:r>
        <w:rPr>
          <w:rFonts w:cstheme="minorHAnsi"/>
          <w:b/>
          <w:highlight w:val="cyan"/>
        </w:rPr>
        <w:t xml:space="preserve">, </w:t>
      </w:r>
      <w:proofErr w:type="spellStart"/>
      <w:r>
        <w:rPr>
          <w:rFonts w:cstheme="minorHAnsi"/>
          <w:b/>
          <w:highlight w:val="cyan"/>
        </w:rPr>
        <w:t>darolutamid</w:t>
      </w:r>
      <w:proofErr w:type="spellEnd"/>
      <w:r>
        <w:rPr>
          <w:rFonts w:cstheme="minorHAnsi"/>
          <w:b/>
          <w:highlight w:val="cyan"/>
        </w:rPr>
        <w:t xml:space="preserve"> i </w:t>
      </w:r>
      <w:proofErr w:type="spellStart"/>
      <w:r>
        <w:rPr>
          <w:rFonts w:cstheme="minorHAnsi"/>
          <w:b/>
          <w:highlight w:val="cyan"/>
        </w:rPr>
        <w:t>enzalutamid</w:t>
      </w:r>
      <w:proofErr w:type="spellEnd"/>
      <w:r w:rsidR="000D57CE">
        <w:rPr>
          <w:rFonts w:cstheme="minorHAnsi"/>
          <w:b/>
          <w:highlight w:val="cyan"/>
        </w:rPr>
        <w:t xml:space="preserve"> – ale </w:t>
      </w:r>
      <w:r w:rsidR="000D57CE" w:rsidRPr="003E4D43">
        <w:rPr>
          <w:rFonts w:cstheme="minorHAnsi"/>
          <w:b/>
          <w:highlight w:val="cyan"/>
        </w:rPr>
        <w:t xml:space="preserve">jak již bylo dříve uvedeno </w:t>
      </w:r>
      <w:r w:rsidR="000D57CE" w:rsidRPr="003E4D43">
        <w:rPr>
          <w:rFonts w:cstheme="minorHAnsi"/>
          <w:b/>
          <w:highlight w:val="cyan"/>
          <w:u w:val="single"/>
        </w:rPr>
        <w:t>pořadí „</w:t>
      </w:r>
      <w:proofErr w:type="spellStart"/>
      <w:r w:rsidR="000D57CE" w:rsidRPr="003E4D43">
        <w:rPr>
          <w:rFonts w:cstheme="minorHAnsi"/>
          <w:b/>
          <w:highlight w:val="cyan"/>
          <w:u w:val="single"/>
        </w:rPr>
        <w:t>sekvenace</w:t>
      </w:r>
      <w:proofErr w:type="spellEnd"/>
      <w:r w:rsidR="000D57CE" w:rsidRPr="003E4D43">
        <w:rPr>
          <w:rFonts w:cstheme="minorHAnsi"/>
          <w:b/>
          <w:highlight w:val="cyan"/>
          <w:u w:val="single"/>
        </w:rPr>
        <w:t xml:space="preserve">“ léčebných strategií od aktuálně doporučované léčby u </w:t>
      </w:r>
      <w:proofErr w:type="spellStart"/>
      <w:r w:rsidR="000D57CE" w:rsidRPr="003E4D43">
        <w:rPr>
          <w:rFonts w:cstheme="minorHAnsi"/>
          <w:b/>
          <w:highlight w:val="cyan"/>
          <w:u w:val="single"/>
        </w:rPr>
        <w:t>mHSCP</w:t>
      </w:r>
      <w:proofErr w:type="spellEnd"/>
      <w:r w:rsidR="000D57CE" w:rsidRPr="003E4D43">
        <w:rPr>
          <w:rFonts w:cstheme="minorHAnsi"/>
          <w:b/>
          <w:highlight w:val="cyan"/>
          <w:u w:val="single"/>
        </w:rPr>
        <w:t xml:space="preserve">, přes </w:t>
      </w:r>
      <w:proofErr w:type="spellStart"/>
      <w:r w:rsidR="000D57CE" w:rsidRPr="003E4D43">
        <w:rPr>
          <w:rFonts w:cstheme="minorHAnsi"/>
          <w:b/>
          <w:highlight w:val="cyan"/>
          <w:u w:val="single"/>
        </w:rPr>
        <w:t>nmCRPC</w:t>
      </w:r>
      <w:proofErr w:type="spellEnd"/>
      <w:r w:rsidR="000D57CE" w:rsidRPr="003E4D43">
        <w:rPr>
          <w:rFonts w:cstheme="minorHAnsi"/>
          <w:b/>
          <w:highlight w:val="cyan"/>
          <w:u w:val="single"/>
        </w:rPr>
        <w:t xml:space="preserve"> do 1. linie </w:t>
      </w:r>
      <w:proofErr w:type="spellStart"/>
      <w:r w:rsidR="000D57CE" w:rsidRPr="003E4D43">
        <w:rPr>
          <w:rFonts w:cstheme="minorHAnsi"/>
          <w:b/>
          <w:highlight w:val="cyan"/>
          <w:u w:val="single"/>
        </w:rPr>
        <w:t>mCRPC</w:t>
      </w:r>
      <w:proofErr w:type="spellEnd"/>
      <w:r w:rsidR="000D57CE" w:rsidRPr="003E4D43">
        <w:rPr>
          <w:rFonts w:cstheme="minorHAnsi"/>
          <w:b/>
          <w:highlight w:val="cyan"/>
          <w:u w:val="single"/>
        </w:rPr>
        <w:t>, není úplně jasné</w:t>
      </w:r>
      <w:r w:rsidRPr="003E4D43">
        <w:rPr>
          <w:rFonts w:cstheme="minorHAnsi"/>
          <w:b/>
          <w:highlight w:val="cyan"/>
        </w:rPr>
        <w:t>.</w:t>
      </w:r>
      <w:r w:rsidR="007808F9" w:rsidRPr="003E4D43">
        <w:rPr>
          <w:rFonts w:cstheme="minorHAnsi"/>
          <w:b/>
          <w:highlight w:val="cyan"/>
        </w:rPr>
        <w:t xml:space="preserve"> </w:t>
      </w:r>
      <w:r w:rsidR="00D26D1C" w:rsidRPr="003E4D43">
        <w:rPr>
          <w:rFonts w:cstheme="minorHAnsi"/>
          <w:highlight w:val="cyan"/>
        </w:rPr>
        <w:t xml:space="preserve">ARPI následovaný změnou za jiný ARPI má velmi omezenou účinnost (viz podrobněji níže pozn. 16 a Přílohu č. 13) a řada doporučení od této záměny u </w:t>
      </w:r>
      <w:proofErr w:type="spellStart"/>
      <w:r w:rsidR="00D26D1C" w:rsidRPr="003E4D43">
        <w:rPr>
          <w:rFonts w:cstheme="minorHAnsi"/>
          <w:highlight w:val="cyan"/>
        </w:rPr>
        <w:t>mCRPC</w:t>
      </w:r>
      <w:proofErr w:type="spellEnd"/>
      <w:r w:rsidR="00D26D1C" w:rsidRPr="003E4D43">
        <w:rPr>
          <w:rFonts w:cstheme="minorHAnsi"/>
          <w:highlight w:val="cyan"/>
        </w:rPr>
        <w:t xml:space="preserve"> odrazují, </w:t>
      </w:r>
      <w:r w:rsidR="00F31F13" w:rsidRPr="003E4D43">
        <w:rPr>
          <w:rFonts w:cstheme="minorHAnsi"/>
          <w:highlight w:val="cyan"/>
        </w:rPr>
        <w:t xml:space="preserve">a </w:t>
      </w:r>
      <w:r w:rsidR="00D26D1C" w:rsidRPr="003E4D43">
        <w:rPr>
          <w:rFonts w:cstheme="minorHAnsi"/>
          <w:highlight w:val="cyan"/>
        </w:rPr>
        <w:t xml:space="preserve">např. Dr. </w:t>
      </w:r>
      <w:proofErr w:type="spellStart"/>
      <w:r w:rsidR="00D26D1C" w:rsidRPr="003E4D43">
        <w:rPr>
          <w:rFonts w:cstheme="minorHAnsi"/>
          <w:highlight w:val="cyan"/>
        </w:rPr>
        <w:t>Mateo</w:t>
      </w:r>
      <w:proofErr w:type="spellEnd"/>
      <w:r w:rsidR="00D26D1C" w:rsidRPr="003E4D43">
        <w:rPr>
          <w:rFonts w:cstheme="minorHAnsi"/>
          <w:highlight w:val="cyan"/>
        </w:rPr>
        <w:t xml:space="preserve"> si na konferenci APCCC</w:t>
      </w:r>
      <w:r w:rsidR="00D26D1C" w:rsidRPr="003E4D43">
        <w:rPr>
          <w:rFonts w:cstheme="minorHAnsi"/>
          <w:highlight w:val="cyan"/>
          <w:vertAlign w:val="superscript"/>
        </w:rPr>
        <w:t>62</w:t>
      </w:r>
      <w:r w:rsidR="00D26D1C" w:rsidRPr="003E4D43">
        <w:rPr>
          <w:rFonts w:cstheme="minorHAnsi"/>
          <w:highlight w:val="cyan"/>
        </w:rPr>
        <w:t xml:space="preserve"> v roce 2024</w:t>
      </w:r>
      <w:r w:rsidR="00F31F13" w:rsidRPr="003E4D43">
        <w:rPr>
          <w:rFonts w:cstheme="minorHAnsi"/>
          <w:highlight w:val="cyan"/>
        </w:rPr>
        <w:t xml:space="preserve"> kladl řečnickou otázku, p</w:t>
      </w:r>
      <w:r w:rsidR="00D26D1C" w:rsidRPr="003E4D43">
        <w:rPr>
          <w:rFonts w:cstheme="minorHAnsi"/>
          <w:highlight w:val="cyan"/>
        </w:rPr>
        <w:t>roč by to</w:t>
      </w:r>
      <w:r w:rsidR="00F31F13" w:rsidRPr="003E4D43">
        <w:rPr>
          <w:rFonts w:cstheme="minorHAnsi"/>
          <w:highlight w:val="cyan"/>
        </w:rPr>
        <w:t>to doporučení mělo být jiné u</w:t>
      </w:r>
      <w:r w:rsidR="00D26D1C" w:rsidRPr="003E4D43">
        <w:rPr>
          <w:rFonts w:cstheme="minorHAnsi"/>
          <w:highlight w:val="cyan"/>
        </w:rPr>
        <w:t xml:space="preserve"> </w:t>
      </w:r>
      <w:proofErr w:type="spellStart"/>
      <w:r w:rsidR="00D26D1C" w:rsidRPr="003E4D43">
        <w:rPr>
          <w:rFonts w:cstheme="minorHAnsi"/>
          <w:highlight w:val="cyan"/>
        </w:rPr>
        <w:t>mHSPC</w:t>
      </w:r>
      <w:proofErr w:type="spellEnd"/>
      <w:r w:rsidR="00F31F13" w:rsidRPr="003E4D43">
        <w:rPr>
          <w:rFonts w:cstheme="minorHAnsi"/>
          <w:highlight w:val="cyan"/>
        </w:rPr>
        <w:t xml:space="preserve"> než u</w:t>
      </w:r>
      <w:r w:rsidR="00D26D1C" w:rsidRPr="003E4D43">
        <w:rPr>
          <w:rFonts w:cstheme="minorHAnsi"/>
          <w:highlight w:val="cyan"/>
        </w:rPr>
        <w:t xml:space="preserve"> </w:t>
      </w:r>
      <w:proofErr w:type="spellStart"/>
      <w:r w:rsidR="00D26D1C" w:rsidRPr="003E4D43">
        <w:rPr>
          <w:rFonts w:cstheme="minorHAnsi"/>
          <w:highlight w:val="cyan"/>
        </w:rPr>
        <w:t>mCRPC</w:t>
      </w:r>
      <w:proofErr w:type="spellEnd"/>
      <w:r w:rsidR="00F31F13" w:rsidRPr="003E4D43">
        <w:rPr>
          <w:rFonts w:cstheme="minorHAnsi"/>
          <w:highlight w:val="cyan"/>
        </w:rPr>
        <w:t xml:space="preserve"> –</w:t>
      </w:r>
      <w:r w:rsidR="00F31F13" w:rsidRPr="003E4D43">
        <w:rPr>
          <w:rFonts w:cstheme="minorHAnsi"/>
          <w:b/>
          <w:highlight w:val="cyan"/>
        </w:rPr>
        <w:t xml:space="preserve"> </w:t>
      </w:r>
      <w:r w:rsidR="00F31F13" w:rsidRPr="003E4D43">
        <w:rPr>
          <w:rFonts w:cstheme="minorHAnsi"/>
          <w:b/>
          <w:highlight w:val="cyan"/>
          <w:u w:val="single"/>
        </w:rPr>
        <w:t>ve studiích fáze 3 s kombinací</w:t>
      </w:r>
      <w:r w:rsidR="00D26D1C" w:rsidRPr="003E4D43">
        <w:rPr>
          <w:rFonts w:cstheme="minorHAnsi"/>
          <w:b/>
          <w:highlight w:val="cyan"/>
          <w:u w:val="single"/>
        </w:rPr>
        <w:t xml:space="preserve"> </w:t>
      </w:r>
      <w:proofErr w:type="spellStart"/>
      <w:r w:rsidR="00D26D1C" w:rsidRPr="003E4D43">
        <w:rPr>
          <w:rFonts w:cstheme="minorHAnsi"/>
          <w:b/>
          <w:highlight w:val="cyan"/>
          <w:u w:val="single"/>
        </w:rPr>
        <w:t>PARP</w:t>
      </w:r>
      <w:r w:rsidR="00F31F13" w:rsidRPr="003E4D43">
        <w:rPr>
          <w:rFonts w:cstheme="minorHAnsi"/>
          <w:b/>
          <w:highlight w:val="cyan"/>
          <w:u w:val="single"/>
        </w:rPr>
        <w:t>i</w:t>
      </w:r>
      <w:proofErr w:type="spellEnd"/>
      <w:r w:rsidR="00D519B3" w:rsidRPr="003E4D43">
        <w:rPr>
          <w:rFonts w:cstheme="minorHAnsi"/>
          <w:b/>
          <w:highlight w:val="cyan"/>
          <w:u w:val="single"/>
        </w:rPr>
        <w:t xml:space="preserve"> (viz níže pozn. 26)</w:t>
      </w:r>
      <w:r w:rsidR="00D26D1C" w:rsidRPr="003E4D43">
        <w:rPr>
          <w:rFonts w:cstheme="minorHAnsi"/>
          <w:b/>
          <w:highlight w:val="cyan"/>
          <w:u w:val="single"/>
        </w:rPr>
        <w:t xml:space="preserve"> + ARPI </w:t>
      </w:r>
      <w:r w:rsidR="00F31F13" w:rsidRPr="003E4D43">
        <w:rPr>
          <w:rFonts w:cstheme="minorHAnsi"/>
          <w:b/>
          <w:highlight w:val="cyan"/>
          <w:u w:val="single"/>
        </w:rPr>
        <w:t>totiž byl jen</w:t>
      </w:r>
      <w:r w:rsidR="00D26D1C" w:rsidRPr="003E4D43">
        <w:rPr>
          <w:rFonts w:cstheme="minorHAnsi"/>
          <w:b/>
          <w:highlight w:val="cyan"/>
          <w:u w:val="single"/>
        </w:rPr>
        <w:t xml:space="preserve"> omezený počet pacientů, kteří dříve užívali ARPI před </w:t>
      </w:r>
      <w:r w:rsidR="00F31F13" w:rsidRPr="003E4D43">
        <w:rPr>
          <w:rFonts w:cstheme="minorHAnsi"/>
          <w:b/>
          <w:highlight w:val="cyan"/>
          <w:u w:val="single"/>
        </w:rPr>
        <w:t xml:space="preserve">kombinační </w:t>
      </w:r>
      <w:r w:rsidR="00D26D1C" w:rsidRPr="003E4D43">
        <w:rPr>
          <w:rFonts w:cstheme="minorHAnsi"/>
          <w:b/>
          <w:highlight w:val="cyan"/>
          <w:u w:val="single"/>
        </w:rPr>
        <w:t xml:space="preserve">léčbou ARPI + </w:t>
      </w:r>
      <w:proofErr w:type="spellStart"/>
      <w:r w:rsidR="00F31F13" w:rsidRPr="003E4D43">
        <w:rPr>
          <w:rFonts w:cstheme="minorHAnsi"/>
          <w:b/>
          <w:highlight w:val="cyan"/>
          <w:u w:val="single"/>
        </w:rPr>
        <w:t>PARPi</w:t>
      </w:r>
      <w:proofErr w:type="spellEnd"/>
      <w:r w:rsidR="00D519B3" w:rsidRPr="003E4D43">
        <w:rPr>
          <w:rFonts w:cstheme="minorHAnsi"/>
          <w:b/>
          <w:highlight w:val="cyan"/>
          <w:u w:val="single"/>
        </w:rPr>
        <w:t xml:space="preserve"> – viz podrobněji Přílohu č. 17</w:t>
      </w:r>
      <w:r w:rsidR="00D26D1C" w:rsidRPr="003E4D43">
        <w:rPr>
          <w:rFonts w:cstheme="minorHAnsi"/>
          <w:b/>
          <w:highlight w:val="cyan"/>
          <w:u w:val="single"/>
        </w:rPr>
        <w:t xml:space="preserve">. </w:t>
      </w:r>
      <w:r w:rsidR="00D519B3" w:rsidRPr="003E4D43">
        <w:rPr>
          <w:rFonts w:cstheme="minorHAnsi"/>
          <w:b/>
          <w:highlight w:val="cyan"/>
          <w:u w:val="single"/>
        </w:rPr>
        <w:t xml:space="preserve">Problémem je, že </w:t>
      </w:r>
      <w:proofErr w:type="spellStart"/>
      <w:r w:rsidR="00D519B3" w:rsidRPr="003E4D43">
        <w:rPr>
          <w:rFonts w:cstheme="minorHAnsi"/>
          <w:b/>
          <w:highlight w:val="cyan"/>
          <w:u w:val="single"/>
        </w:rPr>
        <w:t>monoterapie</w:t>
      </w:r>
      <w:proofErr w:type="spellEnd"/>
      <w:r w:rsidR="00D519B3" w:rsidRPr="003E4D43">
        <w:rPr>
          <w:rFonts w:cstheme="minorHAnsi"/>
          <w:b/>
          <w:highlight w:val="cyan"/>
          <w:u w:val="single"/>
        </w:rPr>
        <w:t xml:space="preserve"> </w:t>
      </w:r>
      <w:proofErr w:type="spellStart"/>
      <w:r w:rsidR="00D519B3" w:rsidRPr="003E4D43">
        <w:rPr>
          <w:rFonts w:cstheme="minorHAnsi"/>
          <w:b/>
          <w:highlight w:val="cyan"/>
          <w:u w:val="single"/>
        </w:rPr>
        <w:t>PARPi</w:t>
      </w:r>
      <w:proofErr w:type="spellEnd"/>
      <w:r w:rsidR="00D519B3" w:rsidRPr="003E4D43">
        <w:rPr>
          <w:rFonts w:cstheme="minorHAnsi"/>
          <w:b/>
          <w:highlight w:val="cyan"/>
          <w:u w:val="single"/>
        </w:rPr>
        <w:t xml:space="preserve"> </w:t>
      </w:r>
      <w:r w:rsidR="00D26D1C" w:rsidRPr="003E4D43">
        <w:rPr>
          <w:rFonts w:cstheme="minorHAnsi"/>
          <w:b/>
          <w:highlight w:val="cyan"/>
          <w:u w:val="single"/>
        </w:rPr>
        <w:t>je schválena</w:t>
      </w:r>
      <w:r w:rsidR="003E4D43" w:rsidRPr="003E4D43">
        <w:rPr>
          <w:rFonts w:cstheme="minorHAnsi"/>
          <w:b/>
          <w:highlight w:val="cyan"/>
          <w:u w:val="single"/>
        </w:rPr>
        <w:t xml:space="preserve"> (dle příslušných studií) až</w:t>
      </w:r>
      <w:r w:rsidR="00D26D1C" w:rsidRPr="003E4D43">
        <w:rPr>
          <w:rFonts w:cstheme="minorHAnsi"/>
          <w:b/>
          <w:highlight w:val="cyan"/>
          <w:u w:val="single"/>
        </w:rPr>
        <w:t xml:space="preserve"> po</w:t>
      </w:r>
      <w:r w:rsidR="00D519B3" w:rsidRPr="003E4D43">
        <w:rPr>
          <w:rFonts w:cstheme="minorHAnsi"/>
          <w:b/>
          <w:highlight w:val="cyan"/>
          <w:u w:val="single"/>
        </w:rPr>
        <w:t xml:space="preserve"> léčbě</w:t>
      </w:r>
      <w:r w:rsidR="00D26D1C" w:rsidRPr="003E4D43">
        <w:rPr>
          <w:rFonts w:cstheme="minorHAnsi"/>
          <w:b/>
          <w:highlight w:val="cyan"/>
          <w:u w:val="single"/>
        </w:rPr>
        <w:t xml:space="preserve"> ARPI u </w:t>
      </w:r>
      <w:r w:rsidR="00D26D1C" w:rsidRPr="003E4D43">
        <w:rPr>
          <w:rFonts w:cstheme="minorHAnsi"/>
          <w:b/>
          <w:i/>
          <w:highlight w:val="cyan"/>
          <w:u w:val="single"/>
        </w:rPr>
        <w:t>BRCA</w:t>
      </w:r>
      <w:r w:rsidR="00D26D1C" w:rsidRPr="003E4D43">
        <w:rPr>
          <w:rFonts w:cstheme="minorHAnsi"/>
          <w:b/>
          <w:highlight w:val="cyan"/>
          <w:u w:val="single"/>
        </w:rPr>
        <w:t xml:space="preserve">-mutovaného </w:t>
      </w:r>
      <w:proofErr w:type="spellStart"/>
      <w:r w:rsidR="00D26D1C" w:rsidRPr="003E4D43">
        <w:rPr>
          <w:rFonts w:cstheme="minorHAnsi"/>
          <w:b/>
          <w:highlight w:val="cyan"/>
          <w:u w:val="single"/>
        </w:rPr>
        <w:t>mCRPC</w:t>
      </w:r>
      <w:proofErr w:type="spellEnd"/>
      <w:r w:rsidR="00D519B3" w:rsidRPr="003E4D43">
        <w:rPr>
          <w:rFonts w:cstheme="minorHAnsi"/>
          <w:b/>
          <w:highlight w:val="cyan"/>
          <w:u w:val="single"/>
        </w:rPr>
        <w:t xml:space="preserve"> – viz podrobněji Přílohu č. 17</w:t>
      </w:r>
      <w:r w:rsidR="00D26D1C" w:rsidRPr="003E4D43">
        <w:rPr>
          <w:rFonts w:cstheme="minorHAnsi"/>
          <w:b/>
          <w:highlight w:val="cyan"/>
        </w:rPr>
        <w:t>.</w:t>
      </w:r>
      <w:r w:rsidR="00842C6A" w:rsidRPr="00842C6A">
        <w:rPr>
          <w:rFonts w:cstheme="minorHAnsi"/>
          <w:b/>
          <w:highlight w:val="cyan"/>
          <w:vertAlign w:val="superscript"/>
        </w:rPr>
        <w:t>6</w:t>
      </w:r>
      <w:r w:rsidR="00842C6A">
        <w:rPr>
          <w:rFonts w:cstheme="minorHAnsi"/>
          <w:b/>
          <w:highlight w:val="cyan"/>
          <w:vertAlign w:val="superscript"/>
        </w:rPr>
        <w:t>2</w:t>
      </w:r>
    </w:p>
    <w:p w:rsidR="008270FF" w:rsidRDefault="007D653E">
      <w:pPr>
        <w:spacing w:after="0"/>
        <w:jc w:val="both"/>
        <w:rPr>
          <w:rFonts w:cstheme="minorHAnsi"/>
          <w:b/>
        </w:rPr>
      </w:pPr>
      <w:r>
        <w:rPr>
          <w:noProof/>
        </w:rPr>
        <w:pict>
          <v:rect id="_x0000_s1026" style="position:absolute;left:0;text-align:left;margin-left:-.05pt;margin-top:.6pt;width:543.75pt;height:181.35pt;z-index:251659264;visibility:visible;mso-wrap-style:square;mso-wrap-distance-left:.3pt;mso-wrap-distance-top:.25pt;mso-wrap-distance-right:.2pt;mso-wrap-distance-bottom: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" o:allowincell="f" fillcolor="#deeaf6 [664]" strokeweight=".5pt">
            <v:stroke joinstyle="round"/>
            <v:textbox>
              <w:txbxContent>
                <w:p w:rsidR="000070EE" w:rsidRDefault="000070EE" w:rsidP="005163F8">
                  <w:pPr>
                    <w:pStyle w:val="Obsahrmce"/>
                    <w:spacing w:after="0"/>
                    <w:jc w:val="both"/>
                    <w:rPr>
                      <w:b/>
                      <w:color w:val="000000"/>
                      <w:u w:val="single"/>
                    </w:rPr>
                  </w:pPr>
                  <w:r>
                    <w:rPr>
                      <w:color w:val="000000"/>
                    </w:rPr>
                    <w:t>​</w:t>
                  </w:r>
                  <w:r w:rsidRPr="00CD2E00">
                    <w:rPr>
                      <w:b/>
                      <w:color w:val="000000"/>
                    </w:rPr>
                    <w:t>Studie</w:t>
                  </w:r>
                  <w:r>
                    <w:rPr>
                      <w:b/>
                      <w:color w:val="000000"/>
                    </w:rPr>
                    <w:t xml:space="preserve"> (</w:t>
                  </w:r>
                  <w:r w:rsidRPr="00063800">
                    <w:rPr>
                      <w:b/>
                      <w:color w:val="000000"/>
                    </w:rPr>
                    <w:t>viz Přílohu č. 22 s výsledky studií)</w:t>
                  </w:r>
                  <w:r w:rsidRPr="00CD2E00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tedy ukazují</w:t>
                  </w:r>
                  <w:r w:rsidRPr="00CD2E00">
                    <w:rPr>
                      <w:b/>
                      <w:color w:val="000000"/>
                    </w:rPr>
                    <w:t xml:space="preserve">, že </w:t>
                  </w:r>
                  <w:r w:rsidRPr="00CD2E00">
                    <w:rPr>
                      <w:b/>
                      <w:color w:val="000000"/>
                      <w:u w:val="single"/>
                    </w:rPr>
                    <w:t xml:space="preserve">inhibice PARP je u </w:t>
                  </w:r>
                  <w:proofErr w:type="spellStart"/>
                  <w:r w:rsidRPr="00CD2E00">
                    <w:rPr>
                      <w:b/>
                      <w:color w:val="000000"/>
                      <w:u w:val="single"/>
                    </w:rPr>
                    <w:t>mCRPC</w:t>
                  </w:r>
                  <w:proofErr w:type="spellEnd"/>
                  <w:r w:rsidRPr="00CD2E00">
                    <w:rPr>
                      <w:b/>
                      <w:color w:val="000000"/>
                      <w:u w:val="single"/>
                    </w:rPr>
                    <w:t xml:space="preserve"> s mutací </w:t>
                  </w:r>
                  <w:r w:rsidRPr="00CD2E00">
                    <w:rPr>
                      <w:b/>
                      <w:i/>
                      <w:color w:val="000000"/>
                      <w:u w:val="single"/>
                    </w:rPr>
                    <w:t>BRCA</w:t>
                  </w:r>
                  <w:r w:rsidRPr="00CD2E00">
                    <w:rPr>
                      <w:b/>
                      <w:color w:val="000000"/>
                      <w:u w:val="single"/>
                    </w:rPr>
                    <w:t xml:space="preserve"> lepší než žádná inhibice PARP</w:t>
                  </w:r>
                  <w:r>
                    <w:rPr>
                      <w:b/>
                      <w:color w:val="000000"/>
                    </w:rPr>
                    <w:t>, c</w:t>
                  </w:r>
                  <w:r w:rsidRPr="00CD2E00">
                    <w:rPr>
                      <w:b/>
                      <w:color w:val="000000"/>
                    </w:rPr>
                    <w:t>hybí však data porovnávající kombinaci</w:t>
                  </w:r>
                  <w:r>
                    <w:rPr>
                      <w:b/>
                      <w:color w:val="000000"/>
                    </w:rPr>
                    <w:t xml:space="preserve"> s </w:t>
                  </w:r>
                  <w:proofErr w:type="spellStart"/>
                  <w:r>
                    <w:rPr>
                      <w:b/>
                      <w:color w:val="000000"/>
                    </w:rPr>
                    <w:t>PARPi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+ ARPI</w:t>
                  </w:r>
                  <w:r w:rsidRPr="00CD2E00">
                    <w:rPr>
                      <w:b/>
                      <w:color w:val="000000"/>
                    </w:rPr>
                    <w:t xml:space="preserve"> se sekvenčním použitím</w:t>
                  </w:r>
                  <w:r>
                    <w:rPr>
                      <w:b/>
                      <w:color w:val="000000"/>
                    </w:rPr>
                    <w:t xml:space="preserve"> ARPI a pak </w:t>
                  </w:r>
                  <w:proofErr w:type="spellStart"/>
                  <w:r>
                    <w:rPr>
                      <w:b/>
                      <w:color w:val="000000"/>
                    </w:rPr>
                    <w:t>PARPi</w:t>
                  </w:r>
                  <w:proofErr w:type="spellEnd"/>
                  <w:r>
                    <w:rPr>
                      <w:b/>
                      <w:color w:val="000000"/>
                    </w:rPr>
                    <w:t>, či naopak -</w:t>
                  </w:r>
                  <w:r w:rsidRPr="00CD2E00">
                    <w:rPr>
                      <w:b/>
                      <w:color w:val="000000"/>
                    </w:rPr>
                    <w:t xml:space="preserve"> </w:t>
                  </w:r>
                  <w:r w:rsidRPr="00BB5888">
                    <w:rPr>
                      <w:b/>
                      <w:color w:val="000000"/>
                      <w:u w:val="single"/>
                    </w:rPr>
                    <w:t xml:space="preserve">slibná jsou data (ve prospěch kombinace oproti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sekvenace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) ze studie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BRCAAway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 (viz níže pozn. 64),</w:t>
                  </w:r>
                  <w:r w:rsidRPr="00CD2E00">
                    <w:rPr>
                      <w:b/>
                      <w:color w:val="000000"/>
                    </w:rPr>
                    <w:t xml:space="preserve"> ale </w:t>
                  </w:r>
                  <w:r>
                    <w:rPr>
                      <w:b/>
                      <w:color w:val="000000"/>
                    </w:rPr>
                    <w:t>nedostatkem</w:t>
                  </w:r>
                  <w:r w:rsidRPr="00CD2E00">
                    <w:rPr>
                      <w:b/>
                      <w:color w:val="000000"/>
                    </w:rPr>
                    <w:t xml:space="preserve"> této studie je </w:t>
                  </w:r>
                  <w:r>
                    <w:rPr>
                      <w:b/>
                      <w:color w:val="000000"/>
                    </w:rPr>
                    <w:t xml:space="preserve">velmi </w:t>
                  </w:r>
                  <w:r w:rsidRPr="00CD2E00">
                    <w:rPr>
                      <w:b/>
                      <w:color w:val="000000"/>
                    </w:rPr>
                    <w:t xml:space="preserve">malá velikost </w:t>
                  </w:r>
                  <w:r>
                    <w:rPr>
                      <w:b/>
                      <w:color w:val="000000"/>
                    </w:rPr>
                    <w:t>populace</w:t>
                  </w:r>
                  <w:r w:rsidRPr="00CD2E00">
                    <w:rPr>
                      <w:b/>
                      <w:color w:val="000000"/>
                      <w:vertAlign w:val="superscript"/>
                    </w:rPr>
                    <w:t>62</w:t>
                  </w:r>
                  <w:r w:rsidRPr="00CD2E00">
                    <w:rPr>
                      <w:b/>
                      <w:color w:val="000000"/>
                    </w:rPr>
                    <w:t xml:space="preserve">. </w:t>
                  </w:r>
                  <w:r w:rsidRPr="00BB5888">
                    <w:rPr>
                      <w:b/>
                      <w:color w:val="000000"/>
                      <w:u w:val="single"/>
                    </w:rPr>
                    <w:t xml:space="preserve">Na konferenci APCC v roce 2024 zazněl následující pohled na problematiku (viz pro srovnání doporučení uvedená níže a Přílohu č. 13): (1) kombinace ARPI +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PARPi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 jsou rozumnou možností pro ARPI naivní pacienty s </w:t>
                  </w:r>
                  <w:r w:rsidRPr="00BB5888">
                    <w:rPr>
                      <w:b/>
                      <w:i/>
                      <w:color w:val="000000"/>
                      <w:u w:val="single"/>
                    </w:rPr>
                    <w:t>BRCA1/2</w:t>
                  </w:r>
                  <w:r w:rsidRPr="00BB5888">
                    <w:rPr>
                      <w:b/>
                      <w:color w:val="000000"/>
                      <w:u w:val="single"/>
                    </w:rPr>
                    <w:t xml:space="preserve"> mutovaným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mCRPC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, přičemž je třeba brát v úvahu nedostatek definitivních údajů a riziko zvýšené toxicity u kombinace,  (2) v situaci po předcházejícím užívání ARPI je odůvodnění pro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použítí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 kombinace nejasné a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monoterapie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  </w:t>
                  </w:r>
                  <w:proofErr w:type="spellStart"/>
                  <w:r w:rsidRPr="00BB5888">
                    <w:rPr>
                      <w:b/>
                      <w:color w:val="000000"/>
                      <w:u w:val="single"/>
                    </w:rPr>
                    <w:t>PARPi</w:t>
                  </w:r>
                  <w:proofErr w:type="spellEnd"/>
                  <w:r w:rsidRPr="00BB5888">
                    <w:rPr>
                      <w:b/>
                      <w:color w:val="000000"/>
                      <w:u w:val="single"/>
                    </w:rPr>
                    <w:t xml:space="preserve"> měla být považována za standardní možnost, dokud se neprokáže opak</w:t>
                  </w:r>
                  <w:r w:rsidRPr="00BB5888">
                    <w:rPr>
                      <w:b/>
                      <w:color w:val="000000"/>
                      <w:u w:val="single"/>
                      <w:vertAlign w:val="superscript"/>
                    </w:rPr>
                    <w:t>62</w:t>
                  </w:r>
                  <w:r w:rsidRPr="00BB5888">
                    <w:rPr>
                      <w:b/>
                      <w:color w:val="000000"/>
                      <w:u w:val="single"/>
                    </w:rPr>
                    <w:t>!</w:t>
                  </w:r>
                  <w:r>
                    <w:rPr>
                      <w:b/>
                      <w:color w:val="000000"/>
                      <w:u w:val="single"/>
                    </w:rPr>
                    <w:t xml:space="preserve"> </w:t>
                  </w:r>
                </w:p>
                <w:p w:rsidR="000070EE" w:rsidRPr="00CD2E00" w:rsidRDefault="000070EE" w:rsidP="00CD2E00">
                  <w:pPr>
                    <w:pStyle w:val="Obsahrmce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u w:val="single"/>
                    </w:rPr>
                    <w:t>U pacientů s </w:t>
                  </w:r>
                  <w:proofErr w:type="spellStart"/>
                  <w:r>
                    <w:rPr>
                      <w:b/>
                      <w:color w:val="000000"/>
                      <w:u w:val="single"/>
                    </w:rPr>
                    <w:t>mCRPC</w:t>
                  </w:r>
                  <w:proofErr w:type="spellEnd"/>
                  <w:r>
                    <w:rPr>
                      <w:b/>
                      <w:color w:val="000000"/>
                      <w:u w:val="single"/>
                    </w:rPr>
                    <w:t xml:space="preserve"> </w:t>
                  </w:r>
                  <w:r w:rsidRPr="00BB5888">
                    <w:rPr>
                      <w:b/>
                      <w:color w:val="000000"/>
                      <w:u w:val="single"/>
                    </w:rPr>
                    <w:t xml:space="preserve">po předcházejícím užívání ARPI </w:t>
                  </w:r>
                  <w:proofErr w:type="spellStart"/>
                  <w:r>
                    <w:rPr>
                      <w:b/>
                      <w:color w:val="000000"/>
                      <w:u w:val="single"/>
                    </w:rPr>
                    <w:t>UpToDate</w:t>
                  </w:r>
                  <w:proofErr w:type="spellEnd"/>
                  <w:r>
                    <w:rPr>
                      <w:b/>
                      <w:color w:val="000000"/>
                      <w:u w:val="single"/>
                    </w:rPr>
                    <w:t xml:space="preserve"> doporučuje</w:t>
                  </w:r>
                  <w:r w:rsidRPr="005163F8">
                    <w:rPr>
                      <w:b/>
                      <w:color w:val="000000"/>
                      <w:u w:val="single"/>
                    </w:rPr>
                    <w:t xml:space="preserve"> zah</w:t>
                  </w:r>
                  <w:r>
                    <w:rPr>
                      <w:b/>
                      <w:color w:val="000000"/>
                      <w:u w:val="single"/>
                    </w:rPr>
                    <w:t xml:space="preserve">ájit </w:t>
                  </w:r>
                  <w:r w:rsidRPr="005163F8">
                    <w:rPr>
                      <w:b/>
                      <w:color w:val="000000"/>
                      <w:u w:val="single"/>
                    </w:rPr>
                    <w:t xml:space="preserve">léčbu </w:t>
                  </w:r>
                  <w:proofErr w:type="spellStart"/>
                  <w:r>
                    <w:rPr>
                      <w:b/>
                      <w:color w:val="000000"/>
                      <w:u w:val="single"/>
                    </w:rPr>
                    <w:t>PARPi</w:t>
                  </w:r>
                  <w:proofErr w:type="spellEnd"/>
                  <w:r w:rsidRPr="005163F8">
                    <w:rPr>
                      <w:b/>
                      <w:color w:val="000000"/>
                      <w:u w:val="single"/>
                    </w:rPr>
                    <w:t xml:space="preserve"> před použitím </w:t>
                  </w:r>
                  <w:proofErr w:type="spellStart"/>
                  <w:r w:rsidRPr="005163F8">
                    <w:rPr>
                      <w:b/>
                      <w:color w:val="000000"/>
                      <w:u w:val="single"/>
                    </w:rPr>
                    <w:t>docetaxelu</w:t>
                  </w:r>
                  <w:proofErr w:type="spellEnd"/>
                  <w:r w:rsidRPr="00D560C9">
                    <w:rPr>
                      <w:b/>
                      <w:color w:val="000000"/>
                    </w:rPr>
                    <w:t xml:space="preserve">, a to na základě extrapolace z výsledků studie TRITON3, která ukázala, že </w:t>
                  </w:r>
                  <w:proofErr w:type="spellStart"/>
                  <w:r w:rsidRPr="00D560C9">
                    <w:rPr>
                      <w:b/>
                      <w:color w:val="000000"/>
                    </w:rPr>
                    <w:t>PARPi</w:t>
                  </w:r>
                  <w:proofErr w:type="spellEnd"/>
                  <w:r w:rsidRPr="00D560C9">
                    <w:rPr>
                      <w:b/>
                      <w:color w:val="000000"/>
                    </w:rPr>
                    <w:t xml:space="preserve"> </w:t>
                  </w:r>
                  <w:proofErr w:type="spellStart"/>
                  <w:r w:rsidRPr="00D560C9">
                    <w:rPr>
                      <w:b/>
                      <w:color w:val="000000"/>
                    </w:rPr>
                    <w:t>rucaparib</w:t>
                  </w:r>
                  <w:proofErr w:type="spellEnd"/>
                  <w:r w:rsidRPr="00D560C9">
                    <w:rPr>
                      <w:b/>
                      <w:color w:val="000000"/>
                    </w:rPr>
                    <w:t xml:space="preserve"> je lepší než léčba volená lékařem, která zahrnovala </w:t>
                  </w:r>
                  <w:proofErr w:type="spellStart"/>
                  <w:r w:rsidRPr="00D560C9">
                    <w:rPr>
                      <w:b/>
                      <w:color w:val="000000"/>
                    </w:rPr>
                    <w:t>docetaxel</w:t>
                  </w:r>
                  <w:proofErr w:type="spellEnd"/>
                  <w:r w:rsidRPr="00D560C9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  <w:u w:val="single"/>
                    </w:rPr>
                    <w:t>- ten</w:t>
                  </w:r>
                  <w:r w:rsidRPr="005163F8">
                    <w:rPr>
                      <w:b/>
                      <w:color w:val="000000"/>
                      <w:u w:val="single"/>
                    </w:rPr>
                    <w:t xml:space="preserve"> lze použít v pozdější</w:t>
                  </w:r>
                  <w:r>
                    <w:rPr>
                      <w:b/>
                      <w:color w:val="000000"/>
                      <w:u w:val="single"/>
                    </w:rPr>
                    <w:t xml:space="preserve"> linii po PARPi</w:t>
                  </w:r>
                  <w:r w:rsidRPr="00D560C9">
                    <w:rPr>
                      <w:b/>
                      <w:color w:val="000000"/>
                      <w:u w:val="single"/>
                      <w:vertAlign w:val="superscript"/>
                    </w:rPr>
                    <w:t>65</w:t>
                  </w:r>
                  <w:r>
                    <w:rPr>
                      <w:b/>
                      <w:color w:val="000000"/>
                      <w:u w:val="single"/>
                    </w:rPr>
                    <w:t>.</w:t>
                  </w:r>
                </w:p>
              </w:txbxContent>
            </v:textbox>
          </v:rect>
        </w:pict>
      </w: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8270FF" w:rsidRDefault="008270FF">
      <w:pPr>
        <w:spacing w:after="0"/>
        <w:jc w:val="both"/>
        <w:rPr>
          <w:rFonts w:cstheme="minorHAnsi"/>
          <w:b/>
          <w:highlight w:val="cyan"/>
        </w:rPr>
      </w:pPr>
    </w:p>
    <w:p w:rsidR="00BB5888" w:rsidRDefault="00BB5888">
      <w:pPr>
        <w:spacing w:after="0"/>
        <w:jc w:val="both"/>
        <w:rPr>
          <w:rFonts w:cstheme="minorHAnsi"/>
          <w:b/>
          <w:highlight w:val="cyan"/>
        </w:rPr>
      </w:pPr>
    </w:p>
    <w:p w:rsidR="00BB5888" w:rsidRPr="00BB5888" w:rsidRDefault="00BB5888">
      <w:pPr>
        <w:spacing w:after="0"/>
        <w:jc w:val="both"/>
        <w:rPr>
          <w:rFonts w:cstheme="minorHAnsi"/>
          <w:b/>
          <w:sz w:val="12"/>
          <w:szCs w:val="12"/>
          <w:highlight w:val="cyan"/>
        </w:rPr>
      </w:pPr>
    </w:p>
    <w:p w:rsidR="005163F8" w:rsidRDefault="005163F8">
      <w:pPr>
        <w:spacing w:after="0"/>
        <w:jc w:val="both"/>
        <w:rPr>
          <w:rFonts w:cstheme="minorHAnsi"/>
          <w:b/>
          <w:highlight w:val="cyan"/>
        </w:rPr>
      </w:pPr>
    </w:p>
    <w:p w:rsidR="005163F8" w:rsidRDefault="005163F8">
      <w:pPr>
        <w:spacing w:after="0"/>
        <w:jc w:val="both"/>
        <w:rPr>
          <w:rFonts w:cstheme="minorHAnsi"/>
          <w:b/>
          <w:highlight w:val="cyan"/>
        </w:rPr>
      </w:pPr>
    </w:p>
    <w:p w:rsidR="005163F8" w:rsidRPr="00D560C9" w:rsidRDefault="005163F8">
      <w:pPr>
        <w:spacing w:after="0"/>
        <w:jc w:val="both"/>
        <w:rPr>
          <w:rFonts w:cstheme="minorHAnsi"/>
          <w:b/>
          <w:sz w:val="26"/>
          <w:szCs w:val="26"/>
          <w:highlight w:val="cyan"/>
        </w:rPr>
      </w:pPr>
    </w:p>
    <w:p w:rsidR="000A048D" w:rsidRPr="00323836" w:rsidRDefault="003E4D43">
      <w:pPr>
        <w:spacing w:after="0"/>
        <w:jc w:val="both"/>
        <w:rPr>
          <w:rFonts w:cstheme="minorHAnsi"/>
        </w:rPr>
      </w:pPr>
      <w:r w:rsidRPr="003E4D43">
        <w:rPr>
          <w:rFonts w:cstheme="minorHAnsi"/>
          <w:b/>
          <w:highlight w:val="cyan"/>
        </w:rPr>
        <w:t>Dále</w:t>
      </w:r>
      <w:r w:rsidR="00D26D1C" w:rsidRPr="003E4D43">
        <w:rPr>
          <w:rFonts w:cstheme="minorHAnsi"/>
          <w:b/>
          <w:highlight w:val="cyan"/>
        </w:rPr>
        <w:t>, na základě údajů z</w:t>
      </w:r>
      <w:r w:rsidRPr="003E4D43">
        <w:rPr>
          <w:rFonts w:cstheme="minorHAnsi"/>
          <w:b/>
          <w:highlight w:val="cyan"/>
        </w:rPr>
        <w:t xml:space="preserve">e studií TRITON2 a PROFOUND se zdá, že </w:t>
      </w:r>
      <w:r w:rsidR="00D26D1C" w:rsidRPr="003E4D43">
        <w:rPr>
          <w:rFonts w:cstheme="minorHAnsi"/>
          <w:b/>
          <w:highlight w:val="cyan"/>
        </w:rPr>
        <w:t>jsou odpovědi</w:t>
      </w:r>
      <w:r w:rsidRPr="003E4D43">
        <w:rPr>
          <w:rFonts w:cstheme="minorHAnsi"/>
          <w:b/>
          <w:highlight w:val="cyan"/>
        </w:rPr>
        <w:t xml:space="preserve"> na léčbu </w:t>
      </w:r>
      <w:proofErr w:type="spellStart"/>
      <w:r w:rsidRPr="003E4D43">
        <w:rPr>
          <w:rFonts w:cstheme="minorHAnsi"/>
          <w:b/>
          <w:highlight w:val="cyan"/>
        </w:rPr>
        <w:t>PARPi</w:t>
      </w:r>
      <w:proofErr w:type="spellEnd"/>
      <w:r w:rsidR="00D26D1C" w:rsidRPr="003E4D43">
        <w:rPr>
          <w:rFonts w:cstheme="minorHAnsi"/>
          <w:b/>
          <w:highlight w:val="cyan"/>
        </w:rPr>
        <w:t xml:space="preserve"> robustnější u pacientů s mutacemi </w:t>
      </w:r>
      <w:r w:rsidR="00D26D1C" w:rsidRPr="003E4D43">
        <w:rPr>
          <w:rFonts w:cstheme="minorHAnsi"/>
          <w:b/>
          <w:i/>
          <w:highlight w:val="cyan"/>
        </w:rPr>
        <w:t>BRCA2</w:t>
      </w:r>
      <w:r w:rsidRPr="003E4D43">
        <w:rPr>
          <w:rFonts w:cstheme="minorHAnsi"/>
          <w:b/>
          <w:highlight w:val="cyan"/>
        </w:rPr>
        <w:t xml:space="preserve"> než </w:t>
      </w:r>
      <w:r w:rsidRPr="003E4D43">
        <w:rPr>
          <w:rFonts w:cstheme="minorHAnsi"/>
          <w:b/>
          <w:i/>
          <w:highlight w:val="cyan"/>
        </w:rPr>
        <w:t>BRCA1</w:t>
      </w:r>
      <w:r w:rsidRPr="003E4D43">
        <w:rPr>
          <w:rFonts w:cstheme="minorHAnsi"/>
          <w:b/>
          <w:highlight w:val="cyan"/>
        </w:rPr>
        <w:t xml:space="preserve"> (viz níže pozn. 12)</w:t>
      </w:r>
      <w:r w:rsidRPr="00323836">
        <w:rPr>
          <w:rFonts w:cstheme="minorHAnsi"/>
          <w:highlight w:val="cyan"/>
          <w:vertAlign w:val="superscript"/>
        </w:rPr>
        <w:t>62</w:t>
      </w:r>
      <w:r w:rsidRPr="00323836">
        <w:rPr>
          <w:rFonts w:cstheme="minorHAnsi"/>
          <w:highlight w:val="cyan"/>
        </w:rPr>
        <w:t xml:space="preserve"> – viz podrobněji Přílohu č. 18</w:t>
      </w:r>
      <w:r w:rsidR="00323836" w:rsidRPr="00323836">
        <w:rPr>
          <w:rFonts w:cstheme="minorHAnsi"/>
          <w:highlight w:val="cyan"/>
        </w:rPr>
        <w:t xml:space="preserve"> (CAVE! ne všechny mutace </w:t>
      </w:r>
      <w:r w:rsidR="00323836" w:rsidRPr="00CA4A4F">
        <w:rPr>
          <w:rFonts w:cstheme="minorHAnsi"/>
          <w:i/>
          <w:highlight w:val="cyan"/>
        </w:rPr>
        <w:t xml:space="preserve">BRCA1 </w:t>
      </w:r>
      <w:r w:rsidR="00323836" w:rsidRPr="00323836">
        <w:rPr>
          <w:rFonts w:cstheme="minorHAnsi"/>
          <w:highlight w:val="cyan"/>
        </w:rPr>
        <w:t xml:space="preserve">jsou </w:t>
      </w:r>
      <w:r w:rsidR="00323836" w:rsidRPr="00323836">
        <w:rPr>
          <w:rFonts w:cstheme="minorHAnsi"/>
          <w:highlight w:val="cyan"/>
        </w:rPr>
        <w:lastRenderedPageBreak/>
        <w:t xml:space="preserve">spojeny s </w:t>
      </w:r>
      <w:proofErr w:type="spellStart"/>
      <w:r w:rsidR="00323836" w:rsidRPr="00323836">
        <w:rPr>
          <w:rFonts w:cstheme="minorHAnsi"/>
          <w:highlight w:val="cyan"/>
        </w:rPr>
        <w:t>bialelickou</w:t>
      </w:r>
      <w:proofErr w:type="spellEnd"/>
      <w:r w:rsidR="00323836" w:rsidRPr="00323836">
        <w:rPr>
          <w:rFonts w:cstheme="minorHAnsi"/>
          <w:highlight w:val="cyan"/>
        </w:rPr>
        <w:t xml:space="preserve"> ztrátou </w:t>
      </w:r>
      <w:r w:rsidR="00323836" w:rsidRPr="00CA4A4F">
        <w:rPr>
          <w:rFonts w:cstheme="minorHAnsi"/>
          <w:i/>
          <w:highlight w:val="cyan"/>
        </w:rPr>
        <w:t>BRCA1</w:t>
      </w:r>
      <w:r w:rsidR="00323836" w:rsidRPr="00323836">
        <w:rPr>
          <w:rFonts w:cstheme="minorHAnsi"/>
          <w:highlight w:val="cyan"/>
        </w:rPr>
        <w:t xml:space="preserve"> v nádorových buňkách, proto je velmi klíčová komunikace s patology pro optimální interpretaci výsledků NGS</w:t>
      </w:r>
      <w:r w:rsidR="00323836" w:rsidRPr="00323836">
        <w:rPr>
          <w:rFonts w:cstheme="minorHAnsi"/>
          <w:highlight w:val="cyan"/>
          <w:vertAlign w:val="superscript"/>
        </w:rPr>
        <w:t>62</w:t>
      </w:r>
      <w:r w:rsidR="00323836" w:rsidRPr="008270FF">
        <w:rPr>
          <w:rFonts w:cstheme="minorHAnsi"/>
          <w:highlight w:val="cyan"/>
        </w:rPr>
        <w:t>!).</w:t>
      </w:r>
      <w:r w:rsidR="00CD2B91" w:rsidRPr="008270FF">
        <w:rPr>
          <w:rFonts w:cstheme="minorHAnsi"/>
          <w:highlight w:val="cyan"/>
        </w:rPr>
        <w:t xml:space="preserve"> </w:t>
      </w:r>
      <w:r w:rsidR="00CD2B91" w:rsidRPr="008270FF">
        <w:rPr>
          <w:rFonts w:cstheme="minorHAnsi"/>
          <w:b/>
          <w:highlight w:val="cyan"/>
        </w:rPr>
        <w:t xml:space="preserve">Na základě výsledků studií TOPARP-B, PROFOUND a TRITON2 lze říci, že výsledky léčby byly srovnatelné (ve prospěch léčby </w:t>
      </w:r>
      <w:proofErr w:type="spellStart"/>
      <w:r w:rsidR="00CD2B91" w:rsidRPr="008270FF">
        <w:rPr>
          <w:rFonts w:cstheme="minorHAnsi"/>
          <w:b/>
          <w:highlight w:val="cyan"/>
        </w:rPr>
        <w:t>PARPi</w:t>
      </w:r>
      <w:proofErr w:type="spellEnd"/>
      <w:r w:rsidR="00CD2B91" w:rsidRPr="008270FF">
        <w:rPr>
          <w:rFonts w:cstheme="minorHAnsi"/>
          <w:b/>
          <w:highlight w:val="cyan"/>
        </w:rPr>
        <w:t xml:space="preserve">) bez ohledu na hodnocení mutace </w:t>
      </w:r>
      <w:r w:rsidR="00CD2B91" w:rsidRPr="008270FF">
        <w:rPr>
          <w:rFonts w:cstheme="minorHAnsi"/>
          <w:b/>
          <w:i/>
          <w:highlight w:val="cyan"/>
        </w:rPr>
        <w:t>BRCA1/2</w:t>
      </w:r>
      <w:r w:rsidR="00CD2B91" w:rsidRPr="008270FF">
        <w:rPr>
          <w:rFonts w:cstheme="minorHAnsi"/>
          <w:b/>
          <w:highlight w:val="cyan"/>
        </w:rPr>
        <w:t xml:space="preserve"> jako zárodečné nebo somatické</w:t>
      </w:r>
      <w:r w:rsidR="00CD2B91" w:rsidRPr="008270FF">
        <w:rPr>
          <w:rFonts w:cstheme="minorHAnsi"/>
          <w:b/>
          <w:highlight w:val="cyan"/>
          <w:vertAlign w:val="superscript"/>
        </w:rPr>
        <w:t>62</w:t>
      </w:r>
      <w:r w:rsidR="00CD2B91" w:rsidRPr="008270FF">
        <w:rPr>
          <w:rFonts w:cstheme="minorHAnsi"/>
          <w:highlight w:val="cyan"/>
        </w:rPr>
        <w:t xml:space="preserve">. </w:t>
      </w:r>
      <w:r w:rsidR="00CD2B91" w:rsidRPr="008270FF">
        <w:rPr>
          <w:rFonts w:cstheme="minorHAnsi"/>
          <w:b/>
          <w:highlight w:val="cyan"/>
        </w:rPr>
        <w:t>Data ze studie  PROFOUND s </w:t>
      </w:r>
      <w:proofErr w:type="spellStart"/>
      <w:r w:rsidR="00CD2B91" w:rsidRPr="008270FF">
        <w:rPr>
          <w:rFonts w:cstheme="minorHAnsi"/>
          <w:b/>
          <w:highlight w:val="cyan"/>
        </w:rPr>
        <w:t>olaparibem</w:t>
      </w:r>
      <w:proofErr w:type="spellEnd"/>
      <w:r w:rsidR="00CD2B91" w:rsidRPr="008270FF">
        <w:rPr>
          <w:rFonts w:cstheme="minorHAnsi"/>
          <w:b/>
          <w:highlight w:val="cyan"/>
        </w:rPr>
        <w:t xml:space="preserve"> také naznačují, že byl přínos přežití bez rentgenové progrese jak u pacientů dosud neléčených </w:t>
      </w:r>
      <w:proofErr w:type="spellStart"/>
      <w:r w:rsidR="00CD2B91" w:rsidRPr="008270FF">
        <w:rPr>
          <w:rFonts w:cstheme="minorHAnsi"/>
          <w:b/>
          <w:highlight w:val="cyan"/>
        </w:rPr>
        <w:t>taxany</w:t>
      </w:r>
      <w:proofErr w:type="spellEnd"/>
      <w:r w:rsidR="00CD2B91" w:rsidRPr="008270FF">
        <w:rPr>
          <w:rFonts w:cstheme="minorHAnsi"/>
          <w:b/>
          <w:highlight w:val="cyan"/>
        </w:rPr>
        <w:t xml:space="preserve">, tak u pacientů, u kterých došlo k progresi při užívání </w:t>
      </w:r>
      <w:proofErr w:type="spellStart"/>
      <w:r w:rsidR="00CD2B91" w:rsidRPr="008270FF">
        <w:rPr>
          <w:rFonts w:cstheme="minorHAnsi"/>
          <w:b/>
          <w:highlight w:val="cyan"/>
        </w:rPr>
        <w:t>taxanů</w:t>
      </w:r>
      <w:proofErr w:type="spellEnd"/>
      <w:r w:rsidR="00CD2B91" w:rsidRPr="008270FF">
        <w:rPr>
          <w:rFonts w:cstheme="minorHAnsi"/>
          <w:b/>
          <w:highlight w:val="cyan"/>
        </w:rPr>
        <w:t>, podobné výsledky byly také zaznamenány ve studii TRITON3 s rucaparibem</w:t>
      </w:r>
      <w:r w:rsidR="00CD2B91" w:rsidRPr="008270FF">
        <w:rPr>
          <w:rFonts w:cstheme="minorHAnsi"/>
          <w:b/>
          <w:highlight w:val="cyan"/>
          <w:vertAlign w:val="superscript"/>
        </w:rPr>
        <w:t>62</w:t>
      </w:r>
      <w:r w:rsidR="00CD2B91" w:rsidRPr="008270FF">
        <w:rPr>
          <w:rFonts w:cstheme="minorHAnsi"/>
          <w:highlight w:val="cyan"/>
        </w:rPr>
        <w:t xml:space="preserve"> – viz Přílohu č. 17.</w:t>
      </w:r>
    </w:p>
    <w:p w:rsidR="000A048D" w:rsidRPr="00A642A2" w:rsidRDefault="000A048D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B10164" w:rsidRPr="0069053E" w:rsidRDefault="0069053E" w:rsidP="00B10164">
      <w:pPr>
        <w:spacing w:after="0"/>
        <w:jc w:val="both"/>
        <w:rPr>
          <w:rFonts w:cstheme="minorHAnsi"/>
          <w:b/>
          <w:u w:val="single"/>
        </w:rPr>
      </w:pPr>
      <w:r w:rsidRPr="0069053E">
        <w:rPr>
          <w:rFonts w:cstheme="minorHAnsi"/>
          <w:b/>
          <w:u w:val="single"/>
        </w:rPr>
        <w:t>D</w:t>
      </w:r>
      <w:r w:rsidR="00B10164" w:rsidRPr="0069053E">
        <w:rPr>
          <w:rFonts w:cstheme="minorHAnsi"/>
          <w:b/>
          <w:u w:val="single"/>
        </w:rPr>
        <w:t xml:space="preserve">oporučení </w:t>
      </w:r>
      <w:r w:rsidRPr="0069053E">
        <w:rPr>
          <w:rFonts w:cstheme="minorHAnsi"/>
          <w:b/>
          <w:u w:val="single"/>
        </w:rPr>
        <w:t>systém</w:t>
      </w:r>
      <w:r w:rsidR="00477D1A">
        <w:rPr>
          <w:rFonts w:cstheme="minorHAnsi"/>
          <w:b/>
          <w:u w:val="single"/>
        </w:rPr>
        <w:t>.</w:t>
      </w:r>
      <w:r w:rsidRPr="0069053E">
        <w:rPr>
          <w:rFonts w:cstheme="minorHAnsi"/>
          <w:b/>
          <w:u w:val="single"/>
        </w:rPr>
        <w:t xml:space="preserve"> terapie u </w:t>
      </w:r>
      <w:proofErr w:type="spellStart"/>
      <w:r w:rsidRPr="0069053E">
        <w:rPr>
          <w:rFonts w:cstheme="minorHAnsi"/>
          <w:b/>
          <w:u w:val="single"/>
        </w:rPr>
        <w:t>mCRPC</w:t>
      </w:r>
      <w:proofErr w:type="spellEnd"/>
      <w:r w:rsidRPr="0069053E">
        <w:rPr>
          <w:rFonts w:cstheme="minorHAnsi"/>
          <w:b/>
          <w:u w:val="single"/>
        </w:rPr>
        <w:t xml:space="preserve"> pro adenokarcinom </w:t>
      </w:r>
      <w:r w:rsidR="00B10164" w:rsidRPr="0069053E">
        <w:rPr>
          <w:rFonts w:cstheme="minorHAnsi"/>
          <w:b/>
          <w:u w:val="single"/>
        </w:rPr>
        <w:t>dle NCCN</w:t>
      </w:r>
      <w:r w:rsidRPr="0069053E">
        <w:rPr>
          <w:rFonts w:cstheme="minorHAnsi"/>
          <w:b/>
          <w:u w:val="single"/>
        </w:rPr>
        <w:t xml:space="preserve"> verze 4. 2024</w:t>
      </w:r>
      <w:r w:rsidR="00477D1A">
        <w:rPr>
          <w:rFonts w:cstheme="minorHAnsi"/>
          <w:b/>
          <w:u w:val="single"/>
        </w:rPr>
        <w:t xml:space="preserve"> (upraveno dle zdroje pod pozn. 24)</w:t>
      </w:r>
      <w:r w:rsidRPr="0069053E">
        <w:rPr>
          <w:rFonts w:cstheme="minorHAnsi"/>
          <w:b/>
          <w:u w:val="single"/>
        </w:rPr>
        <w:t>:</w:t>
      </w:r>
    </w:p>
    <w:p w:rsidR="008270FF" w:rsidRDefault="0069053E">
      <w:pPr>
        <w:spacing w:after="0"/>
        <w:jc w:val="both"/>
        <w:rPr>
          <w:sz w:val="18"/>
          <w:szCs w:val="18"/>
        </w:rPr>
      </w:pPr>
      <w:r>
        <w:rPr>
          <w:rFonts w:cstheme="minorHAnsi"/>
          <w:sz w:val="18"/>
          <w:szCs w:val="18"/>
        </w:rPr>
        <w:t>(</w:t>
      </w:r>
      <w:r w:rsidR="00BB5888" w:rsidRPr="0069053E">
        <w:rPr>
          <w:rFonts w:cstheme="minorHAnsi"/>
          <w:sz w:val="18"/>
          <w:szCs w:val="18"/>
        </w:rPr>
        <w:t>D</w:t>
      </w:r>
      <w:r w:rsidR="00B10164" w:rsidRPr="0069053E">
        <w:rPr>
          <w:rFonts w:cstheme="minorHAnsi"/>
          <w:sz w:val="18"/>
          <w:szCs w:val="18"/>
        </w:rPr>
        <w:t xml:space="preserve">oporučení dle </w:t>
      </w:r>
      <w:proofErr w:type="spellStart"/>
      <w:r w:rsidR="00B10164" w:rsidRPr="0069053E">
        <w:rPr>
          <w:rFonts w:cstheme="minorHAnsi"/>
          <w:sz w:val="18"/>
          <w:szCs w:val="18"/>
        </w:rPr>
        <w:t>UpToDate</w:t>
      </w:r>
      <w:proofErr w:type="spellEnd"/>
      <w:r w:rsidR="00B10164" w:rsidRPr="0069053E">
        <w:rPr>
          <w:rFonts w:cstheme="minorHAnsi"/>
          <w:sz w:val="18"/>
          <w:szCs w:val="18"/>
        </w:rPr>
        <w:t xml:space="preserve"> je podobné (</w:t>
      </w:r>
      <w:r w:rsidR="00B10164" w:rsidRPr="00063800">
        <w:rPr>
          <w:rFonts w:cstheme="minorHAnsi"/>
          <w:sz w:val="18"/>
          <w:szCs w:val="18"/>
        </w:rPr>
        <w:t>viz Přílohu č.</w:t>
      </w:r>
      <w:r w:rsidR="00063800">
        <w:rPr>
          <w:rFonts w:cstheme="minorHAnsi"/>
          <w:sz w:val="18"/>
          <w:szCs w:val="18"/>
        </w:rPr>
        <w:t xml:space="preserve"> 20</w:t>
      </w:r>
      <w:r w:rsidR="00B10164" w:rsidRPr="0069053E">
        <w:rPr>
          <w:rFonts w:cstheme="minorHAnsi"/>
          <w:sz w:val="18"/>
          <w:szCs w:val="18"/>
        </w:rPr>
        <w:t xml:space="preserve"> </w:t>
      </w:r>
      <w:r w:rsidR="00E753AE" w:rsidRPr="0069053E">
        <w:rPr>
          <w:rFonts w:cstheme="minorHAnsi"/>
          <w:sz w:val="18"/>
          <w:szCs w:val="18"/>
        </w:rPr>
        <w:t xml:space="preserve">– uvádí i možnost </w:t>
      </w:r>
      <w:proofErr w:type="spellStart"/>
      <w:r w:rsidR="00E753AE" w:rsidRPr="0069053E">
        <w:rPr>
          <w:rFonts w:cstheme="minorHAnsi"/>
          <w:sz w:val="18"/>
          <w:szCs w:val="18"/>
        </w:rPr>
        <w:t>sekvenace</w:t>
      </w:r>
      <w:proofErr w:type="spellEnd"/>
      <w:r w:rsidR="00477D1A">
        <w:rPr>
          <w:rFonts w:cstheme="minorHAnsi"/>
          <w:sz w:val="18"/>
          <w:szCs w:val="18"/>
        </w:rPr>
        <w:t xml:space="preserve"> ARPI a pak </w:t>
      </w:r>
      <w:proofErr w:type="spellStart"/>
      <w:r w:rsidR="00477D1A">
        <w:rPr>
          <w:rFonts w:cstheme="minorHAnsi"/>
          <w:sz w:val="18"/>
          <w:szCs w:val="18"/>
        </w:rPr>
        <w:t>PARPi</w:t>
      </w:r>
      <w:proofErr w:type="spellEnd"/>
      <w:r w:rsidR="00477D1A">
        <w:rPr>
          <w:rFonts w:cstheme="minorHAnsi"/>
          <w:sz w:val="18"/>
          <w:szCs w:val="18"/>
        </w:rPr>
        <w:t xml:space="preserve"> – </w:t>
      </w:r>
      <w:r w:rsidR="00477D1A" w:rsidRPr="00477D1A">
        <w:rPr>
          <w:rFonts w:cstheme="minorHAnsi"/>
          <w:b/>
          <w:sz w:val="18"/>
          <w:szCs w:val="18"/>
        </w:rPr>
        <w:t>viz informace uvedené výše v tomto odstavc</w:t>
      </w:r>
      <w:r w:rsidR="00477D1A">
        <w:rPr>
          <w:rFonts w:cstheme="minorHAnsi"/>
          <w:sz w:val="18"/>
          <w:szCs w:val="18"/>
        </w:rPr>
        <w:t>i!</w:t>
      </w:r>
      <w:r w:rsidR="00B10164" w:rsidRPr="0069053E">
        <w:rPr>
          <w:rFonts w:cstheme="minorHAnsi"/>
          <w:sz w:val="18"/>
          <w:szCs w:val="18"/>
        </w:rPr>
        <w:t>), do</w:t>
      </w:r>
      <w:r w:rsidR="00BB5888" w:rsidRPr="0069053E">
        <w:rPr>
          <w:rFonts w:cstheme="minorHAnsi"/>
          <w:sz w:val="18"/>
          <w:szCs w:val="18"/>
        </w:rPr>
        <w:t>poručení v ČR</w:t>
      </w:r>
      <w:r w:rsidR="00BB5888" w:rsidRPr="0069053E">
        <w:rPr>
          <w:rFonts w:cstheme="minorHAnsi"/>
          <w:sz w:val="18"/>
          <w:szCs w:val="18"/>
          <w:vertAlign w:val="superscript"/>
        </w:rPr>
        <w:t>42</w:t>
      </w:r>
      <w:r w:rsidR="00BB5888" w:rsidRPr="0069053E">
        <w:rPr>
          <w:rFonts w:cstheme="minorHAnsi"/>
          <w:sz w:val="18"/>
          <w:szCs w:val="18"/>
        </w:rPr>
        <w:t xml:space="preserve"> </w:t>
      </w:r>
      <w:r w:rsidR="00B10164" w:rsidRPr="0069053E">
        <w:rPr>
          <w:rFonts w:cstheme="minorHAnsi"/>
          <w:sz w:val="18"/>
          <w:szCs w:val="18"/>
        </w:rPr>
        <w:t>je pro pacienty bez předchozího použití ARPI podobné (</w:t>
      </w:r>
      <w:r w:rsidR="00B10164" w:rsidRPr="00063800">
        <w:rPr>
          <w:rFonts w:cstheme="minorHAnsi"/>
          <w:sz w:val="18"/>
          <w:szCs w:val="18"/>
        </w:rPr>
        <w:t>viz Přílohu č.</w:t>
      </w:r>
      <w:r w:rsidR="00063800">
        <w:rPr>
          <w:rFonts w:cstheme="minorHAnsi"/>
          <w:sz w:val="18"/>
          <w:szCs w:val="18"/>
        </w:rPr>
        <w:t xml:space="preserve"> 21</w:t>
      </w:r>
      <w:r w:rsidR="00B10164" w:rsidRPr="0069053E">
        <w:rPr>
          <w:rFonts w:cstheme="minorHAnsi"/>
          <w:sz w:val="18"/>
          <w:szCs w:val="18"/>
        </w:rPr>
        <w:t>),</w:t>
      </w:r>
      <w:r w:rsidR="00E753AE" w:rsidRPr="0069053E">
        <w:rPr>
          <w:rFonts w:cstheme="minorHAnsi"/>
          <w:sz w:val="18"/>
          <w:szCs w:val="18"/>
        </w:rPr>
        <w:t xml:space="preserve"> </w:t>
      </w:r>
      <w:r w:rsidR="00BB5888" w:rsidRPr="0069053E">
        <w:rPr>
          <w:rFonts w:cstheme="minorHAnsi"/>
          <w:sz w:val="18"/>
          <w:szCs w:val="18"/>
        </w:rPr>
        <w:t xml:space="preserve">podrobněji </w:t>
      </w:r>
      <w:r w:rsidR="00B10164" w:rsidRPr="0069053E">
        <w:rPr>
          <w:rFonts w:cstheme="minorHAnsi"/>
          <w:sz w:val="18"/>
          <w:szCs w:val="18"/>
        </w:rPr>
        <w:t xml:space="preserve">ale </w:t>
      </w:r>
      <w:r w:rsidR="00BB5888" w:rsidRPr="0069053E">
        <w:rPr>
          <w:rFonts w:cstheme="minorHAnsi"/>
          <w:sz w:val="18"/>
          <w:szCs w:val="18"/>
        </w:rPr>
        <w:t xml:space="preserve">neřeší situaci podávání </w:t>
      </w:r>
      <w:proofErr w:type="spellStart"/>
      <w:r w:rsidR="00BB5888" w:rsidRPr="0069053E">
        <w:rPr>
          <w:rFonts w:cstheme="minorHAnsi"/>
          <w:sz w:val="18"/>
          <w:szCs w:val="18"/>
        </w:rPr>
        <w:t>PARPi</w:t>
      </w:r>
      <w:proofErr w:type="spellEnd"/>
      <w:r w:rsidR="00BB5888" w:rsidRPr="0069053E">
        <w:rPr>
          <w:rFonts w:cstheme="minorHAnsi"/>
          <w:sz w:val="18"/>
          <w:szCs w:val="18"/>
        </w:rPr>
        <w:t xml:space="preserve"> </w:t>
      </w:r>
      <w:r w:rsidR="00B10164" w:rsidRPr="0069053E">
        <w:rPr>
          <w:rFonts w:cstheme="minorHAnsi"/>
          <w:sz w:val="18"/>
          <w:szCs w:val="18"/>
        </w:rPr>
        <w:t xml:space="preserve">v 1. linii </w:t>
      </w:r>
      <w:proofErr w:type="spellStart"/>
      <w:r w:rsidR="00B10164" w:rsidRPr="0069053E">
        <w:rPr>
          <w:rFonts w:cstheme="minorHAnsi"/>
          <w:sz w:val="18"/>
          <w:szCs w:val="18"/>
        </w:rPr>
        <w:t>mCRPC</w:t>
      </w:r>
      <w:proofErr w:type="spellEnd"/>
      <w:r w:rsidR="00B10164" w:rsidRPr="0069053E">
        <w:rPr>
          <w:rFonts w:cstheme="minorHAnsi"/>
          <w:sz w:val="18"/>
          <w:szCs w:val="18"/>
        </w:rPr>
        <w:t xml:space="preserve"> po předchozím užívání ARPI u HSCP!</w:t>
      </w:r>
      <w:r w:rsidR="00A642A2">
        <w:rPr>
          <w:rFonts w:cstheme="minorHAnsi"/>
          <w:sz w:val="18"/>
          <w:szCs w:val="18"/>
        </w:rPr>
        <w:t xml:space="preserve"> </w:t>
      </w:r>
      <w:r w:rsidR="00A642A2">
        <w:rPr>
          <w:b/>
          <w:color w:val="FF0000"/>
          <w:sz w:val="18"/>
          <w:szCs w:val="18"/>
        </w:rPr>
        <w:t>Autorem této FE analýzy byly červeně zvýrazněny informace týkající se hodnoceného LP AKEEGA</w:t>
      </w:r>
      <w:r w:rsidR="00A642A2">
        <w:rPr>
          <w:sz w:val="18"/>
          <w:szCs w:val="18"/>
        </w:rPr>
        <w:t xml:space="preserve">, </w:t>
      </w:r>
      <w:r w:rsidR="00A130C8">
        <w:rPr>
          <w:b/>
          <w:color w:val="0070C0"/>
          <w:sz w:val="18"/>
          <w:szCs w:val="18"/>
        </w:rPr>
        <w:t xml:space="preserve">modře pak potenciální </w:t>
      </w:r>
      <w:proofErr w:type="spellStart"/>
      <w:r w:rsidR="00A130C8">
        <w:rPr>
          <w:b/>
          <w:color w:val="0070C0"/>
          <w:sz w:val="18"/>
          <w:szCs w:val="18"/>
        </w:rPr>
        <w:t>komparát</w:t>
      </w:r>
      <w:r w:rsidR="00A642A2" w:rsidRPr="00A642A2">
        <w:rPr>
          <w:b/>
          <w:color w:val="0070C0"/>
          <w:sz w:val="18"/>
          <w:szCs w:val="18"/>
        </w:rPr>
        <w:t>orové</w:t>
      </w:r>
      <w:proofErr w:type="spellEnd"/>
      <w:r w:rsidR="00A642A2" w:rsidRPr="00A642A2">
        <w:rPr>
          <w:b/>
          <w:color w:val="0070C0"/>
          <w:sz w:val="18"/>
          <w:szCs w:val="18"/>
        </w:rPr>
        <w:t xml:space="preserve"> režimy</w:t>
      </w:r>
      <w:r w:rsidR="00D140C2">
        <w:rPr>
          <w:b/>
          <w:color w:val="0070C0"/>
          <w:sz w:val="18"/>
          <w:szCs w:val="18"/>
        </w:rPr>
        <w:t xml:space="preserve"> pro pacienty s </w:t>
      </w:r>
      <w:r w:rsidR="00D140C2" w:rsidRPr="00D140C2">
        <w:rPr>
          <w:b/>
          <w:i/>
          <w:color w:val="0070C0"/>
          <w:sz w:val="18"/>
          <w:szCs w:val="18"/>
        </w:rPr>
        <w:t>BRCA</w:t>
      </w:r>
      <w:r w:rsidR="00D140C2">
        <w:rPr>
          <w:b/>
          <w:color w:val="0070C0"/>
          <w:sz w:val="18"/>
          <w:szCs w:val="18"/>
        </w:rPr>
        <w:t xml:space="preserve"> mutací</w:t>
      </w:r>
      <w:r w:rsidR="00A642A2" w:rsidRPr="00A642A2">
        <w:rPr>
          <w:b/>
          <w:color w:val="0070C0"/>
          <w:sz w:val="18"/>
          <w:szCs w:val="18"/>
        </w:rPr>
        <w:t>!</w:t>
      </w:r>
      <w:r w:rsidR="00A642A2">
        <w:rPr>
          <w:sz w:val="18"/>
          <w:szCs w:val="18"/>
        </w:rPr>
        <w:t>)</w:t>
      </w:r>
    </w:p>
    <w:p w:rsidR="00477D1A" w:rsidRPr="00477D1A" w:rsidRDefault="00477D1A">
      <w:pPr>
        <w:spacing w:after="0"/>
        <w:jc w:val="both"/>
        <w:rPr>
          <w:sz w:val="4"/>
          <w:szCs w:val="4"/>
        </w:rPr>
      </w:pPr>
    </w:p>
    <w:p w:rsidR="00E753AE" w:rsidRDefault="00D140C2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292" cy="2044461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0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97" w:rsidRDefault="00E11D58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2087" cy="3390181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3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97" w:rsidRDefault="00E11D58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748" cy="1984076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9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97" w:rsidRDefault="00A10497">
      <w:pPr>
        <w:spacing w:after="0"/>
        <w:jc w:val="both"/>
        <w:rPr>
          <w:rFonts w:cstheme="minorHAnsi"/>
          <w:b/>
        </w:rPr>
      </w:pPr>
    </w:p>
    <w:p w:rsidR="000A048D" w:rsidRPr="008A4224" w:rsidRDefault="008A4224">
      <w:pPr>
        <w:spacing w:after="0"/>
        <w:jc w:val="both"/>
        <w:rPr>
          <w:rFonts w:cstheme="minorHAnsi"/>
          <w:shd w:val="clear" w:color="auto" w:fill="FFFFFF"/>
        </w:rPr>
      </w:pPr>
      <w:r w:rsidRPr="008A4224">
        <w:rPr>
          <w:rFonts w:cstheme="minorHAnsi"/>
          <w:u w:val="single"/>
          <w:shd w:val="clear" w:color="auto" w:fill="FFFFFF"/>
        </w:rPr>
        <w:lastRenderedPageBreak/>
        <w:t>Přehled aktuálně dostupných</w:t>
      </w:r>
      <w:r w:rsidR="00D403CE">
        <w:rPr>
          <w:rFonts w:cstheme="minorHAnsi"/>
          <w:u w:val="single"/>
          <w:shd w:val="clear" w:color="auto" w:fill="FFFFFF"/>
        </w:rPr>
        <w:t xml:space="preserve"> </w:t>
      </w:r>
      <w:proofErr w:type="spellStart"/>
      <w:r w:rsidRPr="008A4224">
        <w:rPr>
          <w:rFonts w:cstheme="minorHAnsi"/>
          <w:u w:val="single"/>
          <w:shd w:val="clear" w:color="auto" w:fill="FFFFFF"/>
        </w:rPr>
        <w:t>PARPi</w:t>
      </w:r>
      <w:proofErr w:type="spellEnd"/>
      <w:r w:rsidRPr="008A4224">
        <w:rPr>
          <w:rFonts w:cstheme="minorHAnsi"/>
          <w:u w:val="single"/>
          <w:shd w:val="clear" w:color="auto" w:fill="FFFFFF"/>
        </w:rPr>
        <w:t xml:space="preserve"> (viz níže pozn. 26) v ČR s jejich indikacemi a úhradami</w:t>
      </w:r>
      <w:r w:rsidR="00CD2B91" w:rsidRPr="008A4224">
        <w:rPr>
          <w:rFonts w:cstheme="minorHAnsi"/>
          <w:shd w:val="clear" w:color="auto" w:fill="FFFFFF"/>
        </w:rPr>
        <w:t xml:space="preserve">: </w:t>
      </w:r>
    </w:p>
    <w:p w:rsidR="000A048D" w:rsidRPr="005C1148" w:rsidRDefault="000A048D">
      <w:pPr>
        <w:spacing w:after="0"/>
        <w:jc w:val="both"/>
        <w:rPr>
          <w:rFonts w:cstheme="minorHAnsi"/>
          <w:sz w:val="2"/>
          <w:szCs w:val="2"/>
          <w:shd w:val="clear" w:color="auto" w:fill="FFFFFF"/>
        </w:rPr>
      </w:pPr>
    </w:p>
    <w:p w:rsidR="00A10497" w:rsidRDefault="00A10497" w:rsidP="00906BE6">
      <w:pPr>
        <w:spacing w:after="0"/>
        <w:ind w:left="283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cs-CZ"/>
        </w:rPr>
        <w:drawing>
          <wp:inline distT="0" distB="0" distL="0" distR="0" wp14:anchorId="47DFAA9D" wp14:editId="6AA1226C">
            <wp:extent cx="6438632" cy="30861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23" cy="30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D" w:rsidRDefault="00CD2B91">
      <w:pPr>
        <w:tabs>
          <w:tab w:val="left" w:pos="2625"/>
        </w:tabs>
        <w:spacing w:after="0"/>
        <w:jc w:val="both"/>
        <w:rPr>
          <w:rFonts w:cstheme="minorHAnsi"/>
          <w:sz w:val="10"/>
          <w:szCs w:val="10"/>
          <w:shd w:val="clear" w:color="auto" w:fill="FFFFFF"/>
        </w:rPr>
      </w:pPr>
      <w:r>
        <w:rPr>
          <w:rFonts w:cstheme="minorHAnsi"/>
          <w:sz w:val="10"/>
          <w:szCs w:val="10"/>
          <w:shd w:val="clear" w:color="auto" w:fill="FFFFFF"/>
        </w:rPr>
        <w:tab/>
      </w:r>
    </w:p>
    <w:p w:rsidR="00465753" w:rsidRPr="00906BE6" w:rsidRDefault="002962EC">
      <w:pPr>
        <w:spacing w:after="0"/>
        <w:jc w:val="both"/>
        <w:rPr>
          <w:rFonts w:cstheme="minorHAnsi"/>
          <w:b/>
          <w:sz w:val="21"/>
          <w:szCs w:val="21"/>
          <w:shd w:val="clear" w:color="auto" w:fill="FFFFFF"/>
        </w:rPr>
      </w:pP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CAVE! </w:t>
      </w:r>
      <w:proofErr w:type="gramStart"/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>žadatelé</w:t>
      </w:r>
      <w:proofErr w:type="gramEnd"/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o úhradu LP LYNPARZA</w:t>
      </w: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  <w:vertAlign w:val="superscript"/>
        </w:rPr>
        <w:t>15</w:t>
      </w: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i TALZENNA</w:t>
      </w: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  <w:vertAlign w:val="superscript"/>
        </w:rPr>
        <w:t>102</w:t>
      </w: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žádají v podmínkách úhrady o něco přísnější kritéria než stanovují schválené indikace (viz tabulka výše), konkrétně: „</w:t>
      </w:r>
      <w:r w:rsidRPr="00906BE6">
        <w:rPr>
          <w:rFonts w:cstheme="minorHAnsi"/>
          <w:b/>
          <w:i/>
          <w:sz w:val="21"/>
          <w:szCs w:val="21"/>
          <w:highlight w:val="cyan"/>
          <w:u w:val="single"/>
          <w:shd w:val="clear" w:color="auto" w:fill="FFFFFF"/>
        </w:rPr>
        <w:t>u asymptomatických či mírně symptomatických pacientů</w:t>
      </w:r>
      <w:r w:rsidR="00FF1C00"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(k tomu viz pozn. 104!)</w:t>
      </w:r>
      <w:r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</w:t>
      </w:r>
      <w:r w:rsidRPr="00906BE6">
        <w:rPr>
          <w:rFonts w:cstheme="minorHAnsi"/>
          <w:b/>
          <w:i/>
          <w:sz w:val="21"/>
          <w:szCs w:val="21"/>
          <w:highlight w:val="cyan"/>
          <w:u w:val="single"/>
          <w:shd w:val="clear" w:color="auto" w:fill="FFFFFF"/>
        </w:rPr>
        <w:t>se stavem výkonnosti dle ECOG 0-1</w:t>
      </w:r>
      <w:r w:rsidR="00094478" w:rsidRPr="00906BE6">
        <w:rPr>
          <w:rFonts w:cstheme="minorHAnsi"/>
          <w:b/>
          <w:sz w:val="21"/>
          <w:szCs w:val="21"/>
          <w:highlight w:val="cyan"/>
          <w:u w:val="single"/>
          <w:shd w:val="clear" w:color="auto" w:fill="FFFFFF"/>
        </w:rPr>
        <w:t xml:space="preserve"> (k tomu viz Přílohu č. 10)</w:t>
      </w:r>
      <w:r w:rsidRPr="00906BE6">
        <w:rPr>
          <w:rFonts w:cstheme="minorHAnsi"/>
          <w:b/>
          <w:sz w:val="21"/>
          <w:szCs w:val="21"/>
          <w:highlight w:val="cyan"/>
          <w:shd w:val="clear" w:color="auto" w:fill="FFFFFF"/>
        </w:rPr>
        <w:t>“</w:t>
      </w:r>
      <w:r w:rsidR="00E71230" w:rsidRPr="00906BE6">
        <w:rPr>
          <w:rFonts w:cstheme="minorHAnsi"/>
          <w:b/>
          <w:sz w:val="21"/>
          <w:szCs w:val="21"/>
          <w:highlight w:val="cyan"/>
          <w:shd w:val="clear" w:color="auto" w:fill="FFFFFF"/>
        </w:rPr>
        <w:t>!</w:t>
      </w:r>
      <w:r w:rsidR="00094478" w:rsidRPr="00906BE6">
        <w:rPr>
          <w:rFonts w:cstheme="minorHAnsi"/>
          <w:b/>
          <w:sz w:val="21"/>
          <w:szCs w:val="21"/>
          <w:highlight w:val="cyan"/>
          <w:shd w:val="clear" w:color="auto" w:fill="FFFFFF"/>
        </w:rPr>
        <w:t xml:space="preserve"> Viz také Přílohu č. 17 pro přehled studií s </w:t>
      </w:r>
      <w:proofErr w:type="spellStart"/>
      <w:r w:rsidR="00094478" w:rsidRPr="00906BE6">
        <w:rPr>
          <w:rFonts w:cstheme="minorHAnsi"/>
          <w:b/>
          <w:sz w:val="21"/>
          <w:szCs w:val="21"/>
          <w:highlight w:val="cyan"/>
          <w:shd w:val="clear" w:color="auto" w:fill="FFFFFF"/>
        </w:rPr>
        <w:t>PARPi</w:t>
      </w:r>
      <w:proofErr w:type="spellEnd"/>
      <w:r w:rsidR="00094478" w:rsidRPr="00906BE6">
        <w:rPr>
          <w:rFonts w:cstheme="minorHAnsi"/>
          <w:b/>
          <w:sz w:val="21"/>
          <w:szCs w:val="21"/>
          <w:highlight w:val="cyan"/>
          <w:shd w:val="clear" w:color="auto" w:fill="FFFFFF"/>
        </w:rPr>
        <w:t>.</w:t>
      </w:r>
    </w:p>
    <w:p w:rsidR="000914CD" w:rsidRPr="00906BE6" w:rsidRDefault="00E51484">
      <w:pPr>
        <w:spacing w:after="0"/>
        <w:jc w:val="both"/>
        <w:rPr>
          <w:rFonts w:cstheme="minorHAnsi"/>
          <w:sz w:val="21"/>
          <w:szCs w:val="21"/>
          <w:shd w:val="clear" w:color="auto" w:fill="FFFFFF"/>
        </w:rPr>
      </w:pPr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Ve světě se používají pro karcinom prostaty už čtyři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PARPi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: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olaparib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,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niraparib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,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talazoparib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 a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rucaparib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 (v EU ale není u LP s </w:t>
      </w:r>
      <w:proofErr w:type="spellStart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>rucaparibem</w:t>
      </w:r>
      <w:proofErr w:type="spellEnd"/>
      <w:r w:rsidRPr="00906BE6">
        <w:rPr>
          <w:rFonts w:cstheme="minorHAnsi"/>
          <w:b/>
          <w:bCs/>
          <w:sz w:val="21"/>
          <w:szCs w:val="21"/>
          <w:shd w:val="clear" w:color="auto" w:fill="FFFFFF"/>
        </w:rPr>
        <w:t xml:space="preserve"> schválená indikace pro karcinom prostaty!).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Olaparib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a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rucaparib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se podávají perorálně 2x denně, a jsou rozsáhle metabolizovány enzymy cytochromu P450, jsou také inhibitory několika enzymů a lékových transportérů s vysokým rizikem lékových interakcí.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Niraparib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a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talazoparib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se podávají perorálně 1x denně s nižším rizikem u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niraparibu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a minimálním rizikem u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talazoparibu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způsobovat lékové interakce. Všechny 4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PARPi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vykazují střední až vysokou </w:t>
      </w:r>
      <w:proofErr w:type="spellStart"/>
      <w:r w:rsidRPr="00906BE6">
        <w:rPr>
          <w:rFonts w:cstheme="minorHAnsi"/>
          <w:sz w:val="21"/>
          <w:szCs w:val="21"/>
          <w:shd w:val="clear" w:color="auto" w:fill="FFFFFF"/>
        </w:rPr>
        <w:t>interindividuální</w:t>
      </w:r>
      <w:proofErr w:type="spellEnd"/>
      <w:r w:rsidRPr="00906BE6">
        <w:rPr>
          <w:rFonts w:cstheme="minorHAnsi"/>
          <w:sz w:val="21"/>
          <w:szCs w:val="21"/>
          <w:shd w:val="clear" w:color="auto" w:fill="FFFFFF"/>
        </w:rPr>
        <w:t xml:space="preserve"> variabilitu v plazmatické expozici.</w:t>
      </w:r>
      <w:r w:rsidR="00234156" w:rsidRPr="00906BE6">
        <w:rPr>
          <w:rFonts w:cstheme="minorHAnsi"/>
          <w:sz w:val="21"/>
          <w:szCs w:val="21"/>
          <w:shd w:val="clear" w:color="auto" w:fill="FFFFFF"/>
        </w:rPr>
        <w:t xml:space="preserve"> </w:t>
      </w:r>
      <w:proofErr w:type="spellStart"/>
      <w:r w:rsidR="00234156" w:rsidRPr="00906BE6">
        <w:rPr>
          <w:b/>
          <w:sz w:val="21"/>
          <w:szCs w:val="21"/>
        </w:rPr>
        <w:t>PARPi</w:t>
      </w:r>
      <w:proofErr w:type="spellEnd"/>
      <w:r w:rsidR="00234156" w:rsidRPr="00906BE6">
        <w:rPr>
          <w:b/>
          <w:sz w:val="21"/>
          <w:szCs w:val="21"/>
        </w:rPr>
        <w:t xml:space="preserve"> mají tedy řadu překrývajících se charakteristik, ale také mají své jedinečné vlastnosti! – viz podrobněji níže pozn. 26 a Přílohu č. 24</w:t>
      </w:r>
      <w:r w:rsidR="00234156" w:rsidRPr="00906BE6">
        <w:rPr>
          <w:sz w:val="21"/>
          <w:szCs w:val="21"/>
        </w:rPr>
        <w:t xml:space="preserve">. </w:t>
      </w:r>
      <w:r w:rsidRPr="00906BE6">
        <w:rPr>
          <w:rFonts w:cstheme="minorHAnsi"/>
          <w:sz w:val="21"/>
          <w:szCs w:val="21"/>
          <w:shd w:val="clear" w:color="auto" w:fill="FFFFFF"/>
          <w:vertAlign w:val="superscript"/>
        </w:rPr>
        <w:t>128</w:t>
      </w:r>
    </w:p>
    <w:p w:rsidR="00094478" w:rsidRDefault="007D653E">
      <w:pPr>
        <w:spacing w:after="0"/>
        <w:jc w:val="both"/>
        <w:rPr>
          <w:rFonts w:cstheme="minorHAnsi"/>
          <w:shd w:val="clear" w:color="auto" w:fill="FFFFFF"/>
        </w:rPr>
      </w:pPr>
      <w:r>
        <w:rPr>
          <w:noProof/>
        </w:rPr>
        <w:pict>
          <v:rect id="Textové pole 37" o:spid="_x0000_s1037" style="position:absolute;left:0;text-align:left;margin-left:.2pt;margin-top:-.05pt;width:540.75pt;height:270.35pt;z-index:130;visibility:visible;mso-wrap-style:square;mso-wrap-distance-left:.3pt;mso-wrap-distance-top:.3pt;mso-wrap-distance-right:.2pt;mso-wrap-distance-bottom:.2pt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" o:allowincell="f" fillcolor="yellow" strokeweight=".5pt">
            <v:stroke joinstyle="round"/>
            <v:textbox>
              <w:txbxContent>
                <w:p w:rsidR="000070EE" w:rsidRDefault="000070EE" w:rsidP="00EF2B2F">
                  <w:pPr>
                    <w:spacing w:after="0"/>
                    <w:jc w:val="both"/>
                    <w:rPr>
                      <w:rFonts w:cstheme="minorHAnsi"/>
                      <w:shd w:val="clear" w:color="auto" w:fill="FFFFFF"/>
                    </w:rPr>
                  </w:pP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Na základě výše uvedených informací </w:t>
                  </w:r>
                  <w:r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(a informací v Přílohách 17 a 27) 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byly jako komparátory k hodnocenému LP AKEEGA v indikaci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u pac</w:t>
                  </w:r>
                  <w:r w:rsidR="004A4645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ientů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s mutacemi </w:t>
                  </w:r>
                  <w:r w:rsidRPr="000A1178">
                    <w:rPr>
                      <w:rFonts w:cstheme="minorHAnsi"/>
                      <w:b/>
                      <w:i/>
                      <w:highlight w:val="yellow"/>
                      <w:u w:val="single"/>
                      <w:shd w:val="clear" w:color="auto" w:fill="FFFFFF"/>
                    </w:rPr>
                    <w:t>BRCA1/2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>níže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pozn. 12)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v 1. linii, u kterých není klinicky indikována chemoterapie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>níže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pozn. 5)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, a kteří neužívali ARPI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níže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pozn. 16)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u </w:t>
                  </w:r>
                  <w:proofErr w:type="spellStart"/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nmCRPC</w:t>
                  </w:r>
                  <w:proofErr w:type="spellEnd"/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Pr="003A1DE7">
                    <w:rPr>
                      <w:rFonts w:cstheme="minorHAnsi"/>
                      <w:highlight w:val="yellow"/>
                      <w:shd w:val="clear" w:color="auto" w:fill="FFFFFF"/>
                    </w:rPr>
                    <w:t>(viz níže pozn. 49)</w:t>
                  </w:r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či </w:t>
                  </w:r>
                  <w:proofErr w:type="spellStart"/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mHSPC</w:t>
                  </w:r>
                  <w:proofErr w:type="spellEnd"/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Pr="003A1DE7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níže Příloha č. 7), </w:t>
                  </w:r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s hodnotou v BPI-SF otázce č. #3 &lt; 4 (tj. asymptomatičtí či mírně symptomatičtí pacienti</w:t>
                  </w:r>
                  <w:r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- viz Přílohu č. 32 a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>níže</w:t>
                  </w:r>
                  <w:r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pozn. 104), </w:t>
                  </w:r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s ECOG 0-1</w:t>
                  </w:r>
                  <w:r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(viz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níže </w:t>
                  </w:r>
                  <w:r>
                    <w:rPr>
                      <w:rFonts w:cstheme="minorHAnsi"/>
                      <w:highlight w:val="yellow"/>
                      <w:shd w:val="clear" w:color="auto" w:fill="FFFFFF"/>
                    </w:rPr>
                    <w:t>Přílohu č. 10)</w:t>
                  </w:r>
                  <w:r w:rsidRPr="003A1DE7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vybrány následující režimy</w:t>
                  </w:r>
                  <w:r w:rsidRPr="003A1DE7">
                    <w:rPr>
                      <w:rFonts w:cstheme="minorHAnsi"/>
                      <w:highlight w:val="yellow"/>
                      <w:shd w:val="clear" w:color="auto" w:fill="FFFFFF"/>
                    </w:rPr>
                    <w:t>:</w:t>
                  </w:r>
                  <w:r>
                    <w:rPr>
                      <w:rFonts w:cstheme="minorHAnsi"/>
                      <w:shd w:val="clear" w:color="auto" w:fill="FFFFFF"/>
                    </w:rPr>
                    <w:t xml:space="preserve"> </w:t>
                  </w:r>
                </w:p>
                <w:p w:rsidR="000070EE" w:rsidRPr="00EF2B2F" w:rsidRDefault="000070EE" w:rsidP="00EF2B2F">
                  <w:pPr>
                    <w:pStyle w:val="Obsahrmce"/>
                    <w:numPr>
                      <w:ilvl w:val="0"/>
                      <w:numId w:val="7"/>
                    </w:numPr>
                    <w:spacing w:after="0"/>
                    <w:jc w:val="both"/>
                    <w:rPr>
                      <w:b/>
                      <w:color w:val="000000"/>
                    </w:rPr>
                  </w:pPr>
                  <w:r w:rsidRPr="00EF2B2F">
                    <w:rPr>
                      <w:b/>
                      <w:color w:val="000000"/>
                    </w:rPr>
                    <w:t xml:space="preserve">LP LYNPARZA s LP obsahující </w:t>
                  </w:r>
                  <w:proofErr w:type="spellStart"/>
                  <w:r w:rsidRPr="00EF2B2F">
                    <w:rPr>
                      <w:b/>
                      <w:color w:val="000000"/>
                    </w:rPr>
                    <w:t>abirateron</w:t>
                  </w:r>
                  <w:proofErr w:type="spellEnd"/>
                  <w:r w:rsidRPr="00EF2B2F">
                    <w:rPr>
                      <w:b/>
                      <w:color w:val="000000"/>
                    </w:rPr>
                    <w:t xml:space="preserve"> a</w:t>
                  </w:r>
                </w:p>
                <w:p w:rsidR="000070EE" w:rsidRDefault="000070EE" w:rsidP="00EF2B2F">
                  <w:pPr>
                    <w:pStyle w:val="Obsahrmce"/>
                    <w:numPr>
                      <w:ilvl w:val="0"/>
                      <w:numId w:val="7"/>
                    </w:numPr>
                    <w:spacing w:after="0"/>
                    <w:jc w:val="both"/>
                    <w:rPr>
                      <w:b/>
                      <w:color w:val="000000"/>
                    </w:rPr>
                  </w:pPr>
                  <w:r w:rsidRPr="00EF2B2F">
                    <w:rPr>
                      <w:b/>
                      <w:color w:val="000000"/>
                    </w:rPr>
                    <w:t>LP TALZENNA s LP XTANDI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  <w:p w:rsidR="000070EE" w:rsidRPr="00EF2B2F" w:rsidRDefault="000070EE" w:rsidP="00EF2B2F">
                  <w:pPr>
                    <w:pStyle w:val="Obsahrmce"/>
                    <w:spacing w:after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Tyto komparátory budou v této FE analýze vztahovány k situaci léčby bez možnosti použít </w:t>
                  </w:r>
                  <w:proofErr w:type="spellStart"/>
                  <w:r>
                    <w:rPr>
                      <w:b/>
                      <w:color w:val="000000"/>
                    </w:rPr>
                    <w:t>PARPi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– tj. vůči </w:t>
                  </w:r>
                  <w:r w:rsidRPr="00EF2B2F">
                    <w:rPr>
                      <w:b/>
                      <w:color w:val="000000"/>
                    </w:rPr>
                    <w:t xml:space="preserve">LP obsahující </w:t>
                  </w:r>
                  <w:proofErr w:type="spellStart"/>
                  <w:r w:rsidRPr="00EF2B2F">
                    <w:rPr>
                      <w:b/>
                      <w:color w:val="000000"/>
                    </w:rPr>
                    <w:t>abirateron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nebo LP XTANDI. </w:t>
                  </w:r>
                  <w:r w:rsidRPr="00C65D2F">
                    <w:rPr>
                      <w:b/>
                      <w:color w:val="000000"/>
                      <w:u w:val="single"/>
                    </w:rPr>
                    <w:t>Viz také Přílohu č. 27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sz w:val="6"/>
                      <w:szCs w:val="6"/>
                    </w:rPr>
                  </w:pPr>
                </w:p>
                <w:p w:rsidR="000070EE" w:rsidRDefault="000070EE" w:rsidP="008D73D2">
                  <w:pPr>
                    <w:spacing w:after="0"/>
                    <w:jc w:val="both"/>
                    <w:rPr>
                      <w:rFonts w:cstheme="minorHAnsi"/>
                      <w:shd w:val="clear" w:color="auto" w:fill="FFFFFF"/>
                    </w:rPr>
                  </w:pP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Na základě výše uvedených informací byly jako komparátory k hodnocenému LP AKEEGA v indikaci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u pac</w:t>
                  </w:r>
                  <w:r w:rsidR="004A4645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ientů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s mutacemi </w:t>
                  </w:r>
                  <w:r w:rsidRPr="000A1178">
                    <w:rPr>
                      <w:rFonts w:cstheme="minorHAnsi"/>
                      <w:b/>
                      <w:i/>
                      <w:highlight w:val="yellow"/>
                      <w:u w:val="single"/>
                      <w:shd w:val="clear" w:color="auto" w:fill="FFFFFF"/>
                    </w:rPr>
                    <w:t>BRCA1/2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níže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pozn. 12)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, </w:t>
                  </w:r>
                  <w:r w:rsidR="006B00FC"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u kterých není klinicky indikována chemoterapie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>(viz níže</w:t>
                  </w:r>
                  <w:r w:rsidR="006B00FC"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pozn. 5)</w:t>
                  </w:r>
                  <w:r w:rsidR="006B00FC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, 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a kteří užívali ARPI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(viz </w:t>
                  </w:r>
                  <w:r w:rsidR="004A4645">
                    <w:rPr>
                      <w:rFonts w:cstheme="minorHAnsi"/>
                      <w:highlight w:val="yellow"/>
                      <w:shd w:val="clear" w:color="auto" w:fill="FFFFFF"/>
                    </w:rPr>
                    <w:t>níže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pozn. 16) 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u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nmCRPC</w:t>
                  </w:r>
                  <w:proofErr w:type="spellEnd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(viz níže pozn. 49)</w:t>
                  </w:r>
                  <w:r w:rsidR="006B00FC">
                    <w:rPr>
                      <w:rFonts w:cstheme="minorHAnsi"/>
                      <w:highlight w:val="yellow"/>
                      <w:shd w:val="clear" w:color="auto" w:fill="FFFFFF"/>
                    </w:rPr>
                    <w:t>,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="004A4645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u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mHSPC</w:t>
                  </w:r>
                  <w:proofErr w:type="spellEnd"/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(viz níže Příloha č. 7)</w:t>
                  </w:r>
                  <w:r w:rsidR="006B00FC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 </w:t>
                  </w:r>
                  <w:r w:rsidR="006B00FC" w:rsidRPr="006B00FC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či u </w:t>
                  </w:r>
                  <w:proofErr w:type="spellStart"/>
                  <w:r w:rsidR="006B00FC" w:rsidRPr="006B00FC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 xml:space="preserve">, </w:t>
                  </w:r>
                  <w:r w:rsidRPr="000A1178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 xml:space="preserve">případně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>docetaxel</w:t>
                  </w:r>
                  <w:proofErr w:type="spellEnd"/>
                  <w:r w:rsidRPr="000A1178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 xml:space="preserve"> u </w:t>
                  </w:r>
                  <w:proofErr w:type="spellStart"/>
                  <w:r w:rsidRPr="000A1178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>mHSPC</w:t>
                  </w:r>
                  <w:proofErr w:type="spellEnd"/>
                  <w:r w:rsidR="006B00FC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 xml:space="preserve"> či </w:t>
                  </w:r>
                  <w:proofErr w:type="spellStart"/>
                  <w:r w:rsidR="006B00FC">
                    <w:rPr>
                      <w:rFonts w:cstheme="minorHAnsi"/>
                      <w:b/>
                      <w:highlight w:val="yellow"/>
                      <w:shd w:val="clear" w:color="auto" w:fill="FFFFFF"/>
                    </w:rPr>
                    <w:t>mCRPC</w:t>
                  </w:r>
                  <w:proofErr w:type="spellEnd"/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,</w:t>
                  </w:r>
                  <w:r w:rsidRPr="000A1178">
                    <w:rPr>
                      <w:rFonts w:cstheme="minorHAnsi"/>
                      <w:b/>
                      <w:highlight w:val="yellow"/>
                      <w:u w:val="single"/>
                      <w:shd w:val="clear" w:color="auto" w:fill="FFFFFF"/>
                    </w:rPr>
                    <w:t xml:space="preserve"> vybrány následující režimy</w:t>
                  </w:r>
                  <w:r w:rsidRPr="000A1178">
                    <w:rPr>
                      <w:rFonts w:cstheme="minorHAnsi"/>
                      <w:highlight w:val="yellow"/>
                      <w:shd w:val="clear" w:color="auto" w:fill="FFFFFF"/>
                    </w:rPr>
                    <w:t>:</w:t>
                  </w:r>
                  <w:r>
                    <w:rPr>
                      <w:rFonts w:cstheme="minorHAnsi"/>
                      <w:shd w:val="clear" w:color="auto" w:fill="FFFFFF"/>
                    </w:rPr>
                    <w:t xml:space="preserve"> </w:t>
                  </w:r>
                </w:p>
                <w:p w:rsidR="000070EE" w:rsidRPr="00EF2B2F" w:rsidRDefault="000070EE" w:rsidP="00EF2B2F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jc w:val="both"/>
                    <w:rPr>
                      <w:rFonts w:cstheme="minorHAnsi"/>
                      <w:shd w:val="clear" w:color="auto" w:fill="FFFFFF"/>
                    </w:rPr>
                  </w:pPr>
                  <w:r w:rsidRPr="00EF2B2F">
                    <w:rPr>
                      <w:b/>
                      <w:color w:val="000000"/>
                    </w:rPr>
                    <w:t>LP LYNPARZA</w:t>
                  </w:r>
                  <w:r>
                    <w:rPr>
                      <w:b/>
                      <w:color w:val="000000"/>
                    </w:rPr>
                    <w:t>,</w:t>
                  </w:r>
                </w:p>
                <w:p w:rsidR="000070EE" w:rsidRPr="00EF2B2F" w:rsidRDefault="000070EE" w:rsidP="00EF2B2F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jc w:val="both"/>
                    <w:rPr>
                      <w:rFonts w:cstheme="minorHAnsi"/>
                      <w:shd w:val="clear" w:color="auto" w:fill="FFFFFF"/>
                    </w:rPr>
                  </w:pPr>
                  <w:r w:rsidRPr="00EF2B2F">
                    <w:rPr>
                      <w:b/>
                      <w:color w:val="000000"/>
                    </w:rPr>
                    <w:t>LP TALZENNA s LP XTANDI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sz w:val="8"/>
                      <w:szCs w:val="8"/>
                    </w:rPr>
                  </w:pPr>
                  <w:r>
                    <w:rPr>
                      <w:b/>
                      <w:color w:val="000000"/>
                    </w:rPr>
                    <w:t xml:space="preserve">Tyto komparátory budou v této FE analýze, ve výše uvedeném nastavení, opět vztahovány k situaci léčby bez možnosti použít </w:t>
                  </w:r>
                  <w:proofErr w:type="spellStart"/>
                  <w:r>
                    <w:rPr>
                      <w:b/>
                      <w:color w:val="000000"/>
                    </w:rPr>
                    <w:t>PARPi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– tj. vůči </w:t>
                  </w:r>
                  <w:r w:rsidRPr="00EF2B2F">
                    <w:rPr>
                      <w:b/>
                      <w:color w:val="000000"/>
                    </w:rPr>
                    <w:t>LP obsahující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</w:rPr>
                    <w:t>docetaxel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</w:rPr>
                    <w:t>kabazitaxel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 </w:t>
                  </w:r>
                  <w:r w:rsidRPr="00F04853">
                    <w:rPr>
                      <w:color w:val="000000"/>
                    </w:rPr>
                    <w:t>(</w:t>
                  </w:r>
                  <w:r>
                    <w:rPr>
                      <w:color w:val="000000"/>
                    </w:rPr>
                    <w:t xml:space="preserve">pro oba </w:t>
                  </w:r>
                  <w:r w:rsidRPr="00F04853">
                    <w:rPr>
                      <w:color w:val="000000"/>
                    </w:rPr>
                    <w:t>viz podrobněji Přílohu č. 25)</w:t>
                  </w:r>
                  <w:r w:rsidRPr="00EF2B2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 xml:space="preserve">nebo LP XOFIGO </w:t>
                  </w:r>
                  <w:r w:rsidRPr="00F04853">
                    <w:rPr>
                      <w:color w:val="000000"/>
                    </w:rPr>
                    <w:t>(viz podrobněji níže pozn. 79).</w:t>
                  </w:r>
                  <w:r>
                    <w:rPr>
                      <w:color w:val="000000"/>
                    </w:rPr>
                    <w:t xml:space="preserve"> </w:t>
                  </w:r>
                  <w:r w:rsidRPr="00C65D2F">
                    <w:rPr>
                      <w:b/>
                      <w:color w:val="000000"/>
                      <w:u w:val="single"/>
                    </w:rPr>
                    <w:t>Viz také Přílohu č. 27</w:t>
                  </w:r>
                  <w:r>
                    <w:rPr>
                      <w:b/>
                      <w:color w:val="000000"/>
                      <w:u w:val="single"/>
                    </w:rPr>
                    <w:t>.</w:t>
                  </w: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4"/>
                      <w:szCs w:val="4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ind w:left="340"/>
                    <w:jc w:val="both"/>
                    <w:rPr>
                      <w:b/>
                    </w:rPr>
                  </w:pPr>
                </w:p>
              </w:txbxContent>
            </v:textbox>
          </v:rect>
        </w:pict>
      </w:r>
    </w:p>
    <w:p w:rsidR="00A10497" w:rsidRDefault="00A10497">
      <w:pPr>
        <w:spacing w:after="0"/>
        <w:jc w:val="both"/>
        <w:rPr>
          <w:rFonts w:cstheme="minorHAnsi"/>
          <w:shd w:val="clear" w:color="auto" w:fill="FFFFFF"/>
        </w:rPr>
      </w:pPr>
    </w:p>
    <w:p w:rsidR="00A10497" w:rsidRDefault="00A10497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04C8C" w:rsidRDefault="00004C8C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Default="000A048D">
      <w:pPr>
        <w:spacing w:after="0"/>
        <w:jc w:val="both"/>
        <w:rPr>
          <w:rFonts w:cstheme="minorHAnsi"/>
          <w:shd w:val="clear" w:color="auto" w:fill="FFFFFF"/>
        </w:rPr>
      </w:pPr>
    </w:p>
    <w:p w:rsidR="000A048D" w:rsidRPr="00A14FA4" w:rsidRDefault="000A048D">
      <w:pPr>
        <w:spacing w:after="0"/>
        <w:jc w:val="both"/>
        <w:rPr>
          <w:rFonts w:cstheme="minorHAnsi"/>
          <w:sz w:val="10"/>
          <w:szCs w:val="10"/>
          <w:shd w:val="clear" w:color="auto" w:fill="FFFFFF"/>
        </w:rPr>
      </w:pPr>
    </w:p>
    <w:p w:rsidR="000547A4" w:rsidRPr="000547A4" w:rsidRDefault="000547A4">
      <w:pPr>
        <w:spacing w:after="0"/>
        <w:jc w:val="both"/>
        <w:rPr>
          <w:rFonts w:cstheme="minorHAnsi"/>
          <w:b/>
          <w:sz w:val="6"/>
          <w:szCs w:val="6"/>
          <w:highlight w:val="cyan"/>
          <w:u w:val="single"/>
          <w:shd w:val="clear" w:color="auto" w:fill="FFFFFF"/>
        </w:rPr>
      </w:pPr>
    </w:p>
    <w:p w:rsidR="000914CD" w:rsidRPr="00FE1B54" w:rsidRDefault="00094400">
      <w:pPr>
        <w:spacing w:after="0"/>
        <w:jc w:val="both"/>
        <w:rPr>
          <w:rFonts w:cstheme="minorHAnsi"/>
          <w:b/>
          <w:highlight w:val="cyan"/>
          <w:shd w:val="clear" w:color="auto" w:fill="FFFFFF"/>
        </w:rPr>
      </w:pPr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Účinnost LP AKEEGA byla stanovena v randomizované, placebem kontrolované multicentrické klinické studii fáze 3 u pacientů s </w:t>
      </w:r>
      <w:proofErr w:type="spellStart"/>
      <w:r w:rsidRPr="00FE1B54">
        <w:rPr>
          <w:rFonts w:cstheme="minorHAnsi"/>
          <w:b/>
          <w:highlight w:val="cyan"/>
          <w:u w:val="single"/>
          <w:shd w:val="clear" w:color="auto" w:fill="FFFFFF"/>
        </w:rPr>
        <w:t>mCRPC</w:t>
      </w:r>
      <w:proofErr w:type="spellEnd"/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, </w:t>
      </w:r>
      <w:r w:rsidR="00304F5F"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studii </w:t>
      </w:r>
      <w:r w:rsidRPr="00FE1B54">
        <w:rPr>
          <w:rFonts w:cstheme="minorHAnsi"/>
          <w:b/>
          <w:highlight w:val="cyan"/>
          <w:u w:val="single"/>
          <w:shd w:val="clear" w:color="auto" w:fill="FFFFFF"/>
        </w:rPr>
        <w:t>MAGNITUDE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  <w:vertAlign w:val="superscript"/>
        </w:rPr>
        <w:t>2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 – viz podrobněji Přílohu č. 17</w:t>
      </w:r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. Výše uvedené kombinované režimy </w:t>
      </w:r>
      <w:proofErr w:type="spellStart"/>
      <w:r w:rsidR="00304F5F" w:rsidRPr="00FE1B54">
        <w:rPr>
          <w:rFonts w:cstheme="minorHAnsi"/>
          <w:b/>
          <w:highlight w:val="cyan"/>
          <w:shd w:val="clear" w:color="auto" w:fill="FFFFFF"/>
        </w:rPr>
        <w:t>PARPi</w:t>
      </w:r>
      <w:proofErr w:type="spellEnd"/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s ARPI nebyly porovnávány ve studiích proti sobě, ale měly samostatné studie porovnávané jen vůči samotnému ARPI – tyto studie (kromě MAGNITUDE, také  TALAPRO-2 a </w:t>
      </w:r>
      <w:proofErr w:type="spellStart"/>
      <w:r w:rsidR="00304F5F" w:rsidRPr="00FE1B54">
        <w:rPr>
          <w:rFonts w:cstheme="minorHAnsi"/>
          <w:b/>
          <w:highlight w:val="cyan"/>
          <w:shd w:val="clear" w:color="auto" w:fill="FFFFFF"/>
        </w:rPr>
        <w:t>PROpel</w:t>
      </w:r>
      <w:proofErr w:type="spellEnd"/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– viz podrobněji Přílohu č. 17) prokázaly významné zlepšení parametru </w:t>
      </w:r>
      <w:proofErr w:type="spellStart"/>
      <w:r w:rsidR="00304F5F" w:rsidRPr="00FE1B54">
        <w:rPr>
          <w:rFonts w:cstheme="minorHAnsi"/>
          <w:b/>
          <w:highlight w:val="cyan"/>
          <w:shd w:val="clear" w:color="auto" w:fill="FFFFFF"/>
        </w:rPr>
        <w:t>rPFS</w:t>
      </w:r>
      <w:proofErr w:type="spellEnd"/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pro kombinaci </w:t>
      </w:r>
      <w:proofErr w:type="spellStart"/>
      <w:r w:rsidR="00304F5F" w:rsidRPr="00FE1B54">
        <w:rPr>
          <w:rFonts w:cstheme="minorHAnsi"/>
          <w:b/>
          <w:highlight w:val="cyan"/>
          <w:shd w:val="clear" w:color="auto" w:fill="FFFFFF"/>
        </w:rPr>
        <w:t>PARPi</w:t>
      </w:r>
      <w:proofErr w:type="spellEnd"/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s ARPI zejména u pacientů s </w:t>
      </w:r>
      <w:r w:rsidR="00304F5F" w:rsidRPr="00FE1B54">
        <w:rPr>
          <w:rFonts w:cstheme="minorHAnsi"/>
          <w:b/>
          <w:i/>
          <w:highlight w:val="cyan"/>
          <w:shd w:val="clear" w:color="auto" w:fill="FFFFFF"/>
        </w:rPr>
        <w:t>BRCA</w:t>
      </w:r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mutací (viz níže pozn. 12) či </w:t>
      </w:r>
      <w:r w:rsidR="00304F5F" w:rsidRPr="00FE1B54">
        <w:rPr>
          <w:rFonts w:cstheme="minorHAnsi"/>
          <w:b/>
          <w:i/>
          <w:highlight w:val="cyan"/>
          <w:shd w:val="clear" w:color="auto" w:fill="FFFFFF"/>
        </w:rPr>
        <w:t>HRR</w:t>
      </w:r>
      <w:r w:rsidR="00304F5F" w:rsidRPr="00FE1B54">
        <w:rPr>
          <w:rFonts w:cstheme="minorHAnsi"/>
          <w:b/>
          <w:highlight w:val="cyan"/>
          <w:shd w:val="clear" w:color="auto" w:fill="FFFFFF"/>
        </w:rPr>
        <w:t xml:space="preserve"> mutací (viz níže pozn. 14) – viz podrobněji Přílohu č. 22. </w:t>
      </w:r>
    </w:p>
    <w:p w:rsidR="003A1DE7" w:rsidRPr="00FE1B54" w:rsidRDefault="00304F5F">
      <w:pPr>
        <w:spacing w:after="0"/>
        <w:jc w:val="both"/>
        <w:rPr>
          <w:rFonts w:cstheme="minorHAnsi"/>
          <w:b/>
          <w:highlight w:val="cyan"/>
          <w:shd w:val="clear" w:color="auto" w:fill="FFFFFF"/>
        </w:rPr>
      </w:pPr>
      <w:r w:rsidRPr="00FE1B54">
        <w:rPr>
          <w:rFonts w:cstheme="minorHAnsi"/>
          <w:b/>
          <w:highlight w:val="cyan"/>
          <w:u w:val="single"/>
          <w:shd w:val="clear" w:color="auto" w:fill="FFFFFF"/>
        </w:rPr>
        <w:lastRenderedPageBreak/>
        <w:t>Hlavním omezením implementace výsledků studií PROPEL, TALAPRO-2 a MAGNITUDE v klinické praxi jsou rozdíly mezi populacemi zařazené do těchto studií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 (</w:t>
      </w:r>
      <w:r w:rsidRPr="00FE1B54">
        <w:rPr>
          <w:rFonts w:cstheme="minorHAnsi"/>
          <w:b/>
          <w:highlight w:val="cyan"/>
          <w:u w:val="single"/>
          <w:shd w:val="clear" w:color="auto" w:fill="FFFFFF"/>
        </w:rPr>
        <w:t>většinou bez předchozí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>ho ARPI)</w:t>
      </w:r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, a současnými a budoucími pacienty 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s </w:t>
      </w:r>
      <w:proofErr w:type="spellStart"/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>mCRPC</w:t>
      </w:r>
      <w:proofErr w:type="spellEnd"/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>, z nichž většina již ARPI dostává</w:t>
      </w:r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 pro léčbu </w:t>
      </w:r>
      <w:proofErr w:type="spellStart"/>
      <w:r w:rsidRPr="00FE1B54">
        <w:rPr>
          <w:rFonts w:cstheme="minorHAnsi"/>
          <w:b/>
          <w:highlight w:val="cyan"/>
          <w:u w:val="single"/>
          <w:shd w:val="clear" w:color="auto" w:fill="FFFFFF"/>
        </w:rPr>
        <w:t>mHSPC</w:t>
      </w:r>
      <w:proofErr w:type="spellEnd"/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 nebo </w:t>
      </w:r>
      <w:proofErr w:type="spellStart"/>
      <w:r w:rsidRPr="00FE1B54">
        <w:rPr>
          <w:rFonts w:cstheme="minorHAnsi"/>
          <w:b/>
          <w:highlight w:val="cyan"/>
          <w:u w:val="single"/>
          <w:shd w:val="clear" w:color="auto" w:fill="FFFFFF"/>
        </w:rPr>
        <w:t>nemetastatického</w:t>
      </w:r>
      <w:proofErr w:type="spellEnd"/>
      <w:r w:rsidRPr="00FE1B54">
        <w:rPr>
          <w:rFonts w:cstheme="minorHAnsi"/>
          <w:b/>
          <w:highlight w:val="cyan"/>
          <w:u w:val="single"/>
          <w:shd w:val="clear" w:color="auto" w:fill="FFFFFF"/>
        </w:rPr>
        <w:t xml:space="preserve"> </w:t>
      </w:r>
      <w:r w:rsidR="000914CD" w:rsidRPr="00FE1B54">
        <w:rPr>
          <w:rFonts w:cstheme="minorHAnsi"/>
          <w:b/>
          <w:highlight w:val="cyan"/>
          <w:u w:val="single"/>
          <w:shd w:val="clear" w:color="auto" w:fill="FFFFFF"/>
        </w:rPr>
        <w:t>CRPC</w:t>
      </w:r>
      <w:r w:rsidRPr="00FE1B54">
        <w:rPr>
          <w:rFonts w:cstheme="minorHAnsi"/>
          <w:b/>
          <w:highlight w:val="cyan"/>
          <w:shd w:val="clear" w:color="auto" w:fill="FFFFFF"/>
        </w:rPr>
        <w:t>. Dostupné důkazy ukazují, že léčba druhým AR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>PI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 po progresi onemocnění na předchozí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>m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 vede k omezeným 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 xml:space="preserve">léčebným </w:t>
      </w:r>
      <w:r w:rsidRPr="00FE1B54">
        <w:rPr>
          <w:rFonts w:cstheme="minorHAnsi"/>
          <w:b/>
          <w:highlight w:val="cyan"/>
          <w:shd w:val="clear" w:color="auto" w:fill="FFFFFF"/>
        </w:rPr>
        <w:t>odpovědím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 xml:space="preserve"> (viz podrobněji níže pozn. 16)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 a nebylo prokázáno, že by rezistence na AR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>PI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 mohla být překonána přidáním </w:t>
      </w:r>
      <w:proofErr w:type="spellStart"/>
      <w:r w:rsidRPr="00FE1B54">
        <w:rPr>
          <w:rFonts w:cstheme="minorHAnsi"/>
          <w:b/>
          <w:highlight w:val="cyan"/>
          <w:shd w:val="clear" w:color="auto" w:fill="FFFFFF"/>
        </w:rPr>
        <w:t>PARPi</w:t>
      </w:r>
      <w:proofErr w:type="spellEnd"/>
      <w:r w:rsidR="000914CD" w:rsidRPr="00FE1B54">
        <w:rPr>
          <w:rFonts w:cstheme="minorHAnsi"/>
          <w:b/>
          <w:highlight w:val="cyan"/>
          <w:shd w:val="clear" w:color="auto" w:fill="FFFFFF"/>
        </w:rPr>
        <w:t xml:space="preserve"> – naopak, explorativní 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analýza studie MAGNITUDE, která umožnila zahájení léčby </w:t>
      </w:r>
      <w:proofErr w:type="spellStart"/>
      <w:r w:rsidRPr="00FE1B54">
        <w:rPr>
          <w:rFonts w:cstheme="minorHAnsi"/>
          <w:b/>
          <w:highlight w:val="cyan"/>
          <w:shd w:val="clear" w:color="auto" w:fill="FFFFFF"/>
        </w:rPr>
        <w:t>abirateronem</w:t>
      </w:r>
      <w:proofErr w:type="spellEnd"/>
      <w:r w:rsidRPr="00FE1B54">
        <w:rPr>
          <w:rFonts w:cstheme="minorHAnsi"/>
          <w:b/>
          <w:highlight w:val="cyan"/>
          <w:shd w:val="clear" w:color="auto" w:fill="FFFFFF"/>
        </w:rPr>
        <w:t xml:space="preserve"> před randomizací, uvedla sníženou protinádorovou účinnost u pacientů, kteří byli na </w:t>
      </w:r>
      <w:proofErr w:type="spellStart"/>
      <w:r w:rsidRPr="00FE1B54">
        <w:rPr>
          <w:rFonts w:cstheme="minorHAnsi"/>
          <w:b/>
          <w:highlight w:val="cyan"/>
          <w:shd w:val="clear" w:color="auto" w:fill="FFFFFF"/>
        </w:rPr>
        <w:t>abirateronu</w:t>
      </w:r>
      <w:proofErr w:type="spellEnd"/>
      <w:r w:rsidRPr="00FE1B54">
        <w:rPr>
          <w:rFonts w:cstheme="minorHAnsi"/>
          <w:b/>
          <w:highlight w:val="cyan"/>
          <w:shd w:val="clear" w:color="auto" w:fill="FFFFFF"/>
        </w:rPr>
        <w:t xml:space="preserve"> </w:t>
      </w:r>
      <w:r w:rsidRPr="00FE1B54">
        <w:rPr>
          <w:rFonts w:ascii="Cambria Math" w:hAnsi="Cambria Math" w:cs="Cambria Math"/>
          <w:b/>
          <w:highlight w:val="cyan"/>
          <w:shd w:val="clear" w:color="auto" w:fill="FFFFFF"/>
        </w:rPr>
        <w:t>⩾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2–4 měsíce před zahájením léčby </w:t>
      </w:r>
      <w:proofErr w:type="spellStart"/>
      <w:r w:rsidRPr="00FE1B54">
        <w:rPr>
          <w:rFonts w:cstheme="minorHAnsi"/>
          <w:b/>
          <w:highlight w:val="cyan"/>
          <w:shd w:val="clear" w:color="auto" w:fill="FFFFFF"/>
        </w:rPr>
        <w:t>niraparibem</w:t>
      </w:r>
      <w:proofErr w:type="spellEnd"/>
      <w:r w:rsidRPr="00FE1B54">
        <w:rPr>
          <w:rFonts w:cstheme="minorHAnsi"/>
          <w:b/>
          <w:highlight w:val="cyan"/>
          <w:shd w:val="clear" w:color="auto" w:fill="FFFFFF"/>
        </w:rPr>
        <w:t xml:space="preserve">, což naznačuje, že 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>to zřejmě</w:t>
      </w:r>
      <w:r w:rsidRPr="00FE1B54">
        <w:rPr>
          <w:rFonts w:cstheme="minorHAnsi"/>
          <w:b/>
          <w:highlight w:val="cyan"/>
          <w:shd w:val="clear" w:color="auto" w:fill="FFFFFF"/>
        </w:rPr>
        <w:t xml:space="preserve"> negativně ovlivňuje potenciální synergický účinek</w:t>
      </w:r>
      <w:r w:rsidR="000914CD" w:rsidRPr="00FE1B54">
        <w:rPr>
          <w:rFonts w:cstheme="minorHAnsi"/>
          <w:b/>
          <w:highlight w:val="cyan"/>
          <w:shd w:val="clear" w:color="auto" w:fill="FFFFFF"/>
        </w:rPr>
        <w:t xml:space="preserve"> </w:t>
      </w:r>
      <w:proofErr w:type="spellStart"/>
      <w:r w:rsidR="000914CD" w:rsidRPr="00FE1B54">
        <w:rPr>
          <w:rFonts w:cstheme="minorHAnsi"/>
          <w:b/>
          <w:highlight w:val="cyan"/>
          <w:shd w:val="clear" w:color="auto" w:fill="FFFFFF"/>
        </w:rPr>
        <w:t>PARPi</w:t>
      </w:r>
      <w:proofErr w:type="spellEnd"/>
      <w:r w:rsidR="000914CD" w:rsidRPr="00FE1B54">
        <w:rPr>
          <w:rFonts w:cstheme="minorHAnsi"/>
          <w:b/>
          <w:highlight w:val="cyan"/>
          <w:shd w:val="clear" w:color="auto" w:fill="FFFFFF"/>
        </w:rPr>
        <w:t xml:space="preserve"> s </w:t>
      </w:r>
      <w:proofErr w:type="gramStart"/>
      <w:r w:rsidR="000914CD" w:rsidRPr="00FE1B54">
        <w:rPr>
          <w:rFonts w:cstheme="minorHAnsi"/>
          <w:b/>
          <w:highlight w:val="cyan"/>
          <w:shd w:val="clear" w:color="auto" w:fill="FFFFFF"/>
        </w:rPr>
        <w:t>ARPI</w:t>
      </w:r>
      <w:r w:rsidRPr="00FE1B54">
        <w:rPr>
          <w:rFonts w:cstheme="minorHAnsi"/>
          <w:b/>
          <w:highlight w:val="cyan"/>
          <w:shd w:val="clear" w:color="auto" w:fill="FFFFFF"/>
        </w:rPr>
        <w:t>.</w:t>
      </w:r>
      <w:r w:rsidR="000914CD" w:rsidRPr="00FE1B54">
        <w:rPr>
          <w:rFonts w:cstheme="minorHAnsi"/>
          <w:b/>
          <w:highlight w:val="cyan"/>
          <w:shd w:val="clear" w:color="auto" w:fill="FFFFFF"/>
          <w:vertAlign w:val="superscript"/>
        </w:rPr>
        <w:t>67</w:t>
      </w:r>
      <w:proofErr w:type="gramEnd"/>
    </w:p>
    <w:p w:rsidR="000A048D" w:rsidRDefault="000914CD">
      <w:pPr>
        <w:spacing w:after="0"/>
        <w:jc w:val="both"/>
        <w:rPr>
          <w:rFonts w:cstheme="minorHAnsi"/>
          <w:shd w:val="clear" w:color="auto" w:fill="FFFFFF"/>
        </w:rPr>
      </w:pPr>
      <w:r w:rsidRPr="00FE1B54">
        <w:rPr>
          <w:rFonts w:cstheme="minorHAnsi"/>
          <w:b/>
          <w:highlight w:val="cyan"/>
          <w:shd w:val="clear" w:color="auto" w:fill="FFFFFF"/>
        </w:rPr>
        <w:t>Pro přehledy výše uvedených a dalších studií s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 </w:t>
      </w:r>
      <w:proofErr w:type="spellStart"/>
      <w:r w:rsidRPr="00FE1B54">
        <w:rPr>
          <w:rFonts w:cstheme="minorHAnsi"/>
          <w:b/>
          <w:highlight w:val="cyan"/>
          <w:shd w:val="clear" w:color="auto" w:fill="FFFFFF"/>
        </w:rPr>
        <w:t>PARPi</w:t>
      </w:r>
      <w:proofErr w:type="spellEnd"/>
      <w:r w:rsidR="00FE1B54" w:rsidRPr="00FE1B54">
        <w:rPr>
          <w:rFonts w:cstheme="minorHAnsi"/>
          <w:b/>
          <w:highlight w:val="cyan"/>
          <w:shd w:val="clear" w:color="auto" w:fill="FFFFFF"/>
        </w:rPr>
        <w:t xml:space="preserve"> viz Přílohu</w:t>
      </w:r>
      <w:r w:rsidR="000A1178" w:rsidRPr="00FE1B54">
        <w:rPr>
          <w:rFonts w:cstheme="minorHAnsi"/>
          <w:b/>
          <w:highlight w:val="cyan"/>
          <w:shd w:val="clear" w:color="auto" w:fill="FFFFFF"/>
        </w:rPr>
        <w:t xml:space="preserve"> </w:t>
      </w:r>
      <w:r w:rsidR="009969FF" w:rsidRPr="00FE1B54">
        <w:rPr>
          <w:rFonts w:cstheme="minorHAnsi"/>
          <w:b/>
          <w:highlight w:val="cyan"/>
          <w:shd w:val="clear" w:color="auto" w:fill="FFFFFF"/>
        </w:rPr>
        <w:t>č. 17 (charakteristik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y studií a pacientů)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>,</w:t>
      </w:r>
      <w:r w:rsidR="009969FF" w:rsidRPr="00FE1B54">
        <w:rPr>
          <w:rFonts w:cstheme="minorHAnsi"/>
          <w:b/>
          <w:highlight w:val="cyan"/>
          <w:shd w:val="clear" w:color="auto" w:fill="FFFFFF"/>
        </w:rPr>
        <w:t xml:space="preserve"> 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 xml:space="preserve">Přílohu </w:t>
      </w:r>
      <w:r w:rsidR="009969FF" w:rsidRPr="00FE1B54">
        <w:rPr>
          <w:rFonts w:cstheme="minorHAnsi"/>
          <w:b/>
          <w:highlight w:val="cyan"/>
          <w:shd w:val="clear" w:color="auto" w:fill="FFFFFF"/>
        </w:rPr>
        <w:t>č. 22 (výsledky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 xml:space="preserve"> </w:t>
      </w:r>
      <w:proofErr w:type="spellStart"/>
      <w:r w:rsidR="003A1DE7" w:rsidRPr="00FE1B54">
        <w:rPr>
          <w:rFonts w:cstheme="minorHAnsi"/>
          <w:b/>
          <w:highlight w:val="cyan"/>
          <w:shd w:val="clear" w:color="auto" w:fill="FFFFFF"/>
        </w:rPr>
        <w:t>účinnost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ních</w:t>
      </w:r>
      <w:proofErr w:type="spellEnd"/>
      <w:r w:rsidR="00FE1B54" w:rsidRPr="00FE1B54">
        <w:rPr>
          <w:rFonts w:cstheme="minorHAnsi"/>
          <w:b/>
          <w:highlight w:val="cyan"/>
          <w:shd w:val="clear" w:color="auto" w:fill="FFFFFF"/>
        </w:rPr>
        <w:t xml:space="preserve"> parametrů</w:t>
      </w:r>
      <w:r w:rsidR="009969FF" w:rsidRPr="00FE1B54">
        <w:rPr>
          <w:rFonts w:cstheme="minorHAnsi"/>
          <w:b/>
          <w:highlight w:val="cyan"/>
          <w:shd w:val="clear" w:color="auto" w:fill="FFFFFF"/>
        </w:rPr>
        <w:t>)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 xml:space="preserve"> a 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Přílohu č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>. 30 (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 xml:space="preserve">srovnání 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>bezpečnost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ních parametrů</w:t>
      </w:r>
      <w:r w:rsidR="003A1DE7" w:rsidRPr="00FE1B54">
        <w:rPr>
          <w:rFonts w:cstheme="minorHAnsi"/>
          <w:b/>
          <w:highlight w:val="cyan"/>
          <w:shd w:val="clear" w:color="auto" w:fill="FFFFFF"/>
        </w:rPr>
        <w:t>)</w:t>
      </w:r>
      <w:r w:rsidR="00FE1B54" w:rsidRPr="00FE1B54">
        <w:rPr>
          <w:rFonts w:cstheme="minorHAnsi"/>
          <w:b/>
          <w:highlight w:val="cyan"/>
          <w:shd w:val="clear" w:color="auto" w:fill="FFFFFF"/>
        </w:rPr>
        <w:t>.</w:t>
      </w:r>
    </w:p>
    <w:p w:rsidR="0049387C" w:rsidRDefault="006363E9" w:rsidP="0049387C">
      <w:pPr>
        <w:spacing w:after="0"/>
        <w:jc w:val="both"/>
        <w:rPr>
          <w:b/>
        </w:rPr>
      </w:pPr>
      <w:r w:rsidRPr="0049387C">
        <w:rPr>
          <w:rFonts w:cstheme="minorHAnsi"/>
        </w:rPr>
        <w:t>Podle údajů VZP vzrostl celkově počet pacientů s karcinomem prostaty v ČR o 35 % za posledních 10 let - v roce 2022 tak byl počet celkových pacientů léčených s karcinomem prostaty 47</w:t>
      </w:r>
      <w:r w:rsidR="003A1DE7" w:rsidRPr="0049387C">
        <w:rPr>
          <w:rFonts w:cstheme="minorHAnsi"/>
        </w:rPr>
        <w:t>.000</w:t>
      </w:r>
      <w:r w:rsidRPr="0049387C">
        <w:rPr>
          <w:rFonts w:cstheme="minorHAnsi"/>
          <w:vertAlign w:val="superscript"/>
        </w:rPr>
        <w:t>102</w:t>
      </w:r>
      <w:r w:rsidRPr="0049387C">
        <w:rPr>
          <w:rFonts w:cstheme="minorHAnsi"/>
        </w:rPr>
        <w:t>.</w:t>
      </w:r>
      <w:r w:rsidRPr="0049387C">
        <w:rPr>
          <w:rFonts w:cstheme="minorHAnsi"/>
          <w:b/>
        </w:rPr>
        <w:t xml:space="preserve"> V ČR je karcinom prostaty nejčastějším nádorem u mužů, když je ročně více jak 9.000 nových případů </w:t>
      </w:r>
      <w:r w:rsidR="00397839" w:rsidRPr="0049387C">
        <w:rPr>
          <w:rFonts w:cstheme="minorHAnsi"/>
          <w:b/>
        </w:rPr>
        <w:t>karcinomu prostaty</w:t>
      </w:r>
      <w:r w:rsidRPr="0049387C">
        <w:rPr>
          <w:rFonts w:cstheme="minorHAnsi"/>
          <w:b/>
        </w:rPr>
        <w:t xml:space="preserve"> všech stupňů, z toho je nově diagnostikováno cca 1.000</w:t>
      </w:r>
      <w:r w:rsidR="003A1DE7" w:rsidRPr="0049387C">
        <w:rPr>
          <w:rFonts w:cstheme="minorHAnsi"/>
          <w:b/>
        </w:rPr>
        <w:t xml:space="preserve"> </w:t>
      </w:r>
      <w:r w:rsidRPr="0049387C">
        <w:rPr>
          <w:rFonts w:cstheme="minorHAnsi"/>
          <w:b/>
        </w:rPr>
        <w:t>-</w:t>
      </w:r>
      <w:r w:rsidR="003A1DE7" w:rsidRPr="0049387C">
        <w:rPr>
          <w:rFonts w:cstheme="minorHAnsi"/>
          <w:b/>
        </w:rPr>
        <w:t xml:space="preserve"> </w:t>
      </w:r>
      <w:r w:rsidRPr="0049387C">
        <w:rPr>
          <w:rFonts w:cstheme="minorHAnsi"/>
          <w:b/>
        </w:rPr>
        <w:t>1.400 pacientů se stupněm mCRCR</w:t>
      </w:r>
      <w:r w:rsidRPr="0049387C">
        <w:rPr>
          <w:rFonts w:cstheme="minorHAnsi"/>
          <w:b/>
          <w:vertAlign w:val="superscript"/>
        </w:rPr>
        <w:t>15,102</w:t>
      </w:r>
      <w:r w:rsidRPr="0049387C">
        <w:rPr>
          <w:rFonts w:cstheme="minorHAnsi"/>
          <w:b/>
        </w:rPr>
        <w:t>.</w:t>
      </w:r>
      <w:r w:rsidR="0067359A" w:rsidRPr="0049387C">
        <w:rPr>
          <w:rFonts w:cstheme="minorHAnsi"/>
          <w:b/>
        </w:rPr>
        <w:t xml:space="preserve"> </w:t>
      </w:r>
      <w:r w:rsidR="0067359A" w:rsidRPr="0049387C">
        <w:rPr>
          <w:rFonts w:cstheme="minorHAnsi"/>
        </w:rPr>
        <w:t>Žadatelé o úhradu LP LYNPARZA</w:t>
      </w:r>
      <w:r w:rsidR="0067359A" w:rsidRPr="0049387C">
        <w:rPr>
          <w:rFonts w:cstheme="minorHAnsi"/>
          <w:vertAlign w:val="superscript"/>
        </w:rPr>
        <w:t>102</w:t>
      </w:r>
      <w:r w:rsidR="0067359A" w:rsidRPr="0049387C">
        <w:rPr>
          <w:rFonts w:cstheme="minorHAnsi"/>
        </w:rPr>
        <w:t xml:space="preserve"> a TALZENNA </w:t>
      </w:r>
      <w:r w:rsidR="00947BA5" w:rsidRPr="0049387C">
        <w:rPr>
          <w:rFonts w:cstheme="minorHAnsi"/>
        </w:rPr>
        <w:t xml:space="preserve">v ČR </w:t>
      </w:r>
      <w:r w:rsidR="0067359A" w:rsidRPr="0049387C">
        <w:rPr>
          <w:rFonts w:cstheme="minorHAnsi"/>
        </w:rPr>
        <w:t xml:space="preserve">odhadují podíl </w:t>
      </w:r>
      <w:r w:rsidR="00947BA5" w:rsidRPr="0049387C">
        <w:rPr>
          <w:rFonts w:cstheme="minorHAnsi"/>
        </w:rPr>
        <w:t>asymptomatických či mírně symptomatických pacientů s </w:t>
      </w:r>
      <w:proofErr w:type="spellStart"/>
      <w:r w:rsidR="00947BA5" w:rsidRPr="0049387C">
        <w:rPr>
          <w:rFonts w:cstheme="minorHAnsi"/>
        </w:rPr>
        <w:t>mCRPC</w:t>
      </w:r>
      <w:proofErr w:type="spellEnd"/>
      <w:r w:rsidR="00947BA5" w:rsidRPr="0049387C">
        <w:rPr>
          <w:rFonts w:cstheme="minorHAnsi"/>
        </w:rPr>
        <w:t xml:space="preserve"> pro 1. linii léčby na 50 - 80 %, míru </w:t>
      </w:r>
      <w:proofErr w:type="spellStart"/>
      <w:r w:rsidR="00947BA5" w:rsidRPr="0049387C">
        <w:rPr>
          <w:rFonts w:cstheme="minorHAnsi"/>
        </w:rPr>
        <w:t>nepředléčenosti</w:t>
      </w:r>
      <w:proofErr w:type="spellEnd"/>
      <w:r w:rsidR="00947BA5" w:rsidRPr="0049387C">
        <w:rPr>
          <w:rFonts w:cstheme="minorHAnsi"/>
        </w:rPr>
        <w:t xml:space="preserve"> (podle autora této FE analýzy se jedná spíš o velmi nadhodnocené míry!) u abirateronu</w:t>
      </w:r>
      <w:r w:rsidR="00947BA5" w:rsidRPr="0049387C">
        <w:rPr>
          <w:rFonts w:cstheme="minorHAnsi"/>
          <w:vertAlign w:val="superscript"/>
        </w:rPr>
        <w:t>15</w:t>
      </w:r>
      <w:r w:rsidR="00947BA5" w:rsidRPr="0049387C">
        <w:rPr>
          <w:rFonts w:cstheme="minorHAnsi"/>
        </w:rPr>
        <w:t xml:space="preserve"> na 80 %, u enzalutamidu</w:t>
      </w:r>
      <w:r w:rsidR="00947BA5" w:rsidRPr="0049387C">
        <w:rPr>
          <w:rFonts w:cstheme="minorHAnsi"/>
          <w:vertAlign w:val="superscript"/>
        </w:rPr>
        <w:t>102</w:t>
      </w:r>
      <w:r w:rsidR="00947BA5" w:rsidRPr="0049387C">
        <w:rPr>
          <w:rFonts w:cstheme="minorHAnsi"/>
        </w:rPr>
        <w:t xml:space="preserve"> pak dokonce na 95 %.</w:t>
      </w:r>
      <w:r w:rsidR="001310CA" w:rsidRPr="0049387C">
        <w:rPr>
          <w:rFonts w:cstheme="minorHAnsi"/>
        </w:rPr>
        <w:t xml:space="preserve"> </w:t>
      </w:r>
      <w:r w:rsidR="00947BA5" w:rsidRPr="0049387C">
        <w:rPr>
          <w:rFonts w:cstheme="minorHAnsi"/>
          <w:u w:val="single"/>
        </w:rPr>
        <w:t>Pro zajímavost</w:t>
      </w:r>
      <w:r w:rsidR="0049387C">
        <w:rPr>
          <w:rFonts w:cstheme="minorHAnsi"/>
          <w:u w:val="single"/>
        </w:rPr>
        <w:t>:</w:t>
      </w:r>
      <w:r w:rsidR="00947BA5" w:rsidRPr="0049387C">
        <w:rPr>
          <w:rFonts w:cstheme="minorHAnsi"/>
          <w:u w:val="single"/>
        </w:rPr>
        <w:t xml:space="preserve"> žadatel o úhradu LP AKEEGA v Kanadě odhadoval míru nevhodnosti pacientů k chemoterapii</w:t>
      </w:r>
      <w:r w:rsidR="0067359A" w:rsidRPr="0049387C">
        <w:rPr>
          <w:rFonts w:cstheme="minorHAnsi"/>
          <w:u w:val="single"/>
        </w:rPr>
        <w:t xml:space="preserve"> </w:t>
      </w:r>
      <w:r w:rsidR="00947BA5" w:rsidRPr="0049387C">
        <w:rPr>
          <w:rFonts w:cstheme="minorHAnsi"/>
          <w:u w:val="single"/>
        </w:rPr>
        <w:t xml:space="preserve">v 1. </w:t>
      </w:r>
      <w:r w:rsidR="001310CA" w:rsidRPr="0049387C">
        <w:rPr>
          <w:rFonts w:cstheme="minorHAnsi"/>
          <w:u w:val="single"/>
        </w:rPr>
        <w:t>l</w:t>
      </w:r>
      <w:r w:rsidR="00947BA5" w:rsidRPr="0049387C">
        <w:rPr>
          <w:rFonts w:cstheme="minorHAnsi"/>
          <w:u w:val="single"/>
        </w:rPr>
        <w:t xml:space="preserve">inii u </w:t>
      </w:r>
      <w:proofErr w:type="spellStart"/>
      <w:r w:rsidR="00947BA5" w:rsidRPr="0049387C">
        <w:rPr>
          <w:rFonts w:cstheme="minorHAnsi"/>
          <w:u w:val="single"/>
        </w:rPr>
        <w:t>mCRPC</w:t>
      </w:r>
      <w:proofErr w:type="spellEnd"/>
      <w:r w:rsidR="00947BA5" w:rsidRPr="0049387C">
        <w:rPr>
          <w:rFonts w:cstheme="minorHAnsi"/>
          <w:u w:val="single"/>
        </w:rPr>
        <w:t xml:space="preserve"> na 72 %, ale odhad CADTh</w:t>
      </w:r>
      <w:r w:rsidR="001310CA" w:rsidRPr="0049387C">
        <w:rPr>
          <w:rFonts w:cstheme="minorHAnsi"/>
          <w:u w:val="single"/>
          <w:vertAlign w:val="superscript"/>
        </w:rPr>
        <w:t>106</w:t>
      </w:r>
      <w:r w:rsidR="00947BA5" w:rsidRPr="0049387C">
        <w:rPr>
          <w:rFonts w:cstheme="minorHAnsi"/>
          <w:u w:val="single"/>
        </w:rPr>
        <w:t xml:space="preserve"> byl mnohem nižší, a o to </w:t>
      </w:r>
      <w:r w:rsidR="001310CA" w:rsidRPr="0049387C">
        <w:rPr>
          <w:rFonts w:cstheme="minorHAnsi"/>
          <w:u w:val="single"/>
        </w:rPr>
        <w:t xml:space="preserve">na úrovni </w:t>
      </w:r>
      <w:r w:rsidR="0049387C" w:rsidRPr="0049387C">
        <w:rPr>
          <w:rFonts w:cstheme="minorHAnsi"/>
          <w:u w:val="single"/>
        </w:rPr>
        <w:t xml:space="preserve">20 % - </w:t>
      </w:r>
      <w:r w:rsidR="0049387C" w:rsidRPr="0049387C">
        <w:rPr>
          <w:rFonts w:cstheme="minorHAnsi"/>
          <w:b/>
          <w:u w:val="single"/>
        </w:rPr>
        <w:t xml:space="preserve">CAVE! </w:t>
      </w:r>
      <w:proofErr w:type="gramStart"/>
      <w:r w:rsidR="0049387C" w:rsidRPr="0049387C">
        <w:rPr>
          <w:b/>
          <w:u w:val="single"/>
        </w:rPr>
        <w:t>dle</w:t>
      </w:r>
      <w:proofErr w:type="gramEnd"/>
      <w:r w:rsidR="0049387C" w:rsidRPr="0049387C">
        <w:rPr>
          <w:b/>
          <w:u w:val="single"/>
        </w:rPr>
        <w:t xml:space="preserve"> Stanoviska ČOS </w:t>
      </w:r>
      <w:r w:rsidR="0049387C" w:rsidRPr="0049387C">
        <w:t>(viz níže pozn. 5)</w:t>
      </w:r>
      <w:r w:rsidR="0049387C" w:rsidRPr="0049387C">
        <w:rPr>
          <w:b/>
          <w:u w:val="single"/>
        </w:rPr>
        <w:t xml:space="preserve"> nejsou ale pacienti s </w:t>
      </w:r>
      <w:proofErr w:type="spellStart"/>
      <w:r w:rsidR="0049387C" w:rsidRPr="0049387C">
        <w:rPr>
          <w:b/>
          <w:u w:val="single"/>
        </w:rPr>
        <w:t>mCRPC</w:t>
      </w:r>
      <w:proofErr w:type="spellEnd"/>
      <w:r w:rsidR="0049387C" w:rsidRPr="0049387C">
        <w:rPr>
          <w:b/>
          <w:u w:val="single"/>
        </w:rPr>
        <w:t xml:space="preserve"> k chemoterapii </w:t>
      </w:r>
      <w:proofErr w:type="spellStart"/>
      <w:r w:rsidR="0049387C" w:rsidRPr="0049387C">
        <w:rPr>
          <w:b/>
          <w:u w:val="single"/>
        </w:rPr>
        <w:t>docetaxelem</w:t>
      </w:r>
      <w:proofErr w:type="spellEnd"/>
      <w:r w:rsidR="0049387C" w:rsidRPr="0049387C">
        <w:rPr>
          <w:b/>
          <w:u w:val="single"/>
        </w:rPr>
        <w:t xml:space="preserve"> indikovaní také z důvodu, že mají asymptomatické nebo </w:t>
      </w:r>
      <w:proofErr w:type="spellStart"/>
      <w:r w:rsidR="0049387C" w:rsidRPr="0049387C">
        <w:rPr>
          <w:b/>
          <w:u w:val="single"/>
        </w:rPr>
        <w:t>oligosymptomatické</w:t>
      </w:r>
      <w:proofErr w:type="spellEnd"/>
      <w:r w:rsidR="0049387C" w:rsidRPr="0049387C">
        <w:rPr>
          <w:b/>
          <w:u w:val="single"/>
        </w:rPr>
        <w:t xml:space="preserve"> onemocnění!</w:t>
      </w:r>
      <w:r w:rsidR="00134CD3" w:rsidRPr="00134CD3">
        <w:rPr>
          <w:b/>
        </w:rPr>
        <w:t xml:space="preserve">  Při</w:t>
      </w:r>
      <w:r w:rsidR="00134CD3">
        <w:rPr>
          <w:b/>
        </w:rPr>
        <w:t xml:space="preserve"> odhadované míře zastoupení </w:t>
      </w:r>
      <w:r w:rsidR="00134CD3" w:rsidRPr="008A28E4">
        <w:rPr>
          <w:b/>
          <w:i/>
        </w:rPr>
        <w:t>BRCA</w:t>
      </w:r>
      <w:r w:rsidR="00134CD3">
        <w:rPr>
          <w:b/>
        </w:rPr>
        <w:t xml:space="preserve"> mutace u pacientů s </w:t>
      </w:r>
      <w:proofErr w:type="spellStart"/>
      <w:r w:rsidR="00134CD3">
        <w:rPr>
          <w:b/>
        </w:rPr>
        <w:t>mCRPC</w:t>
      </w:r>
      <w:proofErr w:type="spellEnd"/>
      <w:r w:rsidR="00134CD3">
        <w:rPr>
          <w:b/>
        </w:rPr>
        <w:t xml:space="preserve"> ve výši 10 %</w:t>
      </w:r>
      <w:r w:rsidR="00134CD3" w:rsidRPr="00134CD3">
        <w:rPr>
          <w:b/>
          <w:vertAlign w:val="superscript"/>
        </w:rPr>
        <w:t>106</w:t>
      </w:r>
      <w:r w:rsidR="00134CD3">
        <w:rPr>
          <w:b/>
        </w:rPr>
        <w:t xml:space="preserve">, může činit </w:t>
      </w:r>
      <w:r w:rsidR="00134CD3" w:rsidRPr="00134CD3">
        <w:rPr>
          <w:b/>
          <w:u w:val="single"/>
        </w:rPr>
        <w:t xml:space="preserve">potenciální odhad pacientů vhodných k léčbě LP AKEEGA v ČR maximálně na 50 pacientů/rok, ale velmi pravděpodobně (kvůli výše uvedené poměrně vysoko odhadované míře </w:t>
      </w:r>
      <w:proofErr w:type="spellStart"/>
      <w:r w:rsidR="00134CD3" w:rsidRPr="00134CD3">
        <w:rPr>
          <w:b/>
          <w:u w:val="single"/>
        </w:rPr>
        <w:t>nepředléčnosti</w:t>
      </w:r>
      <w:proofErr w:type="spellEnd"/>
      <w:r w:rsidR="00134CD3" w:rsidRPr="00134CD3">
        <w:rPr>
          <w:b/>
          <w:u w:val="single"/>
        </w:rPr>
        <w:t xml:space="preserve"> ARPI</w:t>
      </w:r>
      <w:r w:rsidR="008A28E4">
        <w:rPr>
          <w:b/>
          <w:u w:val="single"/>
        </w:rPr>
        <w:t xml:space="preserve"> u pacientů</w:t>
      </w:r>
      <w:r w:rsidR="00134CD3" w:rsidRPr="00134CD3">
        <w:rPr>
          <w:b/>
          <w:u w:val="single"/>
        </w:rPr>
        <w:t>) se bude jednat (zejména v dalších letech) o nižší počty</w:t>
      </w:r>
      <w:r w:rsidR="00134CD3">
        <w:rPr>
          <w:b/>
        </w:rPr>
        <w:t>!</w:t>
      </w:r>
    </w:p>
    <w:p w:rsidR="00134CD3" w:rsidRPr="00134CD3" w:rsidRDefault="00134CD3" w:rsidP="0049387C">
      <w:pPr>
        <w:spacing w:after="0"/>
        <w:jc w:val="both"/>
        <w:rPr>
          <w:sz w:val="4"/>
          <w:szCs w:val="4"/>
        </w:rPr>
      </w:pPr>
    </w:p>
    <w:p w:rsidR="000A048D" w:rsidRDefault="007D653E">
      <w:pPr>
        <w:spacing w:after="0"/>
        <w:jc w:val="both"/>
        <w:rPr>
          <w:rFonts w:cstheme="minorHAnsi"/>
          <w:b/>
        </w:rPr>
      </w:pPr>
      <w:r>
        <w:rPr>
          <w:noProof/>
        </w:rPr>
        <w:pict>
          <v:rect id="Textové pole 38" o:spid="_x0000_s1036" style="position:absolute;left:0;text-align:left;margin-left:0;margin-top:.05pt;width:543.75pt;height:21.95pt;z-index:142;visibility:visible;mso-wrap-style:square;mso-wrap-distance-left:.3pt;mso-wrap-distance-top:.25pt;mso-wrap-distance-right:.2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" o:allowincell="f" fillcolor="#deeaf6 [664]" strokeweight=".5pt">
            <v:stroke joinstyle="round"/>
            <v:textbox>
              <w:txbxContent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rStyle w:val="Hypertextovodkaz"/>
                      <w:rFonts w:cstheme="minorHAnsi"/>
                      <w:b/>
                      <w:color w:val="auto"/>
                      <w:u w:val="none"/>
                    </w:rPr>
                  </w:pPr>
                  <w:r>
                    <w:rPr>
                      <w:rStyle w:val="Hypertextovodkaz"/>
                      <w:rFonts w:cstheme="minorHAnsi"/>
                      <w:b/>
                      <w:color w:val="auto"/>
                      <w:u w:val="none"/>
                    </w:rPr>
                    <w:t>Aktuálně je OK FN Olomouc předpokládán počet pacientů vhodných pro LP AKEEGA na 5 pacientů v daném roce</w:t>
                  </w:r>
                  <w:r w:rsidRPr="0002246C">
                    <w:rPr>
                      <w:rStyle w:val="Hypertextovodkaz"/>
                      <w:rFonts w:cstheme="minorHAnsi"/>
                      <w:b/>
                      <w:color w:val="auto"/>
                      <w:u w:val="none"/>
                      <w:vertAlign w:val="superscript"/>
                    </w:rPr>
                    <w:t>111</w:t>
                  </w:r>
                  <w:r>
                    <w:rPr>
                      <w:rStyle w:val="Hypertextovodkaz"/>
                      <w:rFonts w:cstheme="minorHAnsi"/>
                      <w:b/>
                      <w:color w:val="auto"/>
                      <w:u w:val="none"/>
                    </w:rPr>
                    <w:t>.</w:t>
                  </w:r>
                </w:p>
                <w:p w:rsidR="000070EE" w:rsidRDefault="000070EE">
                  <w:pPr>
                    <w:pStyle w:val="Obsahrmce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:rsidR="000A048D" w:rsidRDefault="000A048D">
      <w:pPr>
        <w:spacing w:after="0"/>
        <w:jc w:val="both"/>
        <w:rPr>
          <w:rFonts w:cstheme="minorHAnsi"/>
          <w:b/>
        </w:rPr>
      </w:pPr>
    </w:p>
    <w:p w:rsidR="00A936EB" w:rsidRPr="00A936EB" w:rsidRDefault="00A936EB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A048D" w:rsidRDefault="000A048D">
      <w:pPr>
        <w:spacing w:after="0"/>
        <w:ind w:left="360"/>
        <w:jc w:val="both"/>
        <w:rPr>
          <w:rFonts w:cstheme="minorHAnsi"/>
          <w:sz w:val="6"/>
          <w:szCs w:val="6"/>
        </w:rPr>
      </w:pPr>
    </w:p>
    <w:p w:rsidR="000A048D" w:rsidRDefault="00CD2B91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Výsledky CEA</w:t>
      </w:r>
      <w:r w:rsidR="00242A04">
        <w:rPr>
          <w:rFonts w:cstheme="minorHAnsi"/>
          <w:b/>
          <w:sz w:val="32"/>
          <w:szCs w:val="32"/>
          <w:u w:val="single"/>
        </w:rPr>
        <w:t xml:space="preserve"> – 1. scénář</w:t>
      </w:r>
      <w:r>
        <w:rPr>
          <w:rFonts w:cstheme="minorHAnsi"/>
          <w:b/>
          <w:sz w:val="32"/>
          <w:szCs w:val="32"/>
          <w:u w:val="single"/>
        </w:rPr>
        <w:t xml:space="preserve">: </w:t>
      </w:r>
    </w:p>
    <w:p w:rsidR="000A048D" w:rsidRPr="00A936EB" w:rsidRDefault="00CD2B91">
      <w:pPr>
        <w:spacing w:after="0"/>
        <w:jc w:val="both"/>
        <w:rPr>
          <w:rFonts w:cstheme="minorHAnsi"/>
          <w:b/>
        </w:rPr>
      </w:pPr>
      <w:r w:rsidRPr="00A936EB">
        <w:rPr>
          <w:rFonts w:cstheme="minorHAnsi"/>
          <w:b/>
          <w:color w:val="FF0000"/>
        </w:rPr>
        <w:t>(</w:t>
      </w:r>
      <w:r w:rsidR="00585A90" w:rsidRPr="00A936EB">
        <w:rPr>
          <w:rFonts w:cstheme="minorHAnsi"/>
          <w:b/>
          <w:color w:val="FF0000"/>
        </w:rPr>
        <w:t>V</w:t>
      </w:r>
      <w:r w:rsidR="000070EE" w:rsidRPr="00A936EB">
        <w:rPr>
          <w:rFonts w:cstheme="minorHAnsi"/>
          <w:b/>
          <w:color w:val="FF0000"/>
        </w:rPr>
        <w:t xml:space="preserve">zhledem ke schváleným indikacím jednotlivých </w:t>
      </w:r>
      <w:proofErr w:type="spellStart"/>
      <w:r w:rsidR="000070EE" w:rsidRPr="00A936EB">
        <w:rPr>
          <w:rFonts w:cstheme="minorHAnsi"/>
          <w:b/>
          <w:color w:val="FF0000"/>
        </w:rPr>
        <w:t>PARPi</w:t>
      </w:r>
      <w:proofErr w:type="spellEnd"/>
      <w:r w:rsidR="000070EE" w:rsidRPr="00A936EB">
        <w:rPr>
          <w:rFonts w:cstheme="minorHAnsi"/>
          <w:b/>
          <w:color w:val="FF0000"/>
        </w:rPr>
        <w:t>, navrhovaným úhradovým podmínkám a charakteristikám příslušných studií</w:t>
      </w:r>
      <w:r w:rsidR="006B00FC" w:rsidRPr="00A936EB">
        <w:rPr>
          <w:rFonts w:cstheme="minorHAnsi"/>
          <w:b/>
          <w:color w:val="FF0000"/>
        </w:rPr>
        <w:t xml:space="preserve"> </w:t>
      </w:r>
      <w:r w:rsidR="006B00FC" w:rsidRPr="00A936EB">
        <w:rPr>
          <w:rFonts w:cstheme="minorHAnsi"/>
          <w:color w:val="FF0000"/>
        </w:rPr>
        <w:t xml:space="preserve">(viz </w:t>
      </w:r>
      <w:r w:rsidR="004A01F7" w:rsidRPr="00A936EB">
        <w:rPr>
          <w:rFonts w:cstheme="minorHAnsi"/>
          <w:color w:val="FF0000"/>
        </w:rPr>
        <w:t xml:space="preserve">níže </w:t>
      </w:r>
      <w:r w:rsidR="006B00FC" w:rsidRPr="00A936EB">
        <w:rPr>
          <w:rFonts w:cstheme="minorHAnsi"/>
          <w:color w:val="FF0000"/>
        </w:rPr>
        <w:t>Přílohu č. 17)</w:t>
      </w:r>
      <w:r w:rsidR="000070EE" w:rsidRPr="00A936EB">
        <w:rPr>
          <w:rFonts w:cstheme="minorHAnsi"/>
          <w:b/>
          <w:color w:val="FF0000"/>
        </w:rPr>
        <w:t xml:space="preserve">, se </w:t>
      </w:r>
      <w:r w:rsidR="00A14FA4" w:rsidRPr="00A936EB">
        <w:rPr>
          <w:rFonts w:cstheme="minorHAnsi"/>
          <w:b/>
          <w:color w:val="FF0000"/>
        </w:rPr>
        <w:t>jedná o</w:t>
      </w:r>
      <w:r w:rsidR="00A14FA4" w:rsidRPr="00A936EB">
        <w:rPr>
          <w:rFonts w:cstheme="minorHAnsi"/>
          <w:b/>
          <w:color w:val="FF0000"/>
          <w:shd w:val="clear" w:color="auto" w:fill="FFFFFF"/>
        </w:rPr>
        <w:t> indikaci</w:t>
      </w:r>
      <w:r w:rsidR="000070EE" w:rsidRPr="00A936EB">
        <w:rPr>
          <w:rFonts w:cstheme="minorHAnsi"/>
          <w:b/>
          <w:color w:val="FF0000"/>
          <w:shd w:val="clear" w:color="auto" w:fill="FFFFFF"/>
        </w:rPr>
        <w:t>:</w:t>
      </w:r>
      <w:r w:rsidR="00A14FA4" w:rsidRPr="00A936EB">
        <w:rPr>
          <w:rFonts w:cstheme="minorHAnsi"/>
          <w:b/>
          <w:color w:val="FF0000"/>
          <w:shd w:val="clear" w:color="auto" w:fill="FFFFFF"/>
        </w:rPr>
        <w:t xml:space="preserve"> </w:t>
      </w:r>
      <w:proofErr w:type="spellStart"/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mCRPC</w:t>
      </w:r>
      <w:proofErr w:type="spellEnd"/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u pac</w:t>
      </w:r>
      <w:r w:rsidR="004A01F7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ientů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s mutacemi BRCA1/2 v 1. linii, u kterých není</w:t>
      </w:r>
      <w:r w:rsidR="007D0163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indikována chemoterapie </w:t>
      </w:r>
      <w:r w:rsidR="004A01F7" w:rsidRPr="00A936EB">
        <w:rPr>
          <w:rFonts w:cstheme="minorHAnsi"/>
          <w:color w:val="FF0000"/>
          <w:highlight w:val="yellow"/>
          <w:shd w:val="clear" w:color="auto" w:fill="FFFFFF"/>
        </w:rPr>
        <w:t>(viz níže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 pozn. 5)</w:t>
      </w:r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,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a kteří neužívali ARPI</w:t>
      </w:r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(viz </w:t>
      </w:r>
      <w:r w:rsidR="004A01F7" w:rsidRPr="00A936EB">
        <w:rPr>
          <w:rFonts w:cstheme="minorHAnsi"/>
          <w:color w:val="FF0000"/>
          <w:highlight w:val="yellow"/>
          <w:shd w:val="clear" w:color="auto" w:fill="FFFFFF"/>
        </w:rPr>
        <w:t>níže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 pozn. 16)</w:t>
      </w:r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u </w:t>
      </w:r>
      <w:proofErr w:type="spellStart"/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nmCRPC</w:t>
      </w:r>
      <w:proofErr w:type="spellEnd"/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>(viz níže pozn. 49)</w:t>
      </w:r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či </w:t>
      </w:r>
      <w:proofErr w:type="spellStart"/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mHSPC</w:t>
      </w:r>
      <w:proofErr w:type="spellEnd"/>
      <w:r w:rsidR="00A14FA4"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(viz níže Příloha č. 7),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s hodnotou v BPI-SF otázce č. #3 &lt; 4 (tj.</w:t>
      </w:r>
      <w:r w:rsidR="004A01F7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asymptomatičtí či mírně symptomatičtí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pac</w:t>
      </w:r>
      <w:r w:rsidR="004A01F7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ienti</w:t>
      </w:r>
      <w:r w:rsidR="00A14FA4" w:rsidRPr="00A936EB">
        <w:rPr>
          <w:rFonts w:cstheme="minorHAnsi"/>
          <w:i/>
          <w:color w:val="FF0000"/>
          <w:highlight w:val="yellow"/>
          <w:shd w:val="clear" w:color="auto" w:fill="FFFFFF"/>
        </w:rPr>
        <w:t xml:space="preserve"> 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- viz Přílohu č. 32 a </w:t>
      </w:r>
      <w:r w:rsidR="004A01F7" w:rsidRPr="00A936EB">
        <w:rPr>
          <w:rFonts w:cstheme="minorHAnsi"/>
          <w:color w:val="FF0000"/>
          <w:highlight w:val="yellow"/>
          <w:shd w:val="clear" w:color="auto" w:fill="FFFFFF"/>
        </w:rPr>
        <w:t>níže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 pozn. 104), </w:t>
      </w:r>
      <w:r w:rsidR="00A14FA4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s ECOG 0-1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 xml:space="preserve"> (viz </w:t>
      </w:r>
      <w:r w:rsidR="004A01F7" w:rsidRPr="00A936EB">
        <w:rPr>
          <w:rFonts w:cstheme="minorHAnsi"/>
          <w:color w:val="FF0000"/>
          <w:highlight w:val="yellow"/>
          <w:shd w:val="clear" w:color="auto" w:fill="FFFFFF"/>
        </w:rPr>
        <w:t xml:space="preserve">níže </w:t>
      </w:r>
      <w:r w:rsidR="00A14FA4" w:rsidRPr="00A936EB">
        <w:rPr>
          <w:rFonts w:cstheme="minorHAnsi"/>
          <w:color w:val="FF0000"/>
          <w:highlight w:val="yellow"/>
          <w:shd w:val="clear" w:color="auto" w:fill="FFFFFF"/>
        </w:rPr>
        <w:t>Přílohu č. 10)</w:t>
      </w:r>
      <w:r w:rsidR="00A14FA4" w:rsidRPr="00A936EB">
        <w:rPr>
          <w:rFonts w:cstheme="minorHAnsi"/>
          <w:color w:val="FF0000"/>
          <w:shd w:val="clear" w:color="auto" w:fill="FFFFFF"/>
        </w:rPr>
        <w:t xml:space="preserve">, </w:t>
      </w:r>
      <w:r w:rsidR="00A14FA4" w:rsidRPr="00A936EB">
        <w:rPr>
          <w:rFonts w:cstheme="minorHAnsi"/>
          <w:b/>
          <w:color w:val="FF0000"/>
          <w:u w:val="single"/>
          <w:shd w:val="clear" w:color="auto" w:fill="FFFFFF"/>
        </w:rPr>
        <w:t>CAVE!</w:t>
      </w:r>
      <w:r w:rsidR="00A14FA4" w:rsidRPr="00A936EB">
        <w:rPr>
          <w:rFonts w:cstheme="minorHAnsi"/>
          <w:color w:val="FF0000"/>
          <w:u w:val="single"/>
          <w:shd w:val="clear" w:color="auto" w:fill="FFFFFF"/>
        </w:rPr>
        <w:t xml:space="preserve"> </w:t>
      </w:r>
      <w:proofErr w:type="gramStart"/>
      <w:r w:rsidRPr="00A936EB">
        <w:rPr>
          <w:rFonts w:cstheme="minorHAnsi"/>
          <w:b/>
          <w:color w:val="FF0000"/>
          <w:u w:val="single"/>
        </w:rPr>
        <w:t>výsledky</w:t>
      </w:r>
      <w:proofErr w:type="gramEnd"/>
      <w:r w:rsidRPr="00A936EB">
        <w:rPr>
          <w:rFonts w:cstheme="minorHAnsi"/>
          <w:b/>
          <w:color w:val="FF0000"/>
          <w:u w:val="single"/>
        </w:rPr>
        <w:t xml:space="preserve"> jsou jen v relativních srovnáních</w:t>
      </w:r>
      <w:r w:rsidR="007D0163" w:rsidRPr="00A936EB">
        <w:rPr>
          <w:rFonts w:cstheme="minorHAnsi"/>
          <w:b/>
          <w:color w:val="FF0000"/>
          <w:u w:val="single"/>
        </w:rPr>
        <w:t xml:space="preserve"> vzhledem k provedenému jen „naivnímu“ nepřímému srovnání, tzn. výsledky jsou zatíženy poměrně významnou nejistotou!</w:t>
      </w:r>
      <w:r w:rsidR="007D0163" w:rsidRPr="00A936EB">
        <w:rPr>
          <w:rFonts w:cstheme="minorHAnsi"/>
          <w:b/>
          <w:color w:val="FF0000"/>
        </w:rPr>
        <w:t xml:space="preserve">) </w:t>
      </w:r>
    </w:p>
    <w:p w:rsidR="000A048D" w:rsidRPr="00A936EB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4C0DE6" w:rsidRDefault="004C0DE6">
      <w:pPr>
        <w:spacing w:after="0"/>
        <w:jc w:val="both"/>
        <w:rPr>
          <w:rFonts w:cstheme="minorHAnsi"/>
          <w:b/>
          <w:sz w:val="10"/>
          <w:szCs w:val="10"/>
          <w:u w:val="single"/>
        </w:rPr>
      </w:pPr>
      <w:r>
        <w:rPr>
          <w:rFonts w:cstheme="minorHAnsi"/>
          <w:b/>
          <w:noProof/>
          <w:sz w:val="10"/>
          <w:szCs w:val="10"/>
          <w:u w:val="single"/>
          <w:lang w:eastAsia="cs-CZ"/>
        </w:rPr>
        <w:drawing>
          <wp:inline distT="0" distB="0" distL="0" distR="0">
            <wp:extent cx="6838950" cy="2971800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D" w:rsidRDefault="000A048D">
      <w:pPr>
        <w:spacing w:after="0"/>
        <w:ind w:left="1304"/>
        <w:jc w:val="both"/>
        <w:rPr>
          <w:rFonts w:cstheme="minorHAnsi"/>
          <w:b/>
          <w:sz w:val="6"/>
          <w:szCs w:val="6"/>
          <w:u w:val="single"/>
        </w:rPr>
      </w:pPr>
    </w:p>
    <w:p w:rsidR="000A048D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A048D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A048D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A048D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A048D" w:rsidRDefault="000A048D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225415" w:rsidRDefault="00225415" w:rsidP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A936EB" w:rsidRDefault="00A936EB" w:rsidP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906BE6" w:rsidRDefault="00906BE6" w:rsidP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225415" w:rsidRDefault="00225415" w:rsidP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4C0DE6" w:rsidRDefault="004C0DE6" w:rsidP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 xml:space="preserve">Výsledky CEA – 2. scénář: </w:t>
      </w:r>
    </w:p>
    <w:p w:rsidR="006B00FC" w:rsidRPr="00A936EB" w:rsidRDefault="006B00FC" w:rsidP="006B00FC">
      <w:pPr>
        <w:spacing w:after="0"/>
        <w:jc w:val="both"/>
        <w:rPr>
          <w:rFonts w:cstheme="minorHAnsi"/>
          <w:b/>
        </w:rPr>
      </w:pPr>
      <w:r w:rsidRPr="00A936EB">
        <w:rPr>
          <w:rFonts w:cstheme="minorHAnsi"/>
          <w:b/>
          <w:color w:val="FF0000"/>
        </w:rPr>
        <w:t>(</w:t>
      </w:r>
      <w:r w:rsidR="00585A90" w:rsidRPr="00A936EB">
        <w:rPr>
          <w:rFonts w:cstheme="minorHAnsi"/>
          <w:b/>
          <w:color w:val="FF0000"/>
        </w:rPr>
        <w:t>V</w:t>
      </w:r>
      <w:r w:rsidRPr="00A936EB">
        <w:rPr>
          <w:rFonts w:cstheme="minorHAnsi"/>
          <w:b/>
          <w:color w:val="FF0000"/>
        </w:rPr>
        <w:t xml:space="preserve">zhledem ke schváleným indikacím jednotlivých </w:t>
      </w:r>
      <w:proofErr w:type="spellStart"/>
      <w:r w:rsidRPr="00A936EB">
        <w:rPr>
          <w:rFonts w:cstheme="minorHAnsi"/>
          <w:b/>
          <w:color w:val="FF0000"/>
        </w:rPr>
        <w:t>PARPi</w:t>
      </w:r>
      <w:proofErr w:type="spellEnd"/>
      <w:r w:rsidRPr="00A936EB">
        <w:rPr>
          <w:rFonts w:cstheme="minorHAnsi"/>
          <w:b/>
          <w:color w:val="FF0000"/>
        </w:rPr>
        <w:t xml:space="preserve"> se jedná o</w:t>
      </w:r>
      <w:r w:rsidRPr="00A936EB">
        <w:rPr>
          <w:rFonts w:cstheme="minorHAnsi"/>
          <w:b/>
          <w:color w:val="FF0000"/>
          <w:shd w:val="clear" w:color="auto" w:fill="FFFFFF"/>
        </w:rPr>
        <w:t xml:space="preserve"> indikaci: </w:t>
      </w:r>
      <w:proofErr w:type="spellStart"/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mCRPC</w:t>
      </w:r>
      <w:proofErr w:type="spellEnd"/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u pac</w:t>
      </w:r>
      <w:r w:rsidR="004A4645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ientů s mutacemi BRCA1/2</w:t>
      </w:r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, u kterých není indikována chemoterapie 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 xml:space="preserve">(viz </w:t>
      </w:r>
      <w:r w:rsidR="004A01F7" w:rsidRPr="00A936EB">
        <w:rPr>
          <w:rFonts w:cstheme="minorHAnsi"/>
          <w:color w:val="FF0000"/>
          <w:highlight w:val="yellow"/>
          <w:shd w:val="clear" w:color="auto" w:fill="FFFFFF"/>
        </w:rPr>
        <w:t>níže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 xml:space="preserve"> pozn. 5)</w:t>
      </w:r>
      <w:r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, </w:t>
      </w:r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a kteří užívali ARPI</w:t>
      </w:r>
      <w:r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 xml:space="preserve">(viz </w:t>
      </w:r>
      <w:r w:rsidR="004A4645" w:rsidRPr="00A936EB">
        <w:rPr>
          <w:rFonts w:cstheme="minorHAnsi"/>
          <w:color w:val="FF0000"/>
          <w:highlight w:val="yellow"/>
          <w:shd w:val="clear" w:color="auto" w:fill="FFFFFF"/>
        </w:rPr>
        <w:t>níže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 xml:space="preserve"> pozn. 16)</w:t>
      </w:r>
      <w:r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u </w:t>
      </w:r>
      <w:proofErr w:type="spellStart"/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nmCRPC</w:t>
      </w:r>
      <w:proofErr w:type="spellEnd"/>
      <w:r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>(viz níže pozn. 49)</w:t>
      </w:r>
      <w:r w:rsidR="00FC0E20" w:rsidRPr="00A936EB">
        <w:rPr>
          <w:rFonts w:cstheme="minorHAnsi"/>
          <w:color w:val="FF0000"/>
          <w:highlight w:val="yellow"/>
          <w:shd w:val="clear" w:color="auto" w:fill="FFFFFF"/>
        </w:rPr>
        <w:t xml:space="preserve">, </w:t>
      </w:r>
      <w:r w:rsidR="00FC0E20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u</w:t>
      </w:r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 </w:t>
      </w:r>
      <w:proofErr w:type="spellStart"/>
      <w:r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mHSPC</w:t>
      </w:r>
      <w:proofErr w:type="spellEnd"/>
      <w:r w:rsidRPr="00A936EB">
        <w:rPr>
          <w:rFonts w:cstheme="minorHAnsi"/>
          <w:b/>
          <w:color w:val="FF0000"/>
          <w:highlight w:val="yellow"/>
          <w:shd w:val="clear" w:color="auto" w:fill="FFFFFF"/>
        </w:rPr>
        <w:t xml:space="preserve"> </w:t>
      </w:r>
      <w:r w:rsidRPr="00A936EB">
        <w:rPr>
          <w:rFonts w:cstheme="minorHAnsi"/>
          <w:color w:val="FF0000"/>
          <w:highlight w:val="yellow"/>
          <w:shd w:val="clear" w:color="auto" w:fill="FFFFFF"/>
        </w:rPr>
        <w:t>(viz níže Příloha č. 7)</w:t>
      </w:r>
      <w:r w:rsidR="00FC0E20" w:rsidRPr="00A936EB">
        <w:rPr>
          <w:rFonts w:cstheme="minorHAnsi"/>
          <w:color w:val="FF0000"/>
          <w:highlight w:val="yellow"/>
          <w:shd w:val="clear" w:color="auto" w:fill="FFFFFF"/>
        </w:rPr>
        <w:t xml:space="preserve"> </w:t>
      </w:r>
      <w:r w:rsidR="00FC0E20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 xml:space="preserve">či u </w:t>
      </w:r>
      <w:proofErr w:type="spellStart"/>
      <w:r w:rsidR="00FC0E20" w:rsidRPr="00A936EB">
        <w:rPr>
          <w:rFonts w:cstheme="minorHAnsi"/>
          <w:b/>
          <w:i/>
          <w:color w:val="FF0000"/>
          <w:highlight w:val="yellow"/>
          <w:shd w:val="clear" w:color="auto" w:fill="FFFFFF"/>
        </w:rPr>
        <w:t>mCRPC</w:t>
      </w:r>
      <w:proofErr w:type="spellEnd"/>
      <w:r w:rsidRPr="00A936EB">
        <w:rPr>
          <w:rFonts w:cstheme="minorHAnsi"/>
          <w:color w:val="FF0000"/>
          <w:highlight w:val="yellow"/>
          <w:shd w:val="clear" w:color="auto" w:fill="FFFFFF"/>
        </w:rPr>
        <w:t>,</w:t>
      </w:r>
      <w:r w:rsidRPr="00A936EB">
        <w:rPr>
          <w:rFonts w:cstheme="minorHAnsi"/>
          <w:color w:val="FF0000"/>
          <w:shd w:val="clear" w:color="auto" w:fill="FFFFFF"/>
        </w:rPr>
        <w:t xml:space="preserve"> </w:t>
      </w:r>
      <w:r w:rsidRPr="00A936EB">
        <w:rPr>
          <w:rFonts w:cstheme="minorHAnsi"/>
          <w:b/>
          <w:color w:val="FF0000"/>
          <w:u w:val="single"/>
          <w:shd w:val="clear" w:color="auto" w:fill="FFFFFF"/>
        </w:rPr>
        <w:t>CAVE!</w:t>
      </w:r>
      <w:r w:rsidRPr="00A936EB">
        <w:rPr>
          <w:rFonts w:cstheme="minorHAnsi"/>
          <w:color w:val="FF0000"/>
          <w:u w:val="single"/>
          <w:shd w:val="clear" w:color="auto" w:fill="FFFFFF"/>
        </w:rPr>
        <w:t xml:space="preserve"> </w:t>
      </w:r>
      <w:proofErr w:type="gramStart"/>
      <w:r w:rsidRPr="00A936EB">
        <w:rPr>
          <w:rFonts w:cstheme="minorHAnsi"/>
          <w:b/>
          <w:color w:val="FF0000"/>
          <w:u w:val="single"/>
        </w:rPr>
        <w:t>výsledky</w:t>
      </w:r>
      <w:proofErr w:type="gramEnd"/>
      <w:r w:rsidRPr="00A936EB">
        <w:rPr>
          <w:rFonts w:cstheme="minorHAnsi"/>
          <w:b/>
          <w:color w:val="FF0000"/>
          <w:u w:val="single"/>
        </w:rPr>
        <w:t xml:space="preserve"> </w:t>
      </w:r>
      <w:r w:rsidR="00EB22D7" w:rsidRPr="00A936EB">
        <w:rPr>
          <w:rFonts w:cstheme="minorHAnsi"/>
          <w:b/>
          <w:color w:val="FF0000"/>
          <w:u w:val="single"/>
        </w:rPr>
        <w:t>pro účinnost jsou jen odhadovány na základě výsledků studií s 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olaparibem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>, s 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rucaparibem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 xml:space="preserve"> (viz Přílohy č. 17 a 22) a s předpokladem účinnosti LP AKEEGA 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vs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 xml:space="preserve"> TALZENNA+XTANDI cca podobné jako ve výše uvedeném 1. scénáři a cca odpovídající 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monoterapii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 xml:space="preserve"> s 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olaparibem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 xml:space="preserve"> či </w:t>
      </w:r>
      <w:proofErr w:type="spellStart"/>
      <w:r w:rsidR="00EB22D7" w:rsidRPr="00A936EB">
        <w:rPr>
          <w:rFonts w:cstheme="minorHAnsi"/>
          <w:b/>
          <w:color w:val="FF0000"/>
          <w:u w:val="single"/>
        </w:rPr>
        <w:t>rucaparibem</w:t>
      </w:r>
      <w:proofErr w:type="spellEnd"/>
      <w:r w:rsidR="00EB22D7" w:rsidRPr="00A936EB">
        <w:rPr>
          <w:rFonts w:cstheme="minorHAnsi"/>
          <w:b/>
          <w:color w:val="FF0000"/>
          <w:u w:val="single"/>
        </w:rPr>
        <w:t xml:space="preserve">, </w:t>
      </w:r>
      <w:r w:rsidRPr="00A936EB">
        <w:rPr>
          <w:rFonts w:cstheme="minorHAnsi"/>
          <w:b/>
          <w:color w:val="FF0000"/>
          <w:u w:val="single"/>
        </w:rPr>
        <w:t>tzn. výsledky jsou zatíženy poměrně významnou nejistotou!</w:t>
      </w:r>
      <w:r w:rsidRPr="00A936EB">
        <w:rPr>
          <w:rFonts w:cstheme="minorHAnsi"/>
          <w:b/>
          <w:color w:val="FF0000"/>
        </w:rPr>
        <w:t xml:space="preserve">) </w:t>
      </w:r>
    </w:p>
    <w:p w:rsidR="006B00FC" w:rsidRPr="00C60A9D" w:rsidRDefault="006B00FC" w:rsidP="004C0DE6">
      <w:pPr>
        <w:spacing w:after="0"/>
        <w:jc w:val="both"/>
        <w:rPr>
          <w:rFonts w:cstheme="minorHAnsi"/>
          <w:b/>
          <w:color w:val="FF0000"/>
          <w:sz w:val="6"/>
          <w:szCs w:val="6"/>
        </w:rPr>
      </w:pPr>
    </w:p>
    <w:p w:rsidR="004C0DE6" w:rsidRDefault="00C60A9D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6832397" cy="3028493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0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BE" w:rsidRDefault="0022541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6832121" cy="2449902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4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E6" w:rsidRDefault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4C0DE6" w:rsidRDefault="004C0DE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225415" w:rsidRDefault="0022541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225415" w:rsidRDefault="0022541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225415" w:rsidRDefault="0022541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225415" w:rsidRDefault="0022541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0A048D" w:rsidRPr="0079018E" w:rsidRDefault="00CD2B91">
      <w:pPr>
        <w:spacing w:after="0"/>
        <w:jc w:val="both"/>
        <w:rPr>
          <w:rFonts w:cstheme="minorHAnsi"/>
          <w:b/>
          <w:sz w:val="30"/>
          <w:szCs w:val="30"/>
          <w:u w:val="single"/>
        </w:rPr>
      </w:pPr>
      <w:r w:rsidRPr="0079018E">
        <w:rPr>
          <w:rFonts w:cstheme="minorHAnsi"/>
          <w:b/>
          <w:sz w:val="30"/>
          <w:szCs w:val="30"/>
          <w:u w:val="single"/>
        </w:rPr>
        <w:lastRenderedPageBreak/>
        <w:t xml:space="preserve">Výsledky BIA pro </w:t>
      </w:r>
      <w:r w:rsidR="00225415" w:rsidRPr="0079018E">
        <w:rPr>
          <w:rFonts w:cstheme="minorHAnsi"/>
          <w:b/>
          <w:sz w:val="30"/>
          <w:szCs w:val="30"/>
          <w:u w:val="single"/>
        </w:rPr>
        <w:t>5</w:t>
      </w:r>
      <w:r w:rsidRPr="0079018E">
        <w:rPr>
          <w:rFonts w:cstheme="minorHAnsi"/>
          <w:b/>
          <w:sz w:val="30"/>
          <w:szCs w:val="30"/>
          <w:u w:val="single"/>
        </w:rPr>
        <w:t xml:space="preserve"> pacientů</w:t>
      </w:r>
      <w:r w:rsidR="002D50D9" w:rsidRPr="0079018E">
        <w:rPr>
          <w:rFonts w:cstheme="minorHAnsi"/>
          <w:b/>
          <w:sz w:val="30"/>
          <w:szCs w:val="30"/>
          <w:u w:val="single"/>
        </w:rPr>
        <w:t xml:space="preserve"> za 1. </w:t>
      </w:r>
      <w:r w:rsidR="00162ACC" w:rsidRPr="0079018E">
        <w:rPr>
          <w:rFonts w:cstheme="minorHAnsi"/>
          <w:b/>
          <w:sz w:val="30"/>
          <w:szCs w:val="30"/>
          <w:u w:val="single"/>
        </w:rPr>
        <w:t>r</w:t>
      </w:r>
      <w:r w:rsidR="002D50D9" w:rsidRPr="0079018E">
        <w:rPr>
          <w:rFonts w:cstheme="minorHAnsi"/>
          <w:b/>
          <w:sz w:val="30"/>
          <w:szCs w:val="30"/>
          <w:u w:val="single"/>
        </w:rPr>
        <w:t>ok léčby (počítán celý rok!)</w:t>
      </w:r>
      <w:r w:rsidR="00585A90" w:rsidRPr="0079018E">
        <w:rPr>
          <w:rFonts w:cstheme="minorHAnsi"/>
          <w:b/>
          <w:sz w:val="30"/>
          <w:szCs w:val="30"/>
          <w:u w:val="single"/>
        </w:rPr>
        <w:t xml:space="preserve"> – 1. scénář</w:t>
      </w:r>
      <w:r w:rsidRPr="0079018E">
        <w:rPr>
          <w:rFonts w:cstheme="minorHAnsi"/>
          <w:b/>
          <w:sz w:val="30"/>
          <w:szCs w:val="30"/>
          <w:u w:val="single"/>
        </w:rPr>
        <w:t>:</w:t>
      </w:r>
    </w:p>
    <w:p w:rsidR="000A048D" w:rsidRDefault="00CD2B91">
      <w:pPr>
        <w:spacing w:after="0"/>
        <w:jc w:val="both"/>
        <w:rPr>
          <w:rFonts w:cstheme="minorHAnsi"/>
          <w:b/>
          <w:color w:val="FF0000"/>
          <w:u w:val="single"/>
        </w:rPr>
      </w:pPr>
      <w:r>
        <w:rPr>
          <w:rFonts w:cstheme="minorHAnsi"/>
          <w:b/>
          <w:color w:val="FF0000"/>
        </w:rPr>
        <w:t>(</w:t>
      </w:r>
      <w:r w:rsidR="00585A90">
        <w:rPr>
          <w:rFonts w:cstheme="minorHAnsi"/>
          <w:b/>
          <w:color w:val="FF0000"/>
        </w:rPr>
        <w:t>Detaily ke scénáři viz výše CEA – 1. scénář.)</w:t>
      </w:r>
    </w:p>
    <w:p w:rsidR="000A048D" w:rsidRPr="002D50D9" w:rsidRDefault="000A048D">
      <w:pPr>
        <w:spacing w:after="0"/>
        <w:jc w:val="both"/>
        <w:rPr>
          <w:rFonts w:cstheme="minorHAnsi"/>
          <w:b/>
          <w:sz w:val="4"/>
          <w:szCs w:val="4"/>
          <w:u w:val="single"/>
        </w:rPr>
      </w:pPr>
    </w:p>
    <w:p w:rsidR="002D50D9" w:rsidRDefault="002D50D9" w:rsidP="00A936EB">
      <w:pPr>
        <w:spacing w:after="0"/>
        <w:ind w:left="227"/>
        <w:jc w:val="both"/>
        <w:rPr>
          <w:rFonts w:cstheme="minorHAnsi"/>
          <w:b/>
          <w:sz w:val="10"/>
          <w:szCs w:val="10"/>
          <w:u w:val="single"/>
        </w:rPr>
      </w:pPr>
      <w:r>
        <w:rPr>
          <w:rFonts w:cstheme="minorHAnsi"/>
          <w:b/>
          <w:noProof/>
          <w:sz w:val="10"/>
          <w:szCs w:val="10"/>
          <w:u w:val="single"/>
          <w:lang w:eastAsia="cs-CZ"/>
        </w:rPr>
        <w:drawing>
          <wp:inline distT="0" distB="0" distL="0" distR="0">
            <wp:extent cx="6564702" cy="3648973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05" cy="36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D" w:rsidRPr="00156186" w:rsidRDefault="000A048D">
      <w:pPr>
        <w:spacing w:after="0"/>
        <w:jc w:val="both"/>
        <w:rPr>
          <w:rFonts w:cstheme="minorHAnsi"/>
          <w:sz w:val="2"/>
          <w:szCs w:val="2"/>
        </w:rPr>
      </w:pPr>
    </w:p>
    <w:p w:rsidR="000A048D" w:rsidRPr="00156186" w:rsidRDefault="00DE1525">
      <w:pPr>
        <w:spacing w:after="0"/>
        <w:jc w:val="both"/>
        <w:rPr>
          <w:rFonts w:cstheme="minorHAnsi"/>
          <w:b/>
          <w:color w:val="FF0000"/>
          <w:sz w:val="21"/>
          <w:szCs w:val="21"/>
        </w:rPr>
      </w:pP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CAVE! LP AKEEGA, TALZENNA+XTANDI</w:t>
      </w:r>
      <w:r w:rsidR="0079018E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 či LYNPARZU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+ABIRATERON bude většina pac. </w:t>
      </w:r>
      <w:proofErr w:type="gramStart"/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užívat</w:t>
      </w:r>
      <w:proofErr w:type="gramEnd"/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 i v 2. roce (oproti samotnému ARPI)</w:t>
      </w:r>
      <w:r w:rsidRPr="00156186">
        <w:rPr>
          <w:rFonts w:cstheme="minorHAnsi"/>
          <w:b/>
          <w:color w:val="FF0000"/>
          <w:sz w:val="21"/>
          <w:szCs w:val="21"/>
          <w:highlight w:val="yellow"/>
        </w:rPr>
        <w:t xml:space="preserve">, menšina pak ve 3., případně dalším roce 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– tzn. dopad do rozpočtu se bude </w:t>
      </w:r>
      <w:r w:rsidR="00156186"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u </w:t>
      </w:r>
      <w:r w:rsidR="0079018E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větší </w:t>
      </w:r>
      <w:r w:rsidR="00156186"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části pac</w:t>
      </w:r>
      <w:r w:rsidR="0079018E">
        <w:rPr>
          <w:rFonts w:cstheme="minorHAnsi"/>
          <w:b/>
          <w:color w:val="FF0000"/>
          <w:sz w:val="21"/>
          <w:szCs w:val="21"/>
          <w:highlight w:val="yellow"/>
          <w:u w:val="single"/>
        </w:rPr>
        <w:t>.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 přenášet i do dalších let</w:t>
      </w:r>
      <w:r w:rsidRPr="00156186">
        <w:rPr>
          <w:rFonts w:cstheme="minorHAnsi"/>
          <w:b/>
          <w:color w:val="FF0000"/>
          <w:sz w:val="21"/>
          <w:szCs w:val="21"/>
          <w:highlight w:val="yellow"/>
        </w:rPr>
        <w:t>!</w:t>
      </w:r>
    </w:p>
    <w:p w:rsidR="000A048D" w:rsidRPr="00156186" w:rsidRDefault="000A048D">
      <w:pPr>
        <w:spacing w:after="0"/>
        <w:jc w:val="both"/>
        <w:rPr>
          <w:rFonts w:cstheme="minorHAnsi"/>
          <w:b/>
          <w:color w:val="FF0000"/>
          <w:sz w:val="20"/>
          <w:szCs w:val="20"/>
          <w:u w:val="single"/>
        </w:rPr>
      </w:pPr>
    </w:p>
    <w:p w:rsidR="00585A90" w:rsidRPr="0079018E" w:rsidRDefault="00585A90" w:rsidP="00585A90">
      <w:pPr>
        <w:spacing w:after="0"/>
        <w:jc w:val="both"/>
        <w:rPr>
          <w:rFonts w:cstheme="minorHAnsi"/>
          <w:b/>
          <w:sz w:val="30"/>
          <w:szCs w:val="30"/>
          <w:u w:val="single"/>
        </w:rPr>
      </w:pPr>
      <w:r w:rsidRPr="0079018E">
        <w:rPr>
          <w:rFonts w:cstheme="minorHAnsi"/>
          <w:b/>
          <w:sz w:val="30"/>
          <w:szCs w:val="30"/>
          <w:u w:val="single"/>
        </w:rPr>
        <w:t>Výsledky BIA pro 5</w:t>
      </w:r>
      <w:r w:rsidR="00162ACC" w:rsidRPr="0079018E">
        <w:rPr>
          <w:rFonts w:cstheme="minorHAnsi"/>
          <w:b/>
          <w:sz w:val="30"/>
          <w:szCs w:val="30"/>
          <w:u w:val="single"/>
        </w:rPr>
        <w:t xml:space="preserve"> pacientů za 1. rok léčby (počítán celý rok!) </w:t>
      </w:r>
      <w:r w:rsidRPr="0079018E">
        <w:rPr>
          <w:rFonts w:cstheme="minorHAnsi"/>
          <w:b/>
          <w:sz w:val="30"/>
          <w:szCs w:val="30"/>
          <w:u w:val="single"/>
        </w:rPr>
        <w:t>– 2. scénář:</w:t>
      </w:r>
    </w:p>
    <w:p w:rsidR="00585A90" w:rsidRDefault="00585A90" w:rsidP="00585A90">
      <w:pPr>
        <w:spacing w:after="0"/>
        <w:jc w:val="both"/>
        <w:rPr>
          <w:rFonts w:cstheme="minorHAnsi"/>
          <w:b/>
          <w:color w:val="FF0000"/>
          <w:u w:val="single"/>
        </w:rPr>
      </w:pPr>
      <w:r>
        <w:rPr>
          <w:rFonts w:cstheme="minorHAnsi"/>
          <w:b/>
          <w:color w:val="FF0000"/>
        </w:rPr>
        <w:t xml:space="preserve">(Detaily ke scénáři viz výše CEA – 2. scénář. </w:t>
      </w:r>
      <w:r w:rsidRPr="00DC01B7">
        <w:rPr>
          <w:rFonts w:cstheme="minorHAnsi"/>
          <w:b/>
          <w:color w:val="FF0000"/>
          <w:highlight w:val="yellow"/>
        </w:rPr>
        <w:t xml:space="preserve">CAVE! </w:t>
      </w:r>
      <w:r w:rsidR="00DC01B7" w:rsidRPr="00DC01B7">
        <w:rPr>
          <w:rFonts w:cstheme="minorHAnsi"/>
          <w:b/>
          <w:color w:val="FF0000"/>
          <w:highlight w:val="yellow"/>
        </w:rPr>
        <w:t>v tomto scénáři již není uvažováno další podávání ARPI</w:t>
      </w:r>
      <w:r w:rsidR="00DC01B7">
        <w:rPr>
          <w:rFonts w:cstheme="minorHAnsi"/>
          <w:b/>
          <w:color w:val="FF0000"/>
          <w:highlight w:val="yellow"/>
        </w:rPr>
        <w:t xml:space="preserve">, za situace nepodání </w:t>
      </w:r>
      <w:proofErr w:type="spellStart"/>
      <w:r w:rsidR="00DC01B7">
        <w:rPr>
          <w:rFonts w:cstheme="minorHAnsi"/>
          <w:b/>
          <w:color w:val="FF0000"/>
          <w:highlight w:val="yellow"/>
        </w:rPr>
        <w:t>PARPi</w:t>
      </w:r>
      <w:proofErr w:type="spellEnd"/>
      <w:r w:rsidR="00DC01B7" w:rsidRPr="00DC01B7">
        <w:rPr>
          <w:rFonts w:cstheme="minorHAnsi"/>
          <w:b/>
          <w:color w:val="FF0000"/>
          <w:highlight w:val="yellow"/>
        </w:rPr>
        <w:t>!</w:t>
      </w:r>
      <w:r w:rsidR="00DC01B7">
        <w:rPr>
          <w:rFonts w:cstheme="minorHAnsi"/>
          <w:b/>
          <w:color w:val="FF0000"/>
        </w:rPr>
        <w:t xml:space="preserve"> </w:t>
      </w:r>
      <w:r>
        <w:rPr>
          <w:rFonts w:cstheme="minorHAnsi"/>
          <w:b/>
          <w:color w:val="FF0000"/>
        </w:rPr>
        <w:t>LP XOFIGO je hrazen jen u pacientů mj. se symptom</w:t>
      </w:r>
      <w:r w:rsidR="00182F67">
        <w:rPr>
          <w:rFonts w:cstheme="minorHAnsi"/>
          <w:b/>
          <w:color w:val="FF0000"/>
        </w:rPr>
        <w:t>atickými</w:t>
      </w:r>
      <w:r>
        <w:rPr>
          <w:rFonts w:cstheme="minorHAnsi"/>
          <w:b/>
          <w:color w:val="FF0000"/>
        </w:rPr>
        <w:t xml:space="preserve"> metastázami v kostech a bez viscerálních metastáz či maligní lymfadenopatií větší než 3 cm!)</w:t>
      </w:r>
    </w:p>
    <w:p w:rsidR="00585A90" w:rsidRDefault="00182F67" w:rsidP="00A936EB">
      <w:pPr>
        <w:spacing w:after="0"/>
        <w:ind w:left="283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noProof/>
          <w:sz w:val="20"/>
          <w:szCs w:val="20"/>
          <w:u w:val="single"/>
          <w:lang w:eastAsia="cs-CZ"/>
        </w:rPr>
        <w:drawing>
          <wp:inline distT="0" distB="0" distL="0" distR="0">
            <wp:extent cx="6487065" cy="3830128"/>
            <wp:effectExtent l="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17" cy="38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8E" w:rsidRPr="00156186" w:rsidRDefault="0079018E" w:rsidP="0079018E">
      <w:pPr>
        <w:spacing w:after="0"/>
        <w:jc w:val="both"/>
        <w:rPr>
          <w:rFonts w:cstheme="minorHAnsi"/>
          <w:b/>
          <w:color w:val="FF0000"/>
          <w:sz w:val="21"/>
          <w:szCs w:val="21"/>
        </w:rPr>
      </w:pP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CAVE! LP AKEEGA</w:t>
      </w:r>
      <w:r>
        <w:rPr>
          <w:rFonts w:cstheme="minorHAnsi"/>
          <w:b/>
          <w:color w:val="FF0000"/>
          <w:sz w:val="21"/>
          <w:szCs w:val="21"/>
          <w:highlight w:val="yellow"/>
          <w:u w:val="single"/>
        </w:rPr>
        <w:t>, TALZENNA+XTANDI či samotnou LYNPARZU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 bude </w:t>
      </w:r>
      <w:r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jen menšina 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pac. </w:t>
      </w:r>
      <w:proofErr w:type="gramStart"/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užívat</w:t>
      </w:r>
      <w:proofErr w:type="gramEnd"/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 i v 2. roce – tzn. dopad do rozpočtu se bude </w:t>
      </w:r>
      <w:r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jen 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u </w:t>
      </w:r>
      <w:r>
        <w:rPr>
          <w:rFonts w:cstheme="minorHAnsi"/>
          <w:b/>
          <w:color w:val="FF0000"/>
          <w:sz w:val="21"/>
          <w:szCs w:val="21"/>
          <w:highlight w:val="yellow"/>
          <w:u w:val="single"/>
        </w:rPr>
        <w:t xml:space="preserve">malé </w:t>
      </w:r>
      <w:r w:rsidRPr="00156186">
        <w:rPr>
          <w:rFonts w:cstheme="minorHAnsi"/>
          <w:b/>
          <w:color w:val="FF0000"/>
          <w:sz w:val="21"/>
          <w:szCs w:val="21"/>
          <w:highlight w:val="yellow"/>
          <w:u w:val="single"/>
        </w:rPr>
        <w:t>části pacientů přenášet i do dalších let</w:t>
      </w:r>
      <w:r w:rsidRPr="00156186">
        <w:rPr>
          <w:rFonts w:cstheme="minorHAnsi"/>
          <w:b/>
          <w:color w:val="FF0000"/>
          <w:sz w:val="21"/>
          <w:szCs w:val="21"/>
          <w:highlight w:val="yellow"/>
        </w:rPr>
        <w:t>!</w:t>
      </w:r>
    </w:p>
    <w:p w:rsidR="000A048D" w:rsidRDefault="000A048D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</w:p>
    <w:p w:rsidR="000A048D" w:rsidRDefault="007D653E">
      <w:pPr>
        <w:spacing w:after="0"/>
        <w:jc w:val="both"/>
        <w:rPr>
          <w:rFonts w:cstheme="minorHAnsi"/>
          <w:b/>
          <w:sz w:val="4"/>
          <w:szCs w:val="4"/>
          <w:u w:val="single"/>
        </w:rPr>
      </w:pPr>
      <w:r>
        <w:rPr>
          <w:noProof/>
        </w:rPr>
        <w:pict>
          <v:rect id="Textové pole 5" o:spid="_x0000_s1035" style="position:absolute;left:0;text-align:left;margin-left:.85pt;margin-top:1.3pt;width:540.9pt;height:771.6pt;z-index:136;visibility:visible;mso-wrap-style:square;mso-wrap-distance-left:1.5pt;mso-wrap-distance-top:1.5pt;mso-wrap-distance-right:1.5pt;mso-wrap-distance-bottom:1.5pt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" o:allowincell="f" fillcolor="white [3201]" strokeweight="3pt">
            <v:stroke joinstyle="round"/>
            <v:textbox>
              <w:txbxContent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Závěr:</w:t>
                  </w:r>
                </w:p>
                <w:p w:rsidR="008D7870" w:rsidRPr="00786E56" w:rsidRDefault="005D23A3" w:rsidP="008F0981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</w:rPr>
                  </w:pPr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>LP AKEEGA je kombin</w:t>
                  </w:r>
                  <w:r w:rsidR="00786E56"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>o</w:t>
                  </w:r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 xml:space="preserve">vaný LP s obsahem </w:t>
                  </w:r>
                  <w:proofErr w:type="spellStart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>niraparibu</w:t>
                  </w:r>
                  <w:proofErr w:type="spell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 xml:space="preserve">, což je inhibitor </w:t>
                  </w:r>
                  <w:proofErr w:type="spellStart"/>
                  <w:proofErr w:type="gramStart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>poly</w:t>
                  </w:r>
                  <w:proofErr w:type="spell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>(ADP-ribóza</w:t>
                  </w:r>
                  <w:proofErr w:type="gram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 xml:space="preserve">)polymerázy (PARP – viz podobněji pozn. 26), </w:t>
                  </w:r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 xml:space="preserve">a </w:t>
                  </w:r>
                  <w:proofErr w:type="spellStart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>abirateron</w:t>
                  </w:r>
                  <w:proofErr w:type="spell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  <w:u w:val="single"/>
                    </w:rPr>
                    <w:t>-acetátu</w:t>
                  </w:r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 xml:space="preserve"> (který je </w:t>
                  </w:r>
                  <w:proofErr w:type="spellStart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>proléčivem</w:t>
                  </w:r>
                  <w:proofErr w:type="spell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>abirateronu</w:t>
                  </w:r>
                  <w:proofErr w:type="spellEnd"/>
                  <w:r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>), což je inhibitor CYP17 a patří mezi tzv. ARPI (viz podobněji pozn. 16)</w:t>
                  </w:r>
                  <w:r w:rsidR="008D7870" w:rsidRPr="00786E56">
                    <w:rPr>
                      <w:rFonts w:eastAsia="TimesNewRomanPSMT" w:cs="TimesNewRomanPSMT"/>
                      <w:b/>
                      <w:sz w:val="23"/>
                      <w:szCs w:val="23"/>
                    </w:rPr>
                    <w:t xml:space="preserve">.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Držitel registrace</w:t>
                  </w:r>
                  <w:r w:rsidR="008F0981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je firma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>Janssen-Cilag</w:t>
                  </w:r>
                  <w:proofErr w:type="spellEnd"/>
                  <w:r w:rsidR="008F0981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.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Indikac</w:t>
                  </w:r>
                  <w:r w:rsid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í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dle SPC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vertAlign w:val="superscript"/>
                    </w:rPr>
                    <w:t>2</w:t>
                  </w:r>
                  <w:r w:rsidR="008F0981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je: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>„</w:t>
                  </w:r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spolu s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prednisonem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nebo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prednisolonem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(pozn. autora této FE analýzy: viz podrobněji níže pozn. 6)</w:t>
                  </w:r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k léčbě dospělých pacientů s metastazujícím,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kastračně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rezistentním karcinomem prostaty (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mCRPC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,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metastatic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castration-resistant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prostate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>cancer</w:t>
                  </w:r>
                  <w:proofErr w:type="spellEnd"/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 –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>pozn. autora této FE analýzy: viz podrobněji níže odstavec „Stručná charakteristika onemocnění“ a Přílohu č. 3</w:t>
                  </w:r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) a mutacemi genu BRCA 1/2 (zárodečné a/nebo somatické -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>pozn. autora této FE analýzy: viz podrobněji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informace uvedené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>níže</w:t>
                  </w:r>
                  <w:r w:rsidR="008D7870" w:rsidRPr="00786E56">
                    <w:rPr>
                      <w:rFonts w:cstheme="minorHAnsi"/>
                      <w:b/>
                      <w:i/>
                      <w:sz w:val="23"/>
                      <w:szCs w:val="23"/>
                    </w:rPr>
                    <w:t xml:space="preserve">), u kterých není klinicky indikována chemoterapie </w:t>
                  </w:r>
                  <w:r w:rsidR="008D7870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(pozn. autora této FE analýzy: viz podrobněji níže pozn. 5)“. 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</w:rPr>
                    <w:t>Např. v observační studii CAPTURE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  <w:vertAlign w:val="superscript"/>
                    </w:rPr>
                    <w:t>59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(viz podrobněji pozn. 60) byla četnost zastoupení mutací </w:t>
                  </w:r>
                  <w:r w:rsidR="006518A4" w:rsidRPr="00786E56">
                    <w:rPr>
                      <w:rFonts w:cstheme="minorHAnsi"/>
                      <w:b/>
                      <w:i/>
                      <w:iCs/>
                      <w:sz w:val="23"/>
                      <w:szCs w:val="23"/>
                      <w:u w:val="single"/>
                    </w:rPr>
                    <w:t>BRCA1/2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(jak zárodečných, tak somatických) mezi pacienty určenými k léčbě 1. linie pro </w:t>
                  </w:r>
                  <w:proofErr w:type="spellStart"/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mCRPC</w:t>
                  </w:r>
                  <w:proofErr w:type="spellEnd"/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ve výši </w:t>
                  </w:r>
                  <w:proofErr w:type="gramStart"/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13,2 %</w:t>
                  </w:r>
                  <w:r w:rsidR="006518A4"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.</w:t>
                  </w:r>
                  <w:proofErr w:type="gramEnd"/>
                </w:p>
                <w:p w:rsidR="008F0981" w:rsidRPr="00786E56" w:rsidRDefault="008F0981" w:rsidP="008F0981">
                  <w:pPr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  <w:r w:rsidRPr="00786E56">
                    <w:rPr>
                      <w:rFonts w:cstheme="minorHAnsi"/>
                      <w:b/>
                      <w:sz w:val="23"/>
                      <w:szCs w:val="23"/>
                    </w:rPr>
                    <w:t>LP AKEEGA byl registrován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vertAlign w:val="superscript"/>
                    </w:rPr>
                    <w:t xml:space="preserve">1 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(centralizovaným postupem EMA pro EU) dne 19. 4. 2023. 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K datu 4. 6. 2024 nemá LP dosud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>SUKLem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  <w:t xml:space="preserve"> stanovenou úhradu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– SŘ o úhradě tohoto LP nebylo k tomuto datu ani zahájeno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vertAlign w:val="superscript"/>
                    </w:rPr>
                    <w:t>3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</w:rPr>
                    <w:t>. Pro podrobnější charakteristiky pac</w:t>
                  </w:r>
                  <w:r w:rsidR="00786E56">
                    <w:rPr>
                      <w:rFonts w:cstheme="minorHAnsi"/>
                      <w:b/>
                      <w:sz w:val="23"/>
                      <w:szCs w:val="23"/>
                    </w:rPr>
                    <w:t>ientů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</w:rPr>
                    <w:t xml:space="preserve"> zařazených do studie s LP AKEEGA (zejména hodnotu BPI-SF) viz Přílohu č. 17! </w:t>
                  </w:r>
                  <w:proofErr w:type="gramStart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>Tzn.</w:t>
                  </w:r>
                  <w:proofErr w:type="gram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aktuálně by </w:t>
                  </w:r>
                  <w:proofErr w:type="gramStart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>byla</w:t>
                  </w:r>
                  <w:proofErr w:type="gram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u LP požadována mimořádná úhrada ze zdrav</w:t>
                  </w:r>
                  <w:r w:rsidR="00786E56">
                    <w:rPr>
                      <w:b/>
                      <w:sz w:val="23"/>
                      <w:szCs w:val="23"/>
                      <w:u w:val="single"/>
                    </w:rPr>
                    <w:t>otního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pojištění 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dle ustanovení § 16 zákona č. 48/1997 Sb. o veřejném zdravotním pojištění. 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>Např. kanadská CADTh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  <w:vertAlign w:val="superscript"/>
                    </w:rPr>
                    <w:t>107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doporučila pro LP AKEEGA mj. další následující podmínky úhrady: (1)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nepodstoupili předchozí léčbu ARPI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(viz níže pozn. 16)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pro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mHSPC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(viz níže pozn. 46)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nebo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nmCRPC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(viz níže pozn. 49)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, (2)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nepodstoupili předchozí systém. </w:t>
                  </w:r>
                  <w:proofErr w:type="gram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léčbu</w:t>
                  </w:r>
                  <w:proofErr w:type="gramEnd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mCRPC</w:t>
                  </w:r>
                  <w:proofErr w:type="spellEnd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, kromě &lt; 4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měs</w:t>
                  </w:r>
                  <w:proofErr w:type="spellEnd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.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abirateronu</w:t>
                  </w:r>
                  <w:proofErr w:type="spellEnd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 s 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prednisonem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(viz níže pozn. 6)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 xml:space="preserve">pro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mCRPC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, (3) </w:t>
                  </w:r>
                  <w:r w:rsidRPr="00786E56">
                    <w:rPr>
                      <w:b/>
                      <w:i/>
                      <w:sz w:val="23"/>
                      <w:szCs w:val="23"/>
                      <w:u w:val="single"/>
                    </w:rPr>
                    <w:t>pacienti s ECOG statusem 0-1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(viz Přílohu č. 10).</w:t>
                  </w:r>
                  <w:r w:rsidR="00786E56">
                    <w:rPr>
                      <w:b/>
                      <w:sz w:val="23"/>
                      <w:szCs w:val="23"/>
                    </w:rPr>
                    <w:t xml:space="preserve"> </w:t>
                  </w:r>
                  <w:r w:rsidRPr="00786E56">
                    <w:rPr>
                      <w:b/>
                      <w:sz w:val="23"/>
                      <w:szCs w:val="23"/>
                    </w:rPr>
                    <w:t>Anglická NICE hodnocení LP AKEEGA k datu 4. 6. 2024 pozastavila</w:t>
                  </w:r>
                  <w:r w:rsidRPr="00786E56">
                    <w:rPr>
                      <w:b/>
                      <w:sz w:val="23"/>
                      <w:szCs w:val="23"/>
                      <w:vertAlign w:val="superscript"/>
                    </w:rPr>
                    <w:t>108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. Pro přehled navrhovaných podmínek úhrady v ČR pro další (v ČR) dostupné LP s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viz tabulku „</w:t>
                  </w:r>
                  <w:r w:rsidRPr="00786E56">
                    <w:rPr>
                      <w:b/>
                      <w:i/>
                      <w:sz w:val="23"/>
                      <w:szCs w:val="23"/>
                    </w:rPr>
                    <w:t xml:space="preserve">Přehled aktuálně dostupných </w:t>
                  </w:r>
                  <w:proofErr w:type="spellStart"/>
                  <w:r w:rsidRPr="00786E56">
                    <w:rPr>
                      <w:b/>
                      <w:i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i/>
                      <w:sz w:val="23"/>
                      <w:szCs w:val="23"/>
                    </w:rPr>
                    <w:t xml:space="preserve"> …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“ uvedenou </w:t>
                  </w:r>
                  <w:r w:rsidR="00786E56">
                    <w:rPr>
                      <w:b/>
                      <w:sz w:val="23"/>
                      <w:szCs w:val="23"/>
                    </w:rPr>
                    <w:t>výše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 v odstavci „</w:t>
                  </w:r>
                  <w:r w:rsidRPr="00786E56">
                    <w:rPr>
                      <w:b/>
                      <w:i/>
                      <w:sz w:val="23"/>
                      <w:szCs w:val="23"/>
                    </w:rPr>
                    <w:t>Postavení léčiva v …</w:t>
                  </w:r>
                  <w:r w:rsidRPr="00786E56">
                    <w:rPr>
                      <w:b/>
                      <w:sz w:val="23"/>
                      <w:szCs w:val="23"/>
                    </w:rPr>
                    <w:t>“.</w:t>
                  </w:r>
                </w:p>
                <w:p w:rsidR="000A2769" w:rsidRPr="00786E56" w:rsidRDefault="006518A4" w:rsidP="000A2769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Obecně výběr úvodní systémové léčby </w:t>
                  </w:r>
                  <w:r w:rsid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u 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CRPC závisí na mnoha faktorech, zejména na druhu předcházející systémové léčby, na místě a rozsahu postižení, na zdatnosti pacienta (viz Přílohu č. 10), na event. přítomnosti symptomů (viz</w:t>
                  </w:r>
                  <w:r w:rsid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níže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pozn. 11 a Příloha č. 12)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  <w:vertAlign w:val="superscript"/>
                    </w:rPr>
                    <w:t>18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.</w:t>
                  </w:r>
                  <w:r w:rsidR="000A2769"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Ve světě se používají pro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už čtyři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PARPi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: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olaparib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,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niraparib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,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talazoparib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a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rucaparib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(v EU ale není u LP s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rucaparibem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schválená indikace pro karcinom prostaty!), proto byly jako </w:t>
                  </w:r>
                  <w:proofErr w:type="spellStart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>kompáratory</w:t>
                  </w:r>
                  <w:proofErr w:type="spellEnd"/>
                  <w:r w:rsidR="000A2769" w:rsidRPr="00786E56">
                    <w:rPr>
                      <w:rFonts w:cstheme="minorHAnsi"/>
                      <w:b/>
                      <w:bCs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v této FE analýze vybrány jen léčebné režimy s prvními třemi – detaily viz výše v textu.</w:t>
                  </w:r>
                </w:p>
                <w:p w:rsidR="001C1113" w:rsidRPr="00786E56" w:rsidRDefault="001C1113" w:rsidP="008F0981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</w:rPr>
                  </w:pPr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 xml:space="preserve">Studie (viz Přílohu č. 22 s výsledky studií) ukazují, že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inhibice PARP je u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mCRPC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s mutací </w:t>
                  </w:r>
                  <w:r w:rsidRPr="00786E56">
                    <w:rPr>
                      <w:b/>
                      <w:i/>
                      <w:color w:val="000000"/>
                      <w:sz w:val="23"/>
                      <w:szCs w:val="23"/>
                      <w:u w:val="single"/>
                    </w:rPr>
                    <w:t>BRCA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lepší než žádná inhibice PARP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>, chybí však data porovnávající kombinaci s 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 xml:space="preserve"> + ARPI se sekvenčním použitím ARPI a pak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 xml:space="preserve">, či naopak -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slibná jsou data (ve prospěch kombinace oproti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sekvenace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) ze studie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BRCAAway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(viz níže pozn. 64),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 xml:space="preserve"> ale nedostatkem této studie je velmi malá velikost populace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vertAlign w:val="superscript"/>
                    </w:rPr>
                    <w:t>62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</w:rPr>
                    <w:t xml:space="preserve">.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Na konferenci APCC v roce 2024 zazněl následující pohled na problematiku (viz pro srovnání doporučení uvedená výše a </w:t>
                  </w:r>
                  <w:r w:rsid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níže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Přílohu č. </w:t>
                  </w:r>
                  <w:proofErr w:type="gram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13):</w:t>
                  </w:r>
                  <w:r w:rsid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(1) kombinace</w:t>
                  </w:r>
                  <w:proofErr w:type="gram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ARPI +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PARPi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jsou rozumnou možností pro ARPI naivní pacienty s </w:t>
                  </w:r>
                  <w:r w:rsidRPr="00786E56">
                    <w:rPr>
                      <w:b/>
                      <w:i/>
                      <w:color w:val="000000"/>
                      <w:sz w:val="23"/>
                      <w:szCs w:val="23"/>
                      <w:u w:val="single"/>
                    </w:rPr>
                    <w:t>BRCA1/2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mutovaným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mCRPC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(všechny dostupné </w:t>
                  </w:r>
                  <w:r w:rsid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LP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v ČR mají NCCN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  <w:vertAlign w:val="superscript"/>
                    </w:rPr>
                    <w:t>24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sílu doporučení kategorie 1, LYNPARZA má ESMO-MCBS skóre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  <w:vertAlign w:val="superscript"/>
                    </w:rPr>
                    <w:t>63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2, ostatní </w:t>
                  </w:r>
                  <w:r w:rsid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mají skóre 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3), přičemž je třeba brát v úvahu nedostatek definitivních údajů a riziko zvýšené toxicity u kombinace, (2) v situaci po předcházejícím užívání ARPI je odůvodnění pro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použítí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kombinace nejasné a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monoterapie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PARPi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měla být považována za standardní možnost (jen </w:t>
                  </w:r>
                  <w:proofErr w:type="spellStart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olaparib</w:t>
                  </w:r>
                  <w:proofErr w:type="spellEnd"/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má NCCN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  <w:vertAlign w:val="superscript"/>
                    </w:rPr>
                    <w:t>24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sílu doporučení kategorie 1 a má ESMO-MCBS skóre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  <w:vertAlign w:val="superscript"/>
                    </w:rPr>
                    <w:t>63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 xml:space="preserve"> 3), dokud se neprokáže opak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  <w:vertAlign w:val="superscript"/>
                    </w:rPr>
                    <w:t>62</w:t>
                  </w:r>
                  <w:r w:rsidRPr="00786E56">
                    <w:rPr>
                      <w:b/>
                      <w:color w:val="000000"/>
                      <w:sz w:val="23"/>
                      <w:szCs w:val="23"/>
                      <w:u w:val="single"/>
                    </w:rPr>
                    <w:t>!</w:t>
                  </w:r>
                </w:p>
                <w:p w:rsidR="000070EE" w:rsidRPr="00786E56" w:rsidRDefault="000070EE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color w:val="000000"/>
                      <w:sz w:val="23"/>
                      <w:szCs w:val="23"/>
                    </w:rPr>
                  </w:pPr>
                  <w:r w:rsidRPr="00786E56">
                    <w:rPr>
                      <w:b/>
                      <w:sz w:val="23"/>
                      <w:szCs w:val="23"/>
                    </w:rPr>
                    <w:t xml:space="preserve">Rozdílné profily kináz „mimo cíl“ (viz Přílohu č. 24) a profily nepříznivých vedlejších účinků mezi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(viz Přílohu č. 30) vyvracejí předpoklad, že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jsou klinicky ekvivalentní ve všech scénářích onemocnění a léčby, kromě toho se mohou rozdíly mezi nimi zvětšit, když se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PARPi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použijí v kombinaci s jinými léky, které by mohly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synergizovat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odlišně s různými kinázovými „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mimocílovými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>“ účinky PARPi.</w:t>
                  </w:r>
                  <w:r w:rsidRPr="00786E56">
                    <w:rPr>
                      <w:b/>
                      <w:sz w:val="23"/>
                      <w:szCs w:val="23"/>
                      <w:vertAlign w:val="superscript"/>
                    </w:rPr>
                    <w:t>123</w:t>
                  </w:r>
                </w:p>
                <w:p w:rsidR="000F5B05" w:rsidRPr="00786E56" w:rsidRDefault="000F5B05" w:rsidP="000F5B05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</w:pP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Účinnost LP AKEEGA byla stanovena v randomizované, placebem kontrolované multicentrické klinické studii fáze 3 u pacientů s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, studii MAGNITUDE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  <w:vertAlign w:val="superscript"/>
                    </w:rPr>
                    <w:t>2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– viz podrobněji Přílohu č. 17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. Výše </w:t>
                  </w:r>
                  <w:r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v textu 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uvedené kombinované režimy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PARPi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s ARPI nebyly porovnávány ve studiích proti sobě, ale měly samostatné studie porovnávané jen vůči samotnému ARPI – tyto studie (kromě MAGNITUDE, také  TALAPRO-2 a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PROpel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– viz podrobněji Přílohu č. 17) prokázaly významné zlepšení parametru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rPFS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pro kombinaci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PARPi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s ARPI zejména u pacientů s </w:t>
                  </w:r>
                  <w:r w:rsidRPr="00786E56">
                    <w:rPr>
                      <w:rFonts w:cstheme="minorHAnsi"/>
                      <w:b/>
                      <w:i/>
                      <w:sz w:val="23"/>
                      <w:szCs w:val="23"/>
                      <w:shd w:val="clear" w:color="auto" w:fill="FFFFFF"/>
                    </w:rPr>
                    <w:t>BRCA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mutací (viz níže pozn. 12) či </w:t>
                  </w:r>
                  <w:r w:rsidRPr="00786E56">
                    <w:rPr>
                      <w:rFonts w:cstheme="minorHAnsi"/>
                      <w:b/>
                      <w:i/>
                      <w:sz w:val="23"/>
                      <w:szCs w:val="23"/>
                      <w:shd w:val="clear" w:color="auto" w:fill="FFFFFF"/>
                    </w:rPr>
                    <w:t>HRR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mutací (viz níže pozn. 14) – viz podrobněji Přílohu č. 22. </w:t>
                  </w:r>
                </w:p>
                <w:p w:rsidR="00786E56" w:rsidRPr="00786E56" w:rsidRDefault="00786E56" w:rsidP="00786E56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</w:pPr>
                </w:p>
                <w:p w:rsidR="00786E56" w:rsidRP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spacing w:after="0"/>
                    <w:jc w:val="both"/>
                    <w:rPr>
                      <w:b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color w:val="000000"/>
                      <w:sz w:val="23"/>
                      <w:szCs w:val="23"/>
                    </w:rPr>
                  </w:pPr>
                </w:p>
                <w:p w:rsidR="000070EE" w:rsidRDefault="000070EE">
                  <w:pPr>
                    <w:pStyle w:val="Obsahrmce"/>
                    <w:spacing w:after="0" w:line="240" w:lineRule="auto"/>
                    <w:jc w:val="both"/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rFonts w:cstheme="minorHAnsi"/>
                      <w:sz w:val="16"/>
                      <w:szCs w:val="16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0070EE" w:rsidRDefault="000070EE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</w:txbxContent>
            </v:textbox>
            <w10:wrap anchorx="margin"/>
          </v:rect>
        </w:pict>
      </w:r>
    </w:p>
    <w:p w:rsidR="000A048D" w:rsidRDefault="000A048D">
      <w:pPr>
        <w:spacing w:after="0"/>
        <w:jc w:val="both"/>
        <w:rPr>
          <w:rFonts w:cstheme="minorHAnsi"/>
        </w:rPr>
      </w:pPr>
    </w:p>
    <w:p w:rsidR="000A048D" w:rsidRDefault="000A048D">
      <w:pPr>
        <w:spacing w:after="0"/>
        <w:jc w:val="both"/>
        <w:rPr>
          <w:rFonts w:cstheme="minorHAnsi"/>
        </w:rPr>
      </w:pPr>
    </w:p>
    <w:p w:rsidR="000A048D" w:rsidRDefault="00CD2B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0A048D" w:rsidRDefault="000A048D">
      <w:pPr>
        <w:spacing w:before="240" w:after="0"/>
        <w:rPr>
          <w:rFonts w:cstheme="minorHAnsi"/>
        </w:rPr>
      </w:pPr>
    </w:p>
    <w:p w:rsidR="00CF2FA5" w:rsidRDefault="00CF2FA5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9018E" w:rsidRDefault="0079018E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D653E">
      <w:pPr>
        <w:spacing w:before="240" w:after="0"/>
        <w:rPr>
          <w:rFonts w:cstheme="minorHAnsi"/>
        </w:rPr>
      </w:pPr>
      <w:r>
        <w:rPr>
          <w:rFonts w:cstheme="minorHAnsi"/>
          <w:noProof/>
          <w:lang w:eastAsia="cs-CZ"/>
        </w:rPr>
        <w:pict>
          <v:rect id="_x0000_s1049" style="position:absolute;margin-left:1.95pt;margin-top:.6pt;width:540.9pt;height:719.3pt;z-index:251665408;visibility:visible;mso-wrap-style:square;mso-wrap-distance-left:1.5pt;mso-wrap-distance-top:1.5pt;mso-wrap-distance-right:1.5pt;mso-wrap-distance-bottom:1.5pt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" o:allowincell="f" fillcolor="white [3201]" strokeweight="3pt">
            <v:stroke joinstyle="round"/>
            <v:textbox>
              <w:txbxContent>
                <w:p w:rsidR="00786E56" w:rsidRPr="000547A4" w:rsidRDefault="00786E56" w:rsidP="00786E56">
                  <w:pPr>
                    <w:spacing w:after="0"/>
                    <w:jc w:val="both"/>
                    <w:rPr>
                      <w:rFonts w:cstheme="minorHAnsi"/>
                      <w:b/>
                      <w:sz w:val="6"/>
                      <w:szCs w:val="6"/>
                      <w:highlight w:val="cyan"/>
                      <w:u w:val="single"/>
                      <w:shd w:val="clear" w:color="auto" w:fill="FFFFFF"/>
                    </w:rPr>
                  </w:pPr>
                </w:p>
                <w:p w:rsidR="00786E56" w:rsidRPr="00786E56" w:rsidRDefault="00786E56" w:rsidP="00786E56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</w:pP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Hlavním omezením implementace výsledků studií </w:t>
                  </w:r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s kombinací </w:t>
                  </w:r>
                  <w:proofErr w:type="spellStart"/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PARPi</w:t>
                  </w:r>
                  <w:proofErr w:type="spellEnd"/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s ARPI (tj. studie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PRO</w:t>
                  </w:r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pel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, TALAPRO-2 a MAGNITUDE</w:t>
                  </w:r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– viz Přílohu č. 17)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v klinické praxi jsou rozdíly mezi populacemi zařazené do těchto studií (</w:t>
                  </w:r>
                  <w:r w:rsidR="000F5B05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mj. 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většinou bez předchozího ARPI), a současnými a budoucími pacienty s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, z nichž většina již ARPI dostává pro léčbu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mHSPC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nebo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nemetastatického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CRPC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. Dostupné důkazy ukazují, že léčba druhým ARPI po progresi onemocnění na předchozím vede k omezeným léčebným odpovědím (viz podrobněji níže pozn. 16) a nebylo prokázáno, že by rezistence na ARPI mohla být překonána přidáním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PARPi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– naopak, </w:t>
                  </w:r>
                  <w:r w:rsidRP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explorativní analýza studie MAGNITUDE, která umožnila zahájení léčby </w:t>
                  </w:r>
                  <w:proofErr w:type="spellStart"/>
                  <w:r w:rsidRP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abirateronem</w:t>
                  </w:r>
                  <w:proofErr w:type="spellEnd"/>
                  <w:r w:rsidRP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před randomizací, uvedla sníženou protinádorovou účinnost u pacientů, kteří byli na </w:t>
                  </w:r>
                  <w:proofErr w:type="spellStart"/>
                  <w:r w:rsidRP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abirateronu</w:t>
                  </w:r>
                  <w:proofErr w:type="spellEnd"/>
                  <w:r w:rsidR="00063DB4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max. 4 měsíce pro </w:t>
                  </w:r>
                  <w:proofErr w:type="spellStart"/>
                  <w:r w:rsid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mCRPC</w:t>
                  </w:r>
                  <w:proofErr w:type="spellEnd"/>
                  <w:r w:rsid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před zahájením léčby </w:t>
                  </w:r>
                  <w:proofErr w:type="spellStart"/>
                  <w:r w:rsid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>niraparibem</w:t>
                  </w:r>
                  <w:proofErr w:type="spellEnd"/>
                  <w:r w:rsidR="00063DB4"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  <w:t xml:space="preserve"> (viz podrobněji Přílohu č. 34),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což naznačuje, že to zřejmě negativně ovlivňuje potenciální synergický účinek </w:t>
                  </w:r>
                  <w:proofErr w:type="spell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PARPi</w:t>
                  </w:r>
                  <w:proofErr w:type="spellEnd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 xml:space="preserve"> s </w:t>
                  </w:r>
                  <w:proofErr w:type="gramStart"/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</w:rPr>
                    <w:t>ARPI.</w:t>
                  </w:r>
                  <w:r w:rsidRPr="00786E56">
                    <w:rPr>
                      <w:rFonts w:cstheme="minorHAnsi"/>
                      <w:b/>
                      <w:sz w:val="23"/>
                      <w:szCs w:val="23"/>
                      <w:shd w:val="clear" w:color="auto" w:fill="FFFFFF"/>
                      <w:vertAlign w:val="superscript"/>
                    </w:rPr>
                    <w:t>67</w:t>
                  </w:r>
                  <w:proofErr w:type="gramEnd"/>
                </w:p>
                <w:p w:rsidR="00786E56" w:rsidRPr="000F5B05" w:rsidRDefault="00786E56" w:rsidP="00786E56">
                  <w:pPr>
                    <w:spacing w:after="0"/>
                    <w:jc w:val="both"/>
                    <w:rPr>
                      <w:rFonts w:cstheme="minorHAnsi"/>
                      <w:b/>
                      <w:sz w:val="23"/>
                      <w:szCs w:val="23"/>
                      <w:u w:val="single"/>
                      <w:shd w:val="clear" w:color="auto" w:fill="FFFFFF"/>
                    </w:rPr>
                  </w:pPr>
                  <w:r w:rsidRPr="000F5B05"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  <w:t>Pro přehledy výše uvedených a dalších studií s </w:t>
                  </w:r>
                  <w:proofErr w:type="spellStart"/>
                  <w:r w:rsidRPr="000F5B05"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  <w:t>PARPi</w:t>
                  </w:r>
                  <w:proofErr w:type="spellEnd"/>
                  <w:r w:rsidRPr="000F5B05"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  <w:t xml:space="preserve"> viz Přílohu č. 17 (charakteristiky studií a pacientů), Přílohu č. 22 (výsledky </w:t>
                  </w:r>
                  <w:proofErr w:type="spellStart"/>
                  <w:r w:rsidRPr="000F5B05"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  <w:t>účinnostních</w:t>
                  </w:r>
                  <w:proofErr w:type="spellEnd"/>
                  <w:r w:rsidRPr="000F5B05">
                    <w:rPr>
                      <w:rFonts w:cstheme="minorHAnsi"/>
                      <w:b/>
                      <w:sz w:val="23"/>
                      <w:szCs w:val="23"/>
                      <w:highlight w:val="cyan"/>
                      <w:u w:val="single"/>
                      <w:shd w:val="clear" w:color="auto" w:fill="FFFFFF"/>
                    </w:rPr>
                    <w:t xml:space="preserve"> parametrů) a Přílohu č. 30 (srovnání bezpečnostních parametrů).</w:t>
                  </w:r>
                </w:p>
                <w:p w:rsidR="000F5B05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  <w:r w:rsidRPr="00786E56">
                    <w:rPr>
                      <w:b/>
                      <w:sz w:val="23"/>
                      <w:szCs w:val="23"/>
                    </w:rPr>
                    <w:t xml:space="preserve">Při odhadované míře zastoupení </w:t>
                  </w:r>
                  <w:r w:rsidRPr="00786E56">
                    <w:rPr>
                      <w:b/>
                      <w:i/>
                      <w:sz w:val="23"/>
                      <w:szCs w:val="23"/>
                    </w:rPr>
                    <w:t>BRCA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 mutace u pacientů s 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</w:rPr>
                    <w:t>mCRPC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</w:rPr>
                    <w:t xml:space="preserve"> ve výši 10 %</w:t>
                  </w:r>
                  <w:r w:rsidRPr="00786E56">
                    <w:rPr>
                      <w:b/>
                      <w:sz w:val="23"/>
                      <w:szCs w:val="23"/>
                      <w:vertAlign w:val="superscript"/>
                    </w:rPr>
                    <w:t>106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, může činit 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>potenciální odhad pacientů vhodných k léčbě LP AKEEGA v</w:t>
                  </w:r>
                  <w:r w:rsidR="000F5B05">
                    <w:rPr>
                      <w:b/>
                      <w:sz w:val="23"/>
                      <w:szCs w:val="23"/>
                      <w:u w:val="single"/>
                    </w:rPr>
                    <w:t xml:space="preserve"> celé</w:t>
                  </w:r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 ČR maximálně na 50 pacientů/rok, ale velmi pravděpodobně (kvůli výše uvedené poměrně vysoko odhadované míře </w:t>
                  </w:r>
                  <w:proofErr w:type="spellStart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>nepředléčnosti</w:t>
                  </w:r>
                  <w:proofErr w:type="spellEnd"/>
                  <w:r w:rsidRPr="00786E56">
                    <w:rPr>
                      <w:b/>
                      <w:sz w:val="23"/>
                      <w:szCs w:val="23"/>
                      <w:u w:val="single"/>
                    </w:rPr>
                    <w:t xml:space="preserve"> ARPI u pacientů) se bude jednat (zejména v dalších letech) o nižší počty</w:t>
                  </w:r>
                  <w:r w:rsidRPr="00786E56">
                    <w:rPr>
                      <w:b/>
                      <w:sz w:val="23"/>
                      <w:szCs w:val="23"/>
                    </w:rPr>
                    <w:t xml:space="preserve">! </w:t>
                  </w: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u w:val="none"/>
                    </w:rPr>
                  </w:pPr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 xml:space="preserve">Aktuálně je OK FN Olomouc předpokládán počet </w:t>
                  </w:r>
                  <w:proofErr w:type="spellStart"/>
                  <w:proofErr w:type="gramStart"/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>pac</w:t>
                  </w:r>
                  <w:proofErr w:type="gramEnd"/>
                  <w:r w:rsidR="00063DB4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>.</w:t>
                  </w:r>
                  <w:proofErr w:type="gramStart"/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>vhodných</w:t>
                  </w:r>
                  <w:proofErr w:type="spellEnd"/>
                  <w:proofErr w:type="gramEnd"/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 xml:space="preserve"> pro LP AKEEGA na 5 pacientů v daném roce</w:t>
                  </w:r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  <w:vertAlign w:val="superscript"/>
                    </w:rPr>
                    <w:t>111</w:t>
                  </w:r>
                  <w:r w:rsidRPr="000F5B05"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highlight w:val="cyan"/>
                      <w:u w:val="none"/>
                    </w:rPr>
                    <w:t>.</w:t>
                  </w:r>
                </w:p>
                <w:p w:rsidR="000F5B05" w:rsidRPr="000F5B05" w:rsidRDefault="000F5B05" w:rsidP="000F5B05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0F5B05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Výsledky CEA</w:t>
                  </w:r>
                  <w:r w:rsidRPr="000F5B05">
                    <w:rPr>
                      <w:rFonts w:cstheme="minorHAnsi"/>
                      <w:b/>
                      <w:sz w:val="28"/>
                      <w:szCs w:val="28"/>
                    </w:rPr>
                    <w:t>:</w:t>
                  </w:r>
                </w:p>
                <w:p w:rsidR="000F5B05" w:rsidRPr="000F5B05" w:rsidRDefault="000F5B05" w:rsidP="000F5B05">
                  <w:pPr>
                    <w:pStyle w:val="Obsahrmce"/>
                    <w:numPr>
                      <w:ilvl w:val="0"/>
                      <w:numId w:val="10"/>
                    </w:num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0F5B05">
                    <w:rPr>
                      <w:b/>
                      <w:sz w:val="24"/>
                      <w:szCs w:val="24"/>
                    </w:rPr>
                    <w:t xml:space="preserve">mezi jednotlivými režimy jsou jen malé rozdíly v nákladové efektivitě, </w:t>
                  </w:r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>pravděpodobně LP LYNPARZA +/- ABIRATERON a TALZENNA s XTANDI budou lehce nákladově efektivnější než LP AKEEGA (viz výše výsledky CEA)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, LYNPARZA +/- ABIRATERON bude mít pravděpodobně nižší výskyt nežádoucích účinků stupně 3 a více,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monoterapie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LYNPARZOU má nejvíce dat pro použití u pacientů s předcházejícím ARPI (viz informace uvedené výše) a oproti kombinacím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PARPi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s ARPI by měla mít menší výskyt ukončení léčby pro výskyt nežádoucích účinků (viz Přílohu č. 30),</w:t>
                  </w:r>
                </w:p>
                <w:p w:rsidR="000F5B05" w:rsidRPr="000F5B05" w:rsidRDefault="000F5B05" w:rsidP="000F5B05">
                  <w:pPr>
                    <w:pStyle w:val="Obsahrmce"/>
                    <w:numPr>
                      <w:ilvl w:val="0"/>
                      <w:numId w:val="10"/>
                    </w:num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0F5B05">
                    <w:rPr>
                      <w:b/>
                      <w:sz w:val="24"/>
                      <w:szCs w:val="24"/>
                    </w:rPr>
                    <w:t xml:space="preserve">mezi jednotlivými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PARPi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jsou poměrně velké rozdíly v míře (i druzích) nežádoucích účincích (viz Přílohu č. 30), v působení na další kinázy či enzymy, v míře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interakč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>. potenciálu (viz Přílohu č. 24),</w:t>
                  </w:r>
                </w:p>
                <w:p w:rsidR="000F5B05" w:rsidRPr="000F5B05" w:rsidRDefault="000F5B05" w:rsidP="000F5B05">
                  <w:pPr>
                    <w:pStyle w:val="Obsahrmce"/>
                    <w:spacing w:after="0"/>
                    <w:jc w:val="both"/>
                    <w:rPr>
                      <w:b/>
                      <w:sz w:val="4"/>
                      <w:szCs w:val="4"/>
                    </w:rPr>
                  </w:pPr>
                </w:p>
                <w:p w:rsidR="000F5B05" w:rsidRPr="000F5B05" w:rsidRDefault="000F5B05" w:rsidP="000F5B05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0F5B05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 xml:space="preserve">Výsledky BIA pro 5 pac. </w:t>
                  </w:r>
                  <w:proofErr w:type="gramStart"/>
                  <w:r w:rsidRPr="000F5B05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indikovaných</w:t>
                  </w:r>
                  <w:proofErr w:type="gramEnd"/>
                  <w:r w:rsidRPr="000F5B05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 xml:space="preserve"> k LP AKEEGA za 1. rok (počítán celý rok)</w:t>
                  </w:r>
                  <w:r w:rsidRPr="000F5B05">
                    <w:rPr>
                      <w:rFonts w:cstheme="minorHAnsi"/>
                      <w:b/>
                      <w:sz w:val="28"/>
                      <w:szCs w:val="28"/>
                    </w:rPr>
                    <w:t>:</w:t>
                  </w:r>
                </w:p>
                <w:p w:rsidR="000F5B05" w:rsidRPr="000F5B05" w:rsidRDefault="000F5B05" w:rsidP="000F5B05">
                  <w:pPr>
                    <w:pStyle w:val="Odstavecseseznamem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0F5B05">
                    <w:rPr>
                      <w:rFonts w:cstheme="minorHAnsi"/>
                      <w:b/>
                      <w:sz w:val="24"/>
                      <w:szCs w:val="24"/>
                    </w:rPr>
                    <w:t xml:space="preserve">vynaložíme nejpravděpodobněji </w:t>
                  </w:r>
                  <w:r w:rsidRPr="000F5B05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navíc mezi 6,5 – 7,7 milióny Kč</w:t>
                  </w:r>
                  <w:r w:rsidRPr="000F5B05">
                    <w:rPr>
                      <w:rFonts w:cstheme="minorHAnsi"/>
                      <w:b/>
                      <w:sz w:val="24"/>
                      <w:szCs w:val="24"/>
                    </w:rPr>
                    <w:t xml:space="preserve">, v závislosti na složení mixu „nahrazovaných“ léčiv (viz výše výsledky BIA), je důležité poznamenat, že většina pacientů (předtím ARPI naivních) bude užívat LP i v 2. roce (oproti samotnému ARPI), menšina pak ve 3., případně dalším roce – tzn. dopad do rozpočtu se bude u větší části pac. </w:t>
                  </w:r>
                  <w:proofErr w:type="gramStart"/>
                  <w:r w:rsidRPr="000F5B05">
                    <w:rPr>
                      <w:rFonts w:cstheme="minorHAnsi"/>
                      <w:b/>
                      <w:sz w:val="24"/>
                      <w:szCs w:val="24"/>
                    </w:rPr>
                    <w:t>přenášet</w:t>
                  </w:r>
                  <w:proofErr w:type="gramEnd"/>
                  <w:r w:rsidRPr="000F5B05">
                    <w:rPr>
                      <w:rFonts w:cstheme="minorHAnsi"/>
                      <w:b/>
                      <w:sz w:val="24"/>
                      <w:szCs w:val="24"/>
                    </w:rPr>
                    <w:t xml:space="preserve"> i do dalších let,</w:t>
                  </w:r>
                </w:p>
                <w:p w:rsidR="000F5B05" w:rsidRPr="000F5B05" w:rsidRDefault="000F5B05" w:rsidP="000F5B05">
                  <w:pPr>
                    <w:pStyle w:val="Odstavecseseznamem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0F5B05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 xml:space="preserve">při použití LP </w:t>
                  </w:r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>LYNPARZA +/- ABIRATERON místo LP AKEEGA bude dopad do rozpočtu pro všech 5 pacientů za 1. rok o cca 1 milión Kč nižší</w:t>
                  </w:r>
                  <w:r w:rsidRPr="000F5B05">
                    <w:rPr>
                      <w:b/>
                      <w:sz w:val="24"/>
                      <w:szCs w:val="24"/>
                    </w:rPr>
                    <w:t>,</w:t>
                  </w:r>
                </w:p>
                <w:p w:rsidR="000F5B05" w:rsidRPr="000F5B05" w:rsidRDefault="000F5B05" w:rsidP="000F5B05">
                  <w:pPr>
                    <w:pStyle w:val="Odstavecseseznamem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 xml:space="preserve">LP LYNPARZA má ze všech aktuálně dostupných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>PARPi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 xml:space="preserve"> pro léčbu pacientů s 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>mCRPC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 xml:space="preserve"> největší potenciál k pokrytí většího množství pacientů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– společně s kombinací LP TALZENNA+ XTANDI je možno ji (zatím přes mimořádnou úhradu) použít i u </w:t>
                  </w:r>
                  <w:proofErr w:type="gramStart"/>
                  <w:r w:rsidRPr="000F5B05">
                    <w:rPr>
                      <w:b/>
                      <w:sz w:val="24"/>
                      <w:szCs w:val="24"/>
                    </w:rPr>
                    <w:t>pac. s mutací</w:t>
                  </w:r>
                  <w:proofErr w:type="gramEnd"/>
                  <w:r w:rsidRPr="000F5B0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>HRR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genů jiných než 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 xml:space="preserve">BRCA 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(u LYNPARZY bylo testováno celkem 14 genů, u TALZENNY 12 genů, 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>BRCA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mutace tvořili jen 37 – 43 % ze všech mutací),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monoterapie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LYNPARZOU má navíc také nejvíce dat pro použití u pac. s 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>BRCA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mutací s předcházejícím ARPI (viz 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info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uvedené výše) a jako jediná, z 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PARPi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>, má schválenu indikaci (ale jen přes mimořádnou úhradu) pro pac. s 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mCRPC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 xml:space="preserve"> s 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>BRCA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mutací po progresi na přechozí léčbě zahrnující ARPI – podrobněji viz Přílohy č. 17 a 22,</w:t>
                  </w:r>
                </w:p>
                <w:p w:rsidR="000F5B05" w:rsidRPr="000F5B05" w:rsidRDefault="000F5B05" w:rsidP="000F5B05">
                  <w:pPr>
                    <w:pStyle w:val="Odstavecseseznamem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Style w:val="Hypertextovodkaz"/>
                      <w:rFonts w:cstheme="minorHAnsi"/>
                      <w:b/>
                      <w:color w:val="auto"/>
                      <w:sz w:val="24"/>
                      <w:szCs w:val="24"/>
                      <w:u w:val="none"/>
                    </w:rPr>
                  </w:pPr>
                  <w:r w:rsidRPr="000F5B05">
                    <w:rPr>
                      <w:b/>
                      <w:sz w:val="24"/>
                      <w:szCs w:val="24"/>
                      <w:u w:val="single"/>
                    </w:rPr>
                    <w:t xml:space="preserve">u LP LYNPARZA a TALZENNA (na rozdíl od AKEEGA) už probíhá SŘ k úhradě jako VILP pro kombinační léčbu 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(tj. výše uvedený 1. scénář), a to pro pacienty bez ohledu na mutaci </w:t>
                  </w:r>
                  <w:r w:rsidRPr="000F5B05">
                    <w:rPr>
                      <w:b/>
                      <w:i/>
                      <w:sz w:val="24"/>
                      <w:szCs w:val="24"/>
                    </w:rPr>
                    <w:t>HRR</w:t>
                  </w:r>
                  <w:r w:rsidRPr="000F5B05">
                    <w:rPr>
                      <w:b/>
                      <w:sz w:val="24"/>
                      <w:szCs w:val="24"/>
                    </w:rPr>
                    <w:t xml:space="preserve"> genů, tzn. oba LP mohou pak být použity event. i pro některé další pacienty s </w:t>
                  </w:r>
                  <w:proofErr w:type="spellStart"/>
                  <w:r w:rsidRPr="000F5B05">
                    <w:rPr>
                      <w:b/>
                      <w:sz w:val="24"/>
                      <w:szCs w:val="24"/>
                    </w:rPr>
                    <w:t>mCRPC</w:t>
                  </w:r>
                  <w:proofErr w:type="spellEnd"/>
                  <w:r w:rsidRPr="000F5B05">
                    <w:rPr>
                      <w:b/>
                      <w:sz w:val="24"/>
                      <w:szCs w:val="24"/>
                    </w:rPr>
                    <w:t>, u kterých nebude indikována chemoterapie.</w:t>
                  </w:r>
                </w:p>
                <w:p w:rsidR="000F5B05" w:rsidRPr="00443822" w:rsidRDefault="000F5B05" w:rsidP="000F5B05">
                  <w:pPr>
                    <w:pStyle w:val="Obsahrmce"/>
                    <w:spacing w:after="0"/>
                    <w:jc w:val="both"/>
                    <w:rPr>
                      <w:rStyle w:val="Hypertextovodkaz"/>
                      <w:rFonts w:cstheme="minorHAnsi"/>
                      <w:b/>
                      <w:color w:val="auto"/>
                      <w:sz w:val="25"/>
                      <w:szCs w:val="25"/>
                      <w:u w:val="none"/>
                    </w:rPr>
                  </w:pPr>
                </w:p>
                <w:p w:rsidR="000F5B05" w:rsidRPr="00786E56" w:rsidRDefault="000F5B05" w:rsidP="00786E56">
                  <w:pPr>
                    <w:pStyle w:val="Obsahrmce"/>
                    <w:spacing w:after="0"/>
                    <w:jc w:val="both"/>
                    <w:rPr>
                      <w:rStyle w:val="Hypertextovodkaz"/>
                      <w:rFonts w:cstheme="minorHAnsi"/>
                      <w:b/>
                      <w:color w:val="auto"/>
                      <w:sz w:val="23"/>
                      <w:szCs w:val="23"/>
                      <w:u w:val="none"/>
                    </w:rPr>
                  </w:pPr>
                </w:p>
                <w:p w:rsidR="00786E56" w:rsidRDefault="00786E56" w:rsidP="00786E56">
                  <w:pPr>
                    <w:spacing w:after="0"/>
                    <w:jc w:val="both"/>
                    <w:rPr>
                      <w:b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color w:val="000000"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 w:line="240" w:lineRule="auto"/>
                    <w:jc w:val="both"/>
                    <w:rPr>
                      <w:rFonts w:cstheme="minorHAnsi"/>
                      <w:b/>
                      <w:sz w:val="23"/>
                      <w:szCs w:val="23"/>
                      <w:u w:val="single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rFonts w:cstheme="minorHAnsi"/>
                      <w:sz w:val="16"/>
                      <w:szCs w:val="16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786E56" w:rsidRDefault="00786E56" w:rsidP="00786E56">
                  <w:pPr>
                    <w:pStyle w:val="Obsahrmce"/>
                    <w:spacing w:after="0"/>
                    <w:jc w:val="both"/>
                    <w:rPr>
                      <w:b/>
                      <w:sz w:val="23"/>
                      <w:szCs w:val="23"/>
                    </w:rPr>
                  </w:pPr>
                </w:p>
              </w:txbxContent>
            </v:textbox>
            <w10:wrap anchorx="margin"/>
          </v:rect>
        </w:pict>
      </w: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786E56" w:rsidRDefault="00786E56">
      <w:pPr>
        <w:spacing w:before="240" w:after="0"/>
        <w:rPr>
          <w:rFonts w:cstheme="minorHAnsi"/>
        </w:rPr>
      </w:pPr>
    </w:p>
    <w:p w:rsidR="00540AF5" w:rsidRDefault="000F5B05" w:rsidP="00540AF5">
      <w:pPr>
        <w:spacing w:before="240" w:after="0"/>
        <w:rPr>
          <w:rFonts w:cstheme="minorHAnsi"/>
        </w:rPr>
      </w:pPr>
      <w:r>
        <w:rPr>
          <w:rFonts w:cstheme="minorHAnsi"/>
        </w:rPr>
        <w:t>Zp</w:t>
      </w:r>
      <w:r w:rsidR="00540AF5">
        <w:rPr>
          <w:rFonts w:cstheme="minorHAnsi"/>
        </w:rPr>
        <w:t xml:space="preserve">racoval: Mgr. Jaroslav </w:t>
      </w:r>
      <w:proofErr w:type="gramStart"/>
      <w:r w:rsidR="00540AF5">
        <w:rPr>
          <w:rFonts w:cstheme="minorHAnsi"/>
        </w:rPr>
        <w:t>Duda                                                   6. 6. 2024</w:t>
      </w:r>
      <w:proofErr w:type="gramEnd"/>
    </w:p>
    <w:p w:rsidR="000F5B05" w:rsidRPr="00906BE6" w:rsidRDefault="00906BE6">
      <w:pPr>
        <w:spacing w:before="240" w:after="0"/>
        <w:rPr>
          <w:rFonts w:cstheme="minorHAnsi"/>
          <w:b/>
          <w:sz w:val="24"/>
          <w:szCs w:val="24"/>
          <w:u w:val="single"/>
        </w:rPr>
      </w:pPr>
      <w:r w:rsidRPr="00906BE6">
        <w:rPr>
          <w:rFonts w:cstheme="minorHAnsi"/>
          <w:b/>
          <w:sz w:val="24"/>
          <w:szCs w:val="24"/>
          <w:highlight w:val="yellow"/>
          <w:u w:val="single"/>
        </w:rPr>
        <w:lastRenderedPageBreak/>
        <w:t>Ostatní části textu, poznámky a přílohy jsou dostupné u autora této FE analýzy</w:t>
      </w:r>
    </w:p>
    <w:p w:rsidR="007C0534" w:rsidRDefault="007C0534" w:rsidP="00906BE6">
      <w:pPr>
        <w:spacing w:after="0"/>
        <w:jc w:val="both"/>
        <w:rPr>
          <w:rFonts w:cstheme="minorHAnsi"/>
          <w:b/>
        </w:rPr>
      </w:pPr>
    </w:p>
    <w:p w:rsidR="00021C46" w:rsidRDefault="00021C46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t xml:space="preserve">Příloha č. 17: </w:t>
      </w:r>
      <w:r w:rsidRPr="00021C46">
        <w:rPr>
          <w:rFonts w:cstheme="minorHAnsi"/>
        </w:rPr>
        <w:t>s</w:t>
      </w:r>
      <w:r>
        <w:rPr>
          <w:rFonts w:cstheme="minorHAnsi"/>
        </w:rPr>
        <w:t>rovnání charakteristik studií s</w:t>
      </w:r>
      <w:r w:rsidR="008C62AA">
        <w:rPr>
          <w:rFonts w:cstheme="minorHAnsi"/>
        </w:rPr>
        <w:t> </w:t>
      </w:r>
      <w:proofErr w:type="spellStart"/>
      <w:r>
        <w:rPr>
          <w:rFonts w:cstheme="minorHAnsi"/>
        </w:rPr>
        <w:t>PARPi</w:t>
      </w:r>
      <w:proofErr w:type="spellEnd"/>
      <w:r w:rsidR="008C62AA">
        <w:rPr>
          <w:rFonts w:cstheme="minorHAnsi"/>
        </w:rPr>
        <w:t xml:space="preserve"> (viz výše pozn. 26) jak v 1. linii </w:t>
      </w:r>
      <w:proofErr w:type="spellStart"/>
      <w:r w:rsidR="008C62AA">
        <w:rPr>
          <w:rFonts w:cstheme="minorHAnsi"/>
        </w:rPr>
        <w:t>mCRPC</w:t>
      </w:r>
      <w:proofErr w:type="spellEnd"/>
      <w:r w:rsidR="002D2943">
        <w:rPr>
          <w:rFonts w:cstheme="minorHAnsi"/>
        </w:rPr>
        <w:t xml:space="preserve"> </w:t>
      </w:r>
      <w:r w:rsidR="002D2943" w:rsidRPr="003041F9">
        <w:rPr>
          <w:rFonts w:cstheme="minorHAnsi"/>
          <w:u w:val="single"/>
        </w:rPr>
        <w:t>(studie MAGNITUDE</w:t>
      </w:r>
      <w:r w:rsidR="003041F9" w:rsidRPr="003041F9">
        <w:rPr>
          <w:rFonts w:cstheme="minorHAnsi"/>
          <w:u w:val="single"/>
        </w:rPr>
        <w:t xml:space="preserve"> </w:t>
      </w:r>
      <w:r w:rsidR="003041F9" w:rsidRPr="003041F9">
        <w:rPr>
          <w:rFonts w:cstheme="minorHAnsi"/>
          <w:u w:val="single"/>
        </w:rPr>
        <w:t>(</w:t>
      </w:r>
      <w:r w:rsidR="003041F9">
        <w:rPr>
          <w:rFonts w:cstheme="minorHAnsi"/>
          <w:u w:val="single"/>
        </w:rPr>
        <w:t>viz také Přílohu č. 34)</w:t>
      </w:r>
      <w:r w:rsidR="002D2943">
        <w:rPr>
          <w:rFonts w:cstheme="minorHAnsi"/>
        </w:rPr>
        <w:t>, PROPEL a TALAPRO-2</w:t>
      </w:r>
      <w:r w:rsidR="00EC733B">
        <w:rPr>
          <w:rFonts w:cstheme="minorHAnsi"/>
        </w:rPr>
        <w:t xml:space="preserve"> (kohorta 1) – pro kombinovanou </w:t>
      </w:r>
      <w:proofErr w:type="spellStart"/>
      <w:r w:rsidR="00EC733B">
        <w:rPr>
          <w:rFonts w:cstheme="minorHAnsi"/>
        </w:rPr>
        <w:t>HRRm</w:t>
      </w:r>
      <w:proofErr w:type="spellEnd"/>
      <w:r w:rsidR="00EC733B">
        <w:rPr>
          <w:rFonts w:cstheme="minorHAnsi"/>
        </w:rPr>
        <w:t xml:space="preserve"> kohortu viz podrobněji Přílohu č. 29</w:t>
      </w:r>
      <w:r w:rsidR="00A10497">
        <w:rPr>
          <w:rFonts w:cstheme="minorHAnsi"/>
        </w:rPr>
        <w:t>)</w:t>
      </w:r>
      <w:r w:rsidR="008C62AA">
        <w:rPr>
          <w:rFonts w:cstheme="minorHAnsi"/>
        </w:rPr>
        <w:t xml:space="preserve">, tak v 2. a další linii </w:t>
      </w:r>
      <w:proofErr w:type="spellStart"/>
      <w:r w:rsidR="008C62AA">
        <w:rPr>
          <w:rFonts w:cstheme="minorHAnsi"/>
        </w:rPr>
        <w:t>mCRPC</w:t>
      </w:r>
      <w:proofErr w:type="spellEnd"/>
      <w:r w:rsidR="00AB7F70">
        <w:rPr>
          <w:rFonts w:cstheme="minorHAnsi"/>
        </w:rPr>
        <w:t xml:space="preserve"> </w:t>
      </w:r>
      <w:r w:rsidR="00A10497">
        <w:rPr>
          <w:rFonts w:cstheme="minorHAnsi"/>
        </w:rPr>
        <w:t>(</w:t>
      </w:r>
      <w:r w:rsidR="002D2943">
        <w:rPr>
          <w:rFonts w:cstheme="minorHAnsi"/>
        </w:rPr>
        <w:t>studie PROFOUND a TRITON3</w:t>
      </w:r>
      <w:r w:rsidR="00A10497">
        <w:rPr>
          <w:rFonts w:cstheme="minorHAnsi"/>
        </w:rPr>
        <w:t>)</w:t>
      </w:r>
      <w:r w:rsidR="00063800">
        <w:rPr>
          <w:rFonts w:cstheme="minorHAnsi"/>
        </w:rPr>
        <w:t xml:space="preserve"> </w:t>
      </w:r>
      <w:r w:rsidR="00AB7F70">
        <w:rPr>
          <w:rFonts w:cstheme="minorHAnsi"/>
        </w:rPr>
        <w:t xml:space="preserve">– upraveno dle </w:t>
      </w:r>
      <w:r w:rsidR="000A7ED7">
        <w:rPr>
          <w:rFonts w:cstheme="minorHAnsi"/>
        </w:rPr>
        <w:t>zdro</w:t>
      </w:r>
      <w:r w:rsidR="002D2943">
        <w:rPr>
          <w:rFonts w:cstheme="minorHAnsi"/>
        </w:rPr>
        <w:t>jů uvedených výše pod pozn. 67 a 68</w:t>
      </w:r>
    </w:p>
    <w:p w:rsidR="006758CC" w:rsidRDefault="00A10497">
      <w:pPr>
        <w:spacing w:after="0"/>
        <w:ind w:left="57"/>
        <w:jc w:val="both"/>
        <w:rPr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</w:t>
      </w:r>
      <w:r w:rsidR="002D2943">
        <w:rPr>
          <w:b/>
          <w:color w:val="FF0000"/>
          <w:sz w:val="18"/>
          <w:szCs w:val="18"/>
        </w:rPr>
        <w:t xml:space="preserve"> studie s </w:t>
      </w:r>
      <w:r>
        <w:rPr>
          <w:b/>
          <w:color w:val="FF0000"/>
          <w:sz w:val="18"/>
          <w:szCs w:val="18"/>
        </w:rPr>
        <w:t>hodnocen</w:t>
      </w:r>
      <w:r w:rsidR="002D2943">
        <w:rPr>
          <w:b/>
          <w:color w:val="FF0000"/>
          <w:sz w:val="18"/>
          <w:szCs w:val="18"/>
        </w:rPr>
        <w:t>ým</w:t>
      </w:r>
      <w:r>
        <w:rPr>
          <w:b/>
          <w:color w:val="FF0000"/>
          <w:sz w:val="18"/>
          <w:szCs w:val="18"/>
        </w:rPr>
        <w:t xml:space="preserve"> LP AKEEGA</w:t>
      </w:r>
      <w:r>
        <w:rPr>
          <w:sz w:val="18"/>
          <w:szCs w:val="18"/>
        </w:rPr>
        <w:t>.)</w:t>
      </w:r>
    </w:p>
    <w:p w:rsidR="007C0534" w:rsidRPr="0068212F" w:rsidRDefault="007C0534" w:rsidP="007C0534">
      <w:pPr>
        <w:spacing w:after="0"/>
        <w:ind w:left="57"/>
        <w:jc w:val="both"/>
        <w:rPr>
          <w:rFonts w:cstheme="minorHAnsi"/>
          <w:color w:val="000000" w:themeColor="text1"/>
          <w:sz w:val="18"/>
          <w:szCs w:val="18"/>
        </w:rPr>
      </w:pPr>
      <w:proofErr w:type="gramStart"/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CAVE! </w:t>
      </w:r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k aktuálně</w:t>
      </w:r>
      <w:proofErr w:type="gramEnd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žádaným podmínkám pro úhradu LP s </w:t>
      </w:r>
      <w:proofErr w:type="spellStart"/>
      <w:r w:rsidR="009A69AE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olapa</w:t>
      </w:r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r</w:t>
      </w:r>
      <w:r w:rsidR="009A69AE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ibem</w:t>
      </w:r>
      <w:proofErr w:type="spellEnd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/</w:t>
      </w:r>
      <w:proofErr w:type="spellStart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abirateronem</w:t>
      </w:r>
      <w:proofErr w:type="spellEnd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a </w:t>
      </w:r>
      <w:proofErr w:type="spellStart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talazaparibem</w:t>
      </w:r>
      <w:proofErr w:type="spellEnd"/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viz podrobněji informace uvedené výše v odstavci „Postavení léčiva v …“,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konkrétně</w:t>
      </w:r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se jedná o následující podmínky</w:t>
      </w:r>
      <w:r w:rsidRPr="0047096C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  <w:vertAlign w:val="superscript"/>
        </w:rPr>
        <w:t>15,102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: „</w:t>
      </w:r>
      <w:r w:rsidRPr="00E71230">
        <w:rPr>
          <w:rFonts w:cstheme="minorHAnsi"/>
          <w:b/>
          <w:i/>
          <w:sz w:val="18"/>
          <w:szCs w:val="18"/>
          <w:highlight w:val="cyan"/>
          <w:u w:val="single"/>
          <w:shd w:val="clear" w:color="auto" w:fill="FFFFFF"/>
        </w:rPr>
        <w:t>u asymptomatických či mírně symptomatických pacientů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(k tomu viz </w:t>
      </w:r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výše 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pozn. 104!) </w:t>
      </w:r>
      <w:r w:rsidRPr="00E71230">
        <w:rPr>
          <w:rFonts w:cstheme="minorHAnsi"/>
          <w:b/>
          <w:i/>
          <w:sz w:val="18"/>
          <w:szCs w:val="18"/>
          <w:highlight w:val="cyan"/>
          <w:u w:val="single"/>
          <w:shd w:val="clear" w:color="auto" w:fill="FFFFFF"/>
        </w:rPr>
        <w:t>se stavem výkonnosti dle ECOG 0-1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(k tomu viz Přílohu č. 10)</w:t>
      </w:r>
      <w:r>
        <w:rPr>
          <w:rFonts w:cstheme="minorHAnsi"/>
          <w:b/>
          <w:sz w:val="18"/>
          <w:szCs w:val="18"/>
          <w:highlight w:val="cyan"/>
          <w:shd w:val="clear" w:color="auto" w:fill="FFFFFF"/>
        </w:rPr>
        <w:t xml:space="preserve">“! </w:t>
      </w:r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 xml:space="preserve"> Viz také Přílohu č. 17 pro přehled studií s</w:t>
      </w:r>
      <w:r>
        <w:rPr>
          <w:rFonts w:cstheme="minorHAnsi"/>
          <w:b/>
          <w:sz w:val="18"/>
          <w:szCs w:val="18"/>
          <w:highlight w:val="cyan"/>
          <w:shd w:val="clear" w:color="auto" w:fill="FFFFFF"/>
        </w:rPr>
        <w:t> </w:t>
      </w:r>
      <w:proofErr w:type="spellStart"/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>PARPi</w:t>
      </w:r>
      <w:proofErr w:type="spellEnd"/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>. Pro škálu BPI</w:t>
      </w:r>
      <w:r>
        <w:rPr>
          <w:rFonts w:cstheme="minorHAnsi"/>
          <w:b/>
          <w:sz w:val="18"/>
          <w:szCs w:val="18"/>
          <w:highlight w:val="cyan"/>
          <w:shd w:val="clear" w:color="auto" w:fill="FFFFFF"/>
        </w:rPr>
        <w:t>-SF</w:t>
      </w:r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 xml:space="preserve"> viz výše pozn. </w:t>
      </w:r>
      <w:r w:rsidRPr="00BB1C4E">
        <w:rPr>
          <w:rFonts w:cstheme="minorHAnsi"/>
          <w:b/>
          <w:sz w:val="18"/>
          <w:szCs w:val="18"/>
          <w:shd w:val="clear" w:color="auto" w:fill="FFFFFF"/>
        </w:rPr>
        <w:t>105</w:t>
      </w:r>
      <w:r w:rsidR="00BB1C4E" w:rsidRPr="00BB1C4E">
        <w:rPr>
          <w:rFonts w:cstheme="minorHAnsi"/>
          <w:b/>
          <w:sz w:val="18"/>
          <w:szCs w:val="18"/>
          <w:shd w:val="clear" w:color="auto" w:fill="FFFFFF"/>
        </w:rPr>
        <w:t xml:space="preserve"> – </w:t>
      </w:r>
      <w:r w:rsidR="00BB1C4E" w:rsidRPr="00BB1C4E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 xml:space="preserve">CAVE! </w:t>
      </w:r>
      <w:proofErr w:type="gramStart"/>
      <w:r w:rsidR="00BB1C4E" w:rsidRPr="00BB1C4E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>hodnota</w:t>
      </w:r>
      <w:proofErr w:type="gramEnd"/>
      <w:r w:rsidR="00BB1C4E" w:rsidRPr="00BB1C4E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 xml:space="preserve"> BPI-SF ≤ 3 se ve studii MAGNITUDE týkala jen</w:t>
      </w:r>
      <w:r w:rsidR="00BB1C4E" w:rsidRPr="00BB1C4E">
        <w:rPr>
          <w:rFonts w:cstheme="minorHAnsi"/>
          <w:b/>
          <w:color w:val="C00000"/>
          <w:sz w:val="18"/>
          <w:szCs w:val="18"/>
          <w:highlight w:val="cyan"/>
          <w:u w:val="single"/>
          <w:shd w:val="clear" w:color="auto" w:fill="FFFFFF"/>
        </w:rPr>
        <w:t xml:space="preserve"> </w:t>
      </w:r>
      <w:r w:rsidR="0068212F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>otázky</w:t>
      </w:r>
      <w:r w:rsidR="00BB1C4E" w:rsidRPr="00BB1C4E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 xml:space="preserve"> č. 3 (tj. nejhorší bolest za posledních 24 hodin</w:t>
      </w:r>
      <w:r w:rsidR="0068212F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 xml:space="preserve"> – viz Přílohu č. 32</w:t>
      </w:r>
      <w:r w:rsidR="00BB1C4E" w:rsidRPr="00BB1C4E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>) na škále BPI-SF</w:t>
      </w:r>
      <w:r w:rsidR="0068212F">
        <w:rPr>
          <w:rFonts w:cstheme="minorHAnsi"/>
          <w:b/>
          <w:color w:val="C00000"/>
          <w:sz w:val="18"/>
          <w:szCs w:val="18"/>
          <w:u w:val="single"/>
          <w:shd w:val="clear" w:color="auto" w:fill="FFFFFF"/>
        </w:rPr>
        <w:t xml:space="preserve">, </w:t>
      </w:r>
      <w:r w:rsidR="0068212F" w:rsidRPr="0068212F"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  <w:t>studie PROPEL toto kritérium neměla zahrnuté</w:t>
      </w:r>
      <w:r w:rsidR="00BB1C4E" w:rsidRPr="0068212F"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  <w:t>!</w:t>
      </w:r>
    </w:p>
    <w:p w:rsidR="00A10497" w:rsidRPr="00A10497" w:rsidRDefault="00A10497">
      <w:pPr>
        <w:spacing w:after="0"/>
        <w:ind w:left="57"/>
        <w:jc w:val="both"/>
        <w:rPr>
          <w:sz w:val="6"/>
          <w:szCs w:val="6"/>
        </w:rPr>
      </w:pPr>
    </w:p>
    <w:p w:rsidR="00326242" w:rsidRDefault="007D653E">
      <w:pPr>
        <w:spacing w:after="0"/>
        <w:ind w:left="57"/>
        <w:jc w:val="both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22.15pt;margin-top:107.55pt;width:111.4pt;height:19pt;z-index:251664384" filled="f" stroked="f">
            <v:textbox style="mso-next-textbox:#_x0000_s1047">
              <w:txbxContent>
                <w:p w:rsidR="000070EE" w:rsidRPr="0068212F" w:rsidRDefault="000070EE">
                  <w:pPr>
                    <w:rPr>
                      <w:b/>
                      <w:sz w:val="16"/>
                      <w:szCs w:val="16"/>
                    </w:rPr>
                  </w:pPr>
                  <w:r w:rsidRPr="0068212F">
                    <w:rPr>
                      <w:b/>
                      <w:sz w:val="16"/>
                      <w:szCs w:val="16"/>
                    </w:rPr>
                    <w:t xml:space="preserve">BPI-SF </w:t>
                  </w:r>
                  <w:proofErr w:type="spellStart"/>
                  <w:proofErr w:type="gramStart"/>
                  <w:r w:rsidRPr="0068212F">
                    <w:rPr>
                      <w:b/>
                      <w:sz w:val="16"/>
                      <w:szCs w:val="16"/>
                    </w:rPr>
                    <w:t>Question</w:t>
                  </w:r>
                  <w:proofErr w:type="spellEnd"/>
                  <w:r w:rsidRPr="0068212F">
                    <w:rPr>
                      <w:b/>
                      <w:sz w:val="16"/>
                      <w:szCs w:val="16"/>
                    </w:rPr>
                    <w:t xml:space="preserve"> #3 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68212F">
                    <w:rPr>
                      <w:b/>
                      <w:sz w:val="16"/>
                      <w:szCs w:val="16"/>
                    </w:rPr>
                    <w:t>&lt;4</w:t>
                  </w:r>
                  <w:proofErr w:type="gramEnd"/>
                </w:p>
              </w:txbxContent>
            </v:textbox>
          </v:shape>
        </w:pict>
      </w:r>
      <w:r w:rsidR="00A645EE">
        <w:rPr>
          <w:noProof/>
          <w:lang w:eastAsia="cs-CZ"/>
        </w:rPr>
        <w:drawing>
          <wp:inline distT="0" distB="0" distL="0" distR="0">
            <wp:extent cx="6840855" cy="4908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42" w:rsidRDefault="00A645EE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40855" cy="285559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70" w:rsidRDefault="000A79D3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inline distT="0" distB="0" distL="0" distR="0">
            <wp:extent cx="6831895" cy="4313208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3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D3" w:rsidRDefault="000A79D3">
      <w:pPr>
        <w:spacing w:after="0"/>
        <w:ind w:left="57"/>
        <w:jc w:val="both"/>
        <w:rPr>
          <w:rFonts w:cstheme="minorHAnsi"/>
          <w:b/>
        </w:rPr>
      </w:pPr>
    </w:p>
    <w:p w:rsidR="000A79D3" w:rsidRDefault="000A79D3">
      <w:pPr>
        <w:spacing w:after="0"/>
        <w:ind w:left="57"/>
        <w:jc w:val="both"/>
        <w:rPr>
          <w:rFonts w:cstheme="minorHAnsi"/>
          <w:b/>
        </w:rPr>
      </w:pPr>
    </w:p>
    <w:p w:rsidR="000A79D3" w:rsidRDefault="000A79D3">
      <w:pPr>
        <w:spacing w:after="0"/>
        <w:ind w:left="57"/>
        <w:jc w:val="both"/>
        <w:rPr>
          <w:rFonts w:cstheme="minorHAnsi"/>
          <w:b/>
        </w:rPr>
      </w:pPr>
    </w:p>
    <w:p w:rsidR="000A79D3" w:rsidRDefault="000A79D3">
      <w:pPr>
        <w:spacing w:after="0"/>
        <w:ind w:left="57"/>
        <w:jc w:val="both"/>
        <w:rPr>
          <w:rFonts w:cstheme="minorHAnsi"/>
          <w:b/>
        </w:rPr>
      </w:pPr>
    </w:p>
    <w:p w:rsidR="00746BC5" w:rsidRDefault="00746BC5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747" cy="4640912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5" w:rsidRDefault="00746BC5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inline distT="0" distB="0" distL="0" distR="0">
            <wp:extent cx="6831965" cy="2159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5" w:rsidRDefault="00746BC5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071" cy="2493034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5" w:rsidRDefault="00746BC5">
      <w:pPr>
        <w:spacing w:after="0"/>
        <w:ind w:left="57"/>
        <w:jc w:val="both"/>
        <w:rPr>
          <w:rFonts w:cstheme="minorHAnsi"/>
          <w:b/>
        </w:rPr>
      </w:pPr>
    </w:p>
    <w:p w:rsidR="00995CA1" w:rsidRDefault="00995CA1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1965" cy="1052195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A1" w:rsidRDefault="00995CA1">
      <w:pPr>
        <w:spacing w:after="0"/>
        <w:ind w:left="57"/>
        <w:jc w:val="both"/>
        <w:rPr>
          <w:rFonts w:cstheme="minorHAnsi"/>
          <w:b/>
        </w:rPr>
      </w:pPr>
    </w:p>
    <w:p w:rsidR="00746BC5" w:rsidRDefault="00030BD5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747" cy="4632385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60" w:rsidRDefault="006458B8" w:rsidP="006458B8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1965" cy="224155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64" w:rsidRDefault="000F3964">
      <w:pPr>
        <w:spacing w:after="0"/>
        <w:ind w:left="57"/>
        <w:jc w:val="both"/>
        <w:rPr>
          <w:rFonts w:cstheme="minorHAnsi"/>
          <w:b/>
        </w:rPr>
      </w:pPr>
    </w:p>
    <w:p w:rsidR="00314B60" w:rsidRDefault="00314B60">
      <w:pPr>
        <w:spacing w:after="0"/>
        <w:ind w:left="57"/>
        <w:jc w:val="both"/>
        <w:rPr>
          <w:rFonts w:cstheme="minorHAnsi"/>
          <w:b/>
        </w:rPr>
      </w:pPr>
    </w:p>
    <w:p w:rsidR="00314B60" w:rsidRDefault="00314B60">
      <w:pPr>
        <w:spacing w:after="0"/>
        <w:ind w:left="57"/>
        <w:jc w:val="both"/>
        <w:rPr>
          <w:rFonts w:cstheme="minorHAnsi"/>
          <w:b/>
        </w:rPr>
      </w:pPr>
    </w:p>
    <w:p w:rsidR="00FC7684" w:rsidRDefault="00FC7684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906BE6" w:rsidRDefault="00906BE6">
      <w:pPr>
        <w:spacing w:after="0"/>
        <w:ind w:left="57"/>
        <w:jc w:val="both"/>
        <w:rPr>
          <w:b/>
        </w:rPr>
      </w:pPr>
    </w:p>
    <w:p w:rsidR="00FC7684" w:rsidRDefault="00CD2E00" w:rsidP="00FC7684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t xml:space="preserve">Příloha č. 19: </w:t>
      </w:r>
      <w:r w:rsidR="008D1914">
        <w:rPr>
          <w:rFonts w:cstheme="minorHAnsi"/>
        </w:rPr>
        <w:t>d</w:t>
      </w:r>
      <w:r w:rsidR="008D1914" w:rsidRPr="008D1914">
        <w:rPr>
          <w:rFonts w:cstheme="minorHAnsi"/>
        </w:rPr>
        <w:t>oporučení NCCN k</w:t>
      </w:r>
      <w:r w:rsidR="00FC7684">
        <w:rPr>
          <w:rFonts w:cstheme="minorHAnsi"/>
        </w:rPr>
        <w:t xml:space="preserve"> léčbě </w:t>
      </w:r>
      <w:proofErr w:type="spellStart"/>
      <w:r w:rsidR="008D1914" w:rsidRPr="008D1914">
        <w:rPr>
          <w:rFonts w:cstheme="minorHAnsi"/>
        </w:rPr>
        <w:t>PARPi</w:t>
      </w:r>
      <w:proofErr w:type="spellEnd"/>
      <w:r w:rsidR="00FC7684">
        <w:rPr>
          <w:rFonts w:cstheme="minorHAnsi"/>
        </w:rPr>
        <w:t xml:space="preserve"> (viz výše pozn. 26) </w:t>
      </w:r>
      <w:r w:rsidR="00FC7684" w:rsidRPr="00FC7684">
        <w:rPr>
          <w:rFonts w:cstheme="minorHAnsi"/>
        </w:rPr>
        <w:t xml:space="preserve">s </w:t>
      </w:r>
      <w:proofErr w:type="gramStart"/>
      <w:r w:rsidR="00FC7684">
        <w:rPr>
          <w:rFonts w:cstheme="minorHAnsi"/>
        </w:rPr>
        <w:t>ARPI</w:t>
      </w:r>
      <w:proofErr w:type="gramEnd"/>
      <w:r w:rsidR="00FC7684" w:rsidRPr="00FC7684">
        <w:rPr>
          <w:rFonts w:cstheme="minorHAnsi"/>
        </w:rPr>
        <w:t xml:space="preserve"> nebo bez nich</w:t>
      </w:r>
      <w:r w:rsidR="00FC7684">
        <w:rPr>
          <w:rFonts w:cstheme="minorHAnsi"/>
        </w:rPr>
        <w:t xml:space="preserve"> u pacientů s </w:t>
      </w:r>
      <w:proofErr w:type="spellStart"/>
      <w:r w:rsidR="00FC7684">
        <w:rPr>
          <w:rFonts w:cstheme="minorHAnsi"/>
        </w:rPr>
        <w:t>mCRPC</w:t>
      </w:r>
      <w:proofErr w:type="spellEnd"/>
      <w:r w:rsidR="00FC7684">
        <w:rPr>
          <w:rFonts w:cstheme="minorHAnsi"/>
        </w:rPr>
        <w:t xml:space="preserve"> – dle zdroje uvedeného výše pod pozn. 24</w:t>
      </w:r>
    </w:p>
    <w:p w:rsidR="00FC7684" w:rsidRDefault="00FC7684" w:rsidP="00FC7684">
      <w:pPr>
        <w:spacing w:after="0"/>
        <w:ind w:left="57"/>
        <w:jc w:val="both"/>
        <w:rPr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 hodnoceného LP AKEEGA</w:t>
      </w:r>
      <w:r>
        <w:rPr>
          <w:sz w:val="18"/>
          <w:szCs w:val="18"/>
        </w:rPr>
        <w:t>.)</w:t>
      </w:r>
    </w:p>
    <w:p w:rsidR="00FC7684" w:rsidRPr="00A87833" w:rsidRDefault="00FC7684" w:rsidP="00FC7684">
      <w:pPr>
        <w:spacing w:after="0"/>
        <w:ind w:left="57"/>
        <w:jc w:val="both"/>
        <w:rPr>
          <w:sz w:val="6"/>
          <w:szCs w:val="6"/>
        </w:rPr>
      </w:pPr>
    </w:p>
    <w:p w:rsidR="00FC7684" w:rsidRPr="00FC7684" w:rsidRDefault="00FC7684" w:rsidP="00FC7684">
      <w:pPr>
        <w:ind w:left="-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40344" cy="4848045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906BE6" w:rsidRDefault="00906BE6">
      <w:pPr>
        <w:spacing w:after="0"/>
        <w:ind w:left="57"/>
        <w:jc w:val="both"/>
        <w:rPr>
          <w:rFonts w:cstheme="minorHAnsi"/>
          <w:b/>
        </w:rPr>
      </w:pPr>
    </w:p>
    <w:p w:rsidR="00063800" w:rsidRDefault="00063800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Příloha č. 20: </w:t>
      </w:r>
      <w:r>
        <w:rPr>
          <w:rFonts w:cstheme="minorHAnsi"/>
        </w:rPr>
        <w:t>d</w:t>
      </w:r>
      <w:r w:rsidRPr="008D1914">
        <w:rPr>
          <w:rFonts w:cstheme="minorHAnsi"/>
        </w:rPr>
        <w:t>oporučení</w:t>
      </w:r>
      <w:r>
        <w:rPr>
          <w:rFonts w:cstheme="minorHAnsi"/>
        </w:rPr>
        <w:t xml:space="preserve"> dle </w:t>
      </w:r>
      <w:proofErr w:type="spellStart"/>
      <w:r>
        <w:rPr>
          <w:rFonts w:cstheme="minorHAnsi"/>
        </w:rPr>
        <w:t>UpToDate</w:t>
      </w:r>
      <w:proofErr w:type="spellEnd"/>
      <w:r>
        <w:rPr>
          <w:rFonts w:cstheme="minorHAnsi"/>
        </w:rPr>
        <w:t xml:space="preserve"> k</w:t>
      </w:r>
      <w:r w:rsidR="00A87833">
        <w:rPr>
          <w:rFonts w:cstheme="minorHAnsi"/>
        </w:rPr>
        <w:t> úvodní léčbě pacientů s </w:t>
      </w:r>
      <w:proofErr w:type="spellStart"/>
      <w:r w:rsidR="00A87833">
        <w:rPr>
          <w:rFonts w:cstheme="minorHAnsi"/>
        </w:rPr>
        <w:t>mCRPC</w:t>
      </w:r>
      <w:proofErr w:type="spellEnd"/>
      <w:r w:rsidR="00A87833">
        <w:rPr>
          <w:rFonts w:cstheme="minorHAnsi"/>
        </w:rPr>
        <w:t xml:space="preserve"> a s BRCA mutací – upraveno dle zdroje uvedeného výše pod pozn. 65</w:t>
      </w:r>
    </w:p>
    <w:p w:rsidR="00A87833" w:rsidRDefault="00A87833" w:rsidP="00A87833">
      <w:pPr>
        <w:spacing w:after="0"/>
        <w:ind w:left="57"/>
        <w:jc w:val="both"/>
        <w:rPr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 hodnoceného LP AKEEGA</w:t>
      </w:r>
      <w:r>
        <w:rPr>
          <w:sz w:val="18"/>
          <w:szCs w:val="18"/>
        </w:rPr>
        <w:t xml:space="preserve">, </w:t>
      </w:r>
      <w:r w:rsidRPr="00A87833">
        <w:rPr>
          <w:b/>
          <w:color w:val="00B0F0"/>
          <w:sz w:val="18"/>
          <w:szCs w:val="18"/>
        </w:rPr>
        <w:t>modře pak další důležité poznámky!</w:t>
      </w:r>
      <w:r>
        <w:rPr>
          <w:sz w:val="18"/>
          <w:szCs w:val="18"/>
        </w:rPr>
        <w:t>)</w:t>
      </w:r>
    </w:p>
    <w:p w:rsidR="00A87833" w:rsidRPr="00A87833" w:rsidRDefault="00A87833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063800" w:rsidRDefault="004848DD" w:rsidP="004848DD">
      <w:pPr>
        <w:spacing w:after="0"/>
        <w:ind w:left="680"/>
        <w:jc w:val="both"/>
      </w:pPr>
      <w:r>
        <w:rPr>
          <w:noProof/>
          <w:lang w:eastAsia="cs-CZ"/>
        </w:rPr>
        <w:drawing>
          <wp:inline distT="0" distB="0" distL="0" distR="0">
            <wp:extent cx="5631691" cy="4373592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4" cy="43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00" w:rsidRDefault="00063800">
      <w:pPr>
        <w:spacing w:after="0"/>
        <w:ind w:left="57"/>
        <w:jc w:val="both"/>
      </w:pPr>
    </w:p>
    <w:p w:rsidR="00A87833" w:rsidRDefault="00A87833" w:rsidP="00063800">
      <w:pPr>
        <w:spacing w:after="0"/>
        <w:ind w:left="57"/>
        <w:jc w:val="both"/>
        <w:rPr>
          <w:rFonts w:cstheme="minorHAnsi"/>
          <w:b/>
        </w:rPr>
      </w:pPr>
    </w:p>
    <w:p w:rsidR="00A87833" w:rsidRDefault="00A87833" w:rsidP="00063800">
      <w:pPr>
        <w:spacing w:after="0"/>
        <w:ind w:left="57"/>
        <w:jc w:val="both"/>
        <w:rPr>
          <w:rFonts w:cstheme="minorHAnsi"/>
          <w:b/>
        </w:rPr>
      </w:pPr>
    </w:p>
    <w:p w:rsidR="00D11963" w:rsidRDefault="00D11963" w:rsidP="00063800">
      <w:pPr>
        <w:spacing w:after="0"/>
        <w:ind w:left="57"/>
        <w:jc w:val="both"/>
        <w:rPr>
          <w:rFonts w:cstheme="minorHAnsi"/>
          <w:b/>
        </w:rPr>
      </w:pPr>
    </w:p>
    <w:p w:rsidR="00D11963" w:rsidRDefault="00D11963" w:rsidP="00063800">
      <w:pPr>
        <w:spacing w:after="0"/>
        <w:ind w:left="57"/>
        <w:jc w:val="both"/>
        <w:rPr>
          <w:rFonts w:cstheme="minorHAnsi"/>
          <w:b/>
        </w:rPr>
      </w:pPr>
    </w:p>
    <w:p w:rsidR="00D11963" w:rsidRDefault="00063800" w:rsidP="00D11963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t xml:space="preserve">Příloha č. 21: </w:t>
      </w:r>
      <w:r>
        <w:rPr>
          <w:rFonts w:cstheme="minorHAnsi"/>
        </w:rPr>
        <w:t>d</w:t>
      </w:r>
      <w:r w:rsidRPr="008D1914">
        <w:rPr>
          <w:rFonts w:cstheme="minorHAnsi"/>
        </w:rPr>
        <w:t>oporučení</w:t>
      </w:r>
      <w:r>
        <w:rPr>
          <w:rFonts w:cstheme="minorHAnsi"/>
        </w:rPr>
        <w:t xml:space="preserve"> dle Modré knihy 2024 k</w:t>
      </w:r>
      <w:r w:rsidR="00D11963">
        <w:rPr>
          <w:rFonts w:cstheme="minorHAnsi"/>
        </w:rPr>
        <w:t xml:space="preserve"> léčbě 1. linie u </w:t>
      </w:r>
      <w:proofErr w:type="spellStart"/>
      <w:r w:rsidR="00D11963">
        <w:rPr>
          <w:rFonts w:cstheme="minorHAnsi"/>
        </w:rPr>
        <w:t>mCRPC</w:t>
      </w:r>
      <w:proofErr w:type="spellEnd"/>
      <w:r w:rsidR="00D11963">
        <w:rPr>
          <w:rFonts w:cstheme="minorHAnsi"/>
        </w:rPr>
        <w:t xml:space="preserve"> - upraveno dle zdroje </w:t>
      </w:r>
      <w:r w:rsidR="00004C8C">
        <w:rPr>
          <w:rFonts w:cstheme="minorHAnsi"/>
        </w:rPr>
        <w:t xml:space="preserve">uvedeného </w:t>
      </w:r>
      <w:r w:rsidR="00D11963">
        <w:rPr>
          <w:rFonts w:cstheme="minorHAnsi"/>
        </w:rPr>
        <w:t xml:space="preserve">pod pozn. </w:t>
      </w:r>
      <w:r w:rsidR="00004C8C">
        <w:rPr>
          <w:rFonts w:cstheme="minorHAnsi"/>
        </w:rPr>
        <w:t>42</w:t>
      </w:r>
    </w:p>
    <w:p w:rsidR="00063800" w:rsidRDefault="00D11963" w:rsidP="00063800">
      <w:pPr>
        <w:spacing w:after="0"/>
        <w:ind w:left="57"/>
        <w:jc w:val="both"/>
        <w:rPr>
          <w:b/>
          <w:color w:val="FF0000"/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 hodnoceného LP AKEEGA)</w:t>
      </w:r>
    </w:p>
    <w:p w:rsidR="00D11963" w:rsidRPr="00D11963" w:rsidRDefault="00D11963" w:rsidP="00063800">
      <w:pPr>
        <w:spacing w:after="0"/>
        <w:ind w:left="57"/>
        <w:jc w:val="both"/>
        <w:rPr>
          <w:sz w:val="6"/>
          <w:szCs w:val="6"/>
        </w:rPr>
      </w:pPr>
    </w:p>
    <w:p w:rsidR="00D11963" w:rsidRDefault="00D11963" w:rsidP="00063800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2121" cy="1509623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5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63" w:rsidRDefault="00D11963" w:rsidP="00063800">
      <w:pPr>
        <w:spacing w:after="0"/>
        <w:ind w:left="57"/>
        <w:jc w:val="both"/>
      </w:pPr>
    </w:p>
    <w:p w:rsidR="00D11963" w:rsidRDefault="00D11963" w:rsidP="00063800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40747" cy="1604513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6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F" w:rsidRDefault="00063800" w:rsidP="002A57EF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Příloha č. 22: </w:t>
      </w:r>
      <w:r w:rsidRPr="002A57EF">
        <w:rPr>
          <w:rFonts w:cstheme="minorHAnsi"/>
        </w:rPr>
        <w:t xml:space="preserve">srovnání </w:t>
      </w:r>
      <w:r w:rsidR="002A57EF">
        <w:rPr>
          <w:rFonts w:cstheme="minorHAnsi"/>
        </w:rPr>
        <w:t>výsledků studií (v parametrech účinnosti</w:t>
      </w:r>
      <w:r w:rsidR="007F33AA">
        <w:rPr>
          <w:rFonts w:cstheme="minorHAnsi"/>
        </w:rPr>
        <w:t xml:space="preserve">, </w:t>
      </w:r>
      <w:r w:rsidR="007F33AA" w:rsidRPr="007F33AA">
        <w:rPr>
          <w:rFonts w:cstheme="minorHAnsi"/>
          <w:u w:val="single"/>
        </w:rPr>
        <w:t>pro charakteristiky studií viz Přílohu č. 17</w:t>
      </w:r>
      <w:r w:rsidR="002A57EF">
        <w:rPr>
          <w:rFonts w:cstheme="minorHAnsi"/>
        </w:rPr>
        <w:t>) s </w:t>
      </w:r>
      <w:proofErr w:type="spellStart"/>
      <w:r w:rsidR="002A57EF">
        <w:rPr>
          <w:rFonts w:cstheme="minorHAnsi"/>
        </w:rPr>
        <w:t>PARPi</w:t>
      </w:r>
      <w:proofErr w:type="spellEnd"/>
      <w:r w:rsidR="002A57EF">
        <w:rPr>
          <w:rFonts w:cstheme="minorHAnsi"/>
        </w:rPr>
        <w:t xml:space="preserve"> (viz výše pozn. 26) jak v 1. linii </w:t>
      </w:r>
      <w:proofErr w:type="spellStart"/>
      <w:r w:rsidR="002A57EF">
        <w:rPr>
          <w:rFonts w:cstheme="minorHAnsi"/>
        </w:rPr>
        <w:t>mCRPC</w:t>
      </w:r>
      <w:proofErr w:type="spellEnd"/>
      <w:r w:rsidR="002A57EF">
        <w:rPr>
          <w:rFonts w:cstheme="minorHAnsi"/>
        </w:rPr>
        <w:t xml:space="preserve"> (</w:t>
      </w:r>
      <w:r w:rsidR="00DC34CC">
        <w:rPr>
          <w:rFonts w:cstheme="minorHAnsi"/>
          <w:u w:val="single"/>
        </w:rPr>
        <w:t>studie MAGNITUDE – viz také Přílohu č. 34</w:t>
      </w:r>
      <w:r w:rsidR="002A57EF">
        <w:rPr>
          <w:rFonts w:cstheme="minorHAnsi"/>
        </w:rPr>
        <w:t xml:space="preserve">, PROPEL a TALAPRO-2), tak v 2. a další linii </w:t>
      </w:r>
      <w:proofErr w:type="spellStart"/>
      <w:r w:rsidR="002A57EF">
        <w:rPr>
          <w:rFonts w:cstheme="minorHAnsi"/>
        </w:rPr>
        <w:t>mCRPC</w:t>
      </w:r>
      <w:proofErr w:type="spellEnd"/>
      <w:r w:rsidR="002A57EF">
        <w:rPr>
          <w:rFonts w:cstheme="minorHAnsi"/>
        </w:rPr>
        <w:t xml:space="preserve"> (studie PROFOUND a TRITON3) – upraveno dle zdrojů uvedených výše pod pozn. 67</w:t>
      </w:r>
      <w:r w:rsidR="00AB2EEA">
        <w:rPr>
          <w:rFonts w:cstheme="minorHAnsi"/>
        </w:rPr>
        <w:t>,</w:t>
      </w:r>
      <w:r w:rsidR="002A57EF">
        <w:rPr>
          <w:rFonts w:cstheme="minorHAnsi"/>
        </w:rPr>
        <w:t xml:space="preserve"> 68</w:t>
      </w:r>
      <w:r w:rsidR="002B01D7">
        <w:rPr>
          <w:rFonts w:cstheme="minorHAnsi"/>
        </w:rPr>
        <w:t>,</w:t>
      </w:r>
      <w:r w:rsidR="00AB2EEA">
        <w:rPr>
          <w:rFonts w:cstheme="minorHAnsi"/>
        </w:rPr>
        <w:t xml:space="preserve"> 92</w:t>
      </w:r>
      <w:r w:rsidR="002B01D7">
        <w:rPr>
          <w:rFonts w:cstheme="minorHAnsi"/>
        </w:rPr>
        <w:t>, 100 a 101</w:t>
      </w:r>
    </w:p>
    <w:p w:rsidR="00B038BA" w:rsidRDefault="00B038BA" w:rsidP="00B038BA">
      <w:pPr>
        <w:spacing w:after="0"/>
        <w:ind w:left="57"/>
        <w:jc w:val="both"/>
        <w:rPr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 studie s hodnoceným LP AKEEGA</w:t>
      </w:r>
      <w:r>
        <w:rPr>
          <w:sz w:val="18"/>
          <w:szCs w:val="18"/>
        </w:rPr>
        <w:t xml:space="preserve">. </w:t>
      </w:r>
      <w:r w:rsidRPr="00B038BA">
        <w:rPr>
          <w:b/>
          <w:sz w:val="18"/>
          <w:szCs w:val="18"/>
        </w:rPr>
        <w:t>Černým orámováním pak podskupina pacientů s </w:t>
      </w:r>
      <w:r w:rsidRPr="00B038BA">
        <w:rPr>
          <w:b/>
          <w:i/>
          <w:sz w:val="18"/>
          <w:szCs w:val="18"/>
        </w:rPr>
        <w:t>BRCA</w:t>
      </w:r>
      <w:r w:rsidRPr="00B038BA">
        <w:rPr>
          <w:b/>
          <w:sz w:val="18"/>
          <w:szCs w:val="18"/>
        </w:rPr>
        <w:t xml:space="preserve"> mutací!)</w:t>
      </w:r>
      <w:r>
        <w:rPr>
          <w:sz w:val="18"/>
          <w:szCs w:val="18"/>
        </w:rPr>
        <w:t>)</w:t>
      </w:r>
    </w:p>
    <w:p w:rsidR="00063800" w:rsidRPr="00872372" w:rsidRDefault="00063800" w:rsidP="00063800">
      <w:pPr>
        <w:spacing w:after="0"/>
        <w:ind w:left="57"/>
        <w:jc w:val="both"/>
        <w:rPr>
          <w:sz w:val="4"/>
          <w:szCs w:val="4"/>
        </w:rPr>
      </w:pPr>
    </w:p>
    <w:p w:rsidR="00063800" w:rsidRDefault="00EF4E5A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8950" cy="5019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7" w:rsidRDefault="00300407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29425" cy="419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AF" w:rsidRDefault="009324AF" w:rsidP="00C772F8">
      <w:pPr>
        <w:spacing w:after="0"/>
        <w:jc w:val="both"/>
      </w:pPr>
    </w:p>
    <w:p w:rsidR="00A86F3C" w:rsidRDefault="00A86F3C" w:rsidP="00C772F8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858000" cy="282892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F8" w:rsidRDefault="00C772F8" w:rsidP="00C772F8">
      <w:pPr>
        <w:spacing w:after="0"/>
        <w:jc w:val="both"/>
      </w:pPr>
    </w:p>
    <w:p w:rsidR="00AB2EEA" w:rsidRDefault="003A7B91" w:rsidP="00C772F8">
      <w:pPr>
        <w:spacing w:after="0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6829425" cy="28956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91" w:rsidRDefault="00EC2AAE" w:rsidP="00C772F8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838950" cy="103822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B8" w:rsidRDefault="00C07A29" w:rsidP="00C07A29">
      <w:pPr>
        <w:spacing w:after="0"/>
        <w:ind w:left="794"/>
        <w:jc w:val="both"/>
      </w:pPr>
      <w:r>
        <w:rPr>
          <w:noProof/>
          <w:lang w:eastAsia="cs-CZ"/>
        </w:rPr>
        <w:drawing>
          <wp:inline distT="0" distB="0" distL="0" distR="0">
            <wp:extent cx="6229350" cy="1005840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20" w:rsidRDefault="007D653E" w:rsidP="00C772F8">
      <w:pPr>
        <w:spacing w:after="0"/>
        <w:jc w:val="both"/>
      </w:pPr>
      <w:r>
        <w:rPr>
          <w:noProof/>
        </w:rPr>
        <w:pict>
          <v:rect id="_x0000_s1043" style="position:absolute;left:0;text-align:left;margin-left:9.15pt;margin-top:59.5pt;width:529.5pt;height:76.5pt;z-index:251662336" filled="f" strokeweight="2.5pt"/>
        </w:pict>
      </w:r>
      <w:r w:rsidR="00AC1D20">
        <w:rPr>
          <w:noProof/>
          <w:lang w:eastAsia="cs-CZ"/>
        </w:rPr>
        <w:drawing>
          <wp:inline distT="0" distB="0" distL="0" distR="0">
            <wp:extent cx="6838950" cy="75247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A9" w:rsidRDefault="00CD6BA9" w:rsidP="00CD6BA9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96100" cy="952500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20" w:rsidRDefault="007D653E" w:rsidP="00C772F8">
      <w:pPr>
        <w:spacing w:after="0"/>
        <w:jc w:val="both"/>
      </w:pPr>
      <w:r>
        <w:rPr>
          <w:noProof/>
        </w:rPr>
        <w:pict>
          <v:rect id="_x0000_s1045" style="position:absolute;left:0;text-align:left;margin-left:9.9pt;margin-top:112.45pt;width:519pt;height:48.75pt;z-index:251663360" filled="f" strokeweight="2.5pt"/>
        </w:pict>
      </w:r>
      <w:r w:rsidR="001676FF">
        <w:rPr>
          <w:noProof/>
          <w:lang w:eastAsia="cs-CZ"/>
        </w:rPr>
        <w:drawing>
          <wp:inline distT="0" distB="0" distL="0" distR="0">
            <wp:extent cx="6838950" cy="2809875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20" w:rsidRDefault="00032629" w:rsidP="00032629">
      <w:pPr>
        <w:spacing w:after="0"/>
        <w:ind w:left="2324"/>
        <w:jc w:val="both"/>
      </w:pPr>
      <w:r>
        <w:rPr>
          <w:noProof/>
          <w:lang w:eastAsia="cs-CZ"/>
        </w:rPr>
        <w:drawing>
          <wp:inline distT="0" distB="0" distL="0" distR="0">
            <wp:extent cx="4848225" cy="152400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2A" w:rsidRDefault="005E732A">
      <w:pPr>
        <w:spacing w:after="0"/>
        <w:ind w:left="57"/>
        <w:jc w:val="both"/>
      </w:pPr>
    </w:p>
    <w:p w:rsidR="00C772F8" w:rsidRDefault="00C772F8">
      <w:pPr>
        <w:spacing w:after="0"/>
        <w:ind w:left="57"/>
        <w:jc w:val="both"/>
      </w:pPr>
    </w:p>
    <w:p w:rsidR="0001111E" w:rsidRDefault="0001111E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t>Příloha č. 24:</w:t>
      </w:r>
      <w:r w:rsidR="00335B17">
        <w:rPr>
          <w:rFonts w:cstheme="minorHAnsi"/>
          <w:b/>
        </w:rPr>
        <w:t xml:space="preserve"> </w:t>
      </w:r>
      <w:r w:rsidR="00335B17">
        <w:rPr>
          <w:rFonts w:cstheme="minorHAnsi"/>
        </w:rPr>
        <w:t>c</w:t>
      </w:r>
      <w:r w:rsidR="00335B17" w:rsidRPr="00335B17">
        <w:rPr>
          <w:rFonts w:cstheme="minorHAnsi"/>
        </w:rPr>
        <w:t xml:space="preserve">hemické struktury </w:t>
      </w:r>
      <w:r w:rsidR="00335B17">
        <w:rPr>
          <w:rFonts w:cstheme="minorHAnsi"/>
        </w:rPr>
        <w:t xml:space="preserve">4 </w:t>
      </w:r>
      <w:proofErr w:type="spellStart"/>
      <w:r w:rsidR="00335B17" w:rsidRPr="00335B17">
        <w:rPr>
          <w:rFonts w:cstheme="minorHAnsi"/>
        </w:rPr>
        <w:t>PARPi</w:t>
      </w:r>
      <w:proofErr w:type="spellEnd"/>
      <w:r w:rsidR="00335B17">
        <w:rPr>
          <w:rFonts w:cstheme="minorHAnsi"/>
        </w:rPr>
        <w:t xml:space="preserve"> (</w:t>
      </w:r>
      <w:proofErr w:type="spellStart"/>
      <w:r w:rsidR="00335B17" w:rsidRPr="005E732A">
        <w:rPr>
          <w:rFonts w:cstheme="minorHAnsi"/>
          <w:u w:val="single"/>
        </w:rPr>
        <w:t>benzamidový</w:t>
      </w:r>
      <w:proofErr w:type="spellEnd"/>
      <w:r w:rsidR="00335B17" w:rsidRPr="005E732A">
        <w:rPr>
          <w:rFonts w:cstheme="minorHAnsi"/>
          <w:u w:val="single"/>
        </w:rPr>
        <w:t xml:space="preserve"> </w:t>
      </w:r>
      <w:proofErr w:type="spellStart"/>
      <w:r w:rsidR="00335B17" w:rsidRPr="005E732A">
        <w:rPr>
          <w:rFonts w:cstheme="minorHAnsi"/>
          <w:u w:val="single"/>
        </w:rPr>
        <w:t>farmakofor</w:t>
      </w:r>
      <w:proofErr w:type="spellEnd"/>
      <w:r w:rsidR="00335B17" w:rsidRPr="005E732A">
        <w:rPr>
          <w:rFonts w:cstheme="minorHAnsi"/>
          <w:u w:val="single"/>
        </w:rPr>
        <w:t xml:space="preserve"> sdílen</w:t>
      </w:r>
      <w:r w:rsidR="005E732A" w:rsidRPr="005E732A">
        <w:rPr>
          <w:rFonts w:cstheme="minorHAnsi"/>
          <w:u w:val="single"/>
        </w:rPr>
        <w:t>ý</w:t>
      </w:r>
      <w:r w:rsidR="00335B17" w:rsidRPr="005E732A">
        <w:rPr>
          <w:rFonts w:cstheme="minorHAnsi"/>
          <w:u w:val="single"/>
        </w:rPr>
        <w:t xml:space="preserve"> mezi </w:t>
      </w:r>
      <w:proofErr w:type="spellStart"/>
      <w:r w:rsidR="00335B17" w:rsidRPr="005E732A">
        <w:rPr>
          <w:rFonts w:cstheme="minorHAnsi"/>
          <w:u w:val="single"/>
        </w:rPr>
        <w:t>PARPi</w:t>
      </w:r>
      <w:proofErr w:type="spellEnd"/>
      <w:r w:rsidR="00335B17" w:rsidRPr="005E732A">
        <w:rPr>
          <w:rFonts w:cstheme="minorHAnsi"/>
          <w:u w:val="single"/>
        </w:rPr>
        <w:t xml:space="preserve"> je zvýrazněn zeleně</w:t>
      </w:r>
      <w:r w:rsidR="00335B17">
        <w:rPr>
          <w:rFonts w:cstheme="minorHAnsi"/>
        </w:rPr>
        <w:t xml:space="preserve">), přehled </w:t>
      </w:r>
      <w:proofErr w:type="spellStart"/>
      <w:r w:rsidR="00335B17">
        <w:rPr>
          <w:rFonts w:cstheme="minorHAnsi"/>
        </w:rPr>
        <w:t>PARPi</w:t>
      </w:r>
      <w:proofErr w:type="spellEnd"/>
      <w:r w:rsidR="00335B17">
        <w:rPr>
          <w:rFonts w:cstheme="minorHAnsi"/>
        </w:rPr>
        <w:t xml:space="preserve"> (viz výše pozn. 26) a jejich charakteristik</w:t>
      </w:r>
      <w:r w:rsidR="00FB152E">
        <w:rPr>
          <w:rFonts w:cstheme="minorHAnsi"/>
        </w:rPr>
        <w:t xml:space="preserve"> – upraveno dle zdroje uvedeného výše pod</w:t>
      </w:r>
      <w:r w:rsidR="00335B17">
        <w:rPr>
          <w:rFonts w:cstheme="minorHAnsi"/>
        </w:rPr>
        <w:t xml:space="preserve"> pozn. 125 (horní obrázek)</w:t>
      </w:r>
      <w:r w:rsidR="005E732A">
        <w:rPr>
          <w:rFonts w:cstheme="minorHAnsi"/>
        </w:rPr>
        <w:t>, pozn. 126 (2. obrázek),</w:t>
      </w:r>
      <w:r w:rsidR="00FB152E">
        <w:rPr>
          <w:rFonts w:cstheme="minorHAnsi"/>
        </w:rPr>
        <w:t xml:space="preserve"> pozn. 71</w:t>
      </w:r>
      <w:r w:rsidR="005E732A">
        <w:rPr>
          <w:rFonts w:cstheme="minorHAnsi"/>
        </w:rPr>
        <w:t xml:space="preserve"> (3.</w:t>
      </w:r>
      <w:r w:rsidR="00335B17">
        <w:rPr>
          <w:rFonts w:cstheme="minorHAnsi"/>
        </w:rPr>
        <w:t xml:space="preserve"> obrázek)</w:t>
      </w:r>
      <w:r w:rsidR="005E732A">
        <w:rPr>
          <w:rFonts w:cstheme="minorHAnsi"/>
        </w:rPr>
        <w:t xml:space="preserve"> a pozn. 125 (dolní obrázek)</w:t>
      </w:r>
    </w:p>
    <w:p w:rsidR="000623C1" w:rsidRDefault="000623C1">
      <w:pPr>
        <w:spacing w:after="0"/>
        <w:ind w:left="57"/>
        <w:jc w:val="both"/>
        <w:rPr>
          <w:b/>
          <w:color w:val="FF0000"/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 xml:space="preserve">Autorem této FE analýzy byly červeně zvýrazněny informace týkající se </w:t>
      </w:r>
      <w:proofErr w:type="spellStart"/>
      <w:r>
        <w:rPr>
          <w:b/>
          <w:color w:val="FF0000"/>
          <w:sz w:val="18"/>
          <w:szCs w:val="18"/>
        </w:rPr>
        <w:t>PAPRi</w:t>
      </w:r>
      <w:proofErr w:type="spellEnd"/>
      <w:r>
        <w:rPr>
          <w:b/>
          <w:color w:val="FF0000"/>
          <w:sz w:val="18"/>
          <w:szCs w:val="18"/>
        </w:rPr>
        <w:t xml:space="preserve"> </w:t>
      </w:r>
      <w:proofErr w:type="spellStart"/>
      <w:r>
        <w:rPr>
          <w:b/>
          <w:color w:val="FF0000"/>
          <w:sz w:val="18"/>
          <w:szCs w:val="18"/>
        </w:rPr>
        <w:t>niraparibu</w:t>
      </w:r>
      <w:proofErr w:type="spellEnd"/>
      <w:r>
        <w:rPr>
          <w:b/>
          <w:color w:val="FF0000"/>
          <w:sz w:val="18"/>
          <w:szCs w:val="18"/>
        </w:rPr>
        <w:t xml:space="preserve"> obsaženého v hodnoceném LP AKEEGA)</w:t>
      </w:r>
    </w:p>
    <w:p w:rsidR="000623C1" w:rsidRDefault="000623C1">
      <w:pPr>
        <w:spacing w:after="0"/>
        <w:ind w:left="57"/>
        <w:jc w:val="both"/>
        <w:rPr>
          <w:rFonts w:cstheme="minorHAnsi"/>
          <w:sz w:val="8"/>
          <w:szCs w:val="8"/>
        </w:rPr>
      </w:pPr>
    </w:p>
    <w:p w:rsidR="00F81D66" w:rsidRDefault="00F81D66" w:rsidP="00F81D66">
      <w:pPr>
        <w:spacing w:after="0"/>
        <w:ind w:left="1191"/>
        <w:jc w:val="both"/>
        <w:rPr>
          <w:rFonts w:cstheme="minorHAnsi"/>
          <w:sz w:val="8"/>
          <w:szCs w:val="8"/>
        </w:rPr>
      </w:pPr>
      <w:r>
        <w:rPr>
          <w:rFonts w:cstheme="minorHAnsi"/>
          <w:noProof/>
          <w:sz w:val="8"/>
          <w:szCs w:val="8"/>
          <w:lang w:eastAsia="cs-CZ"/>
        </w:rPr>
        <w:drawing>
          <wp:inline distT="0" distB="0" distL="0" distR="0">
            <wp:extent cx="5124090" cy="2044460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95" cy="20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2A" w:rsidRDefault="005E732A" w:rsidP="00F81D66">
      <w:pPr>
        <w:spacing w:after="0"/>
        <w:ind w:left="1191"/>
        <w:jc w:val="both"/>
        <w:rPr>
          <w:rFonts w:cstheme="minorHAnsi"/>
          <w:sz w:val="8"/>
          <w:szCs w:val="8"/>
        </w:rPr>
      </w:pPr>
    </w:p>
    <w:p w:rsidR="005E732A" w:rsidRPr="000623C1" w:rsidRDefault="005E732A" w:rsidP="00F81D66">
      <w:pPr>
        <w:spacing w:after="0"/>
        <w:ind w:left="1191"/>
        <w:jc w:val="both"/>
        <w:rPr>
          <w:rFonts w:cstheme="minorHAnsi"/>
          <w:sz w:val="8"/>
          <w:szCs w:val="8"/>
        </w:rPr>
      </w:pPr>
    </w:p>
    <w:p w:rsidR="005E732A" w:rsidRDefault="005E732A" w:rsidP="005E732A">
      <w:pPr>
        <w:spacing w:after="0"/>
        <w:ind w:left="34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236898" cy="1130061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37" cy="11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E6" w:rsidRDefault="00906BE6" w:rsidP="005E732A">
      <w:pPr>
        <w:spacing w:after="0"/>
        <w:ind w:left="340"/>
        <w:jc w:val="both"/>
        <w:rPr>
          <w:noProof/>
          <w:lang w:eastAsia="cs-CZ"/>
        </w:rPr>
      </w:pPr>
    </w:p>
    <w:p w:rsidR="00906BE6" w:rsidRDefault="00906BE6" w:rsidP="005E732A">
      <w:pPr>
        <w:spacing w:after="0"/>
        <w:ind w:left="340"/>
        <w:jc w:val="both"/>
        <w:rPr>
          <w:noProof/>
          <w:lang w:eastAsia="cs-CZ"/>
        </w:rPr>
      </w:pPr>
    </w:p>
    <w:p w:rsidR="002538CE" w:rsidRDefault="007D653E">
      <w:pPr>
        <w:spacing w:after="0"/>
        <w:ind w:left="57"/>
        <w:jc w:val="both"/>
      </w:pPr>
      <w:r>
        <w:rPr>
          <w:noProof/>
          <w:lang w:eastAsia="cs-CZ"/>
        </w:rPr>
        <w:pict>
          <v:rect id="_x0000_s1028" style="position:absolute;left:0;text-align:left;margin-left:330.3pt;margin-top:-.15pt;width:97.8pt;height:175.25pt;z-index:251660288" fillcolor="red" strokecolor="red" strokeweight="1.75pt">
            <v:fill opacity="11796f"/>
          </v:rect>
        </w:pict>
      </w:r>
      <w:r w:rsidR="002538CE">
        <w:rPr>
          <w:noProof/>
          <w:lang w:eastAsia="cs-CZ"/>
        </w:rPr>
        <w:drawing>
          <wp:inline distT="0" distB="0" distL="0" distR="0">
            <wp:extent cx="6840747" cy="3545457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4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F9" w:rsidRDefault="001A4DF9">
      <w:pPr>
        <w:spacing w:after="0"/>
        <w:ind w:left="57"/>
        <w:jc w:val="both"/>
      </w:pPr>
    </w:p>
    <w:p w:rsidR="005E732A" w:rsidRDefault="005E732A">
      <w:pPr>
        <w:spacing w:after="0"/>
        <w:ind w:left="57"/>
        <w:jc w:val="both"/>
      </w:pPr>
    </w:p>
    <w:p w:rsidR="001A4DF9" w:rsidRDefault="005E732A">
      <w:pPr>
        <w:spacing w:after="0"/>
        <w:ind w:left="57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6595639" cy="5296619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39" cy="52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67" w:rsidRDefault="005E732A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483435" cy="401335"/>
            <wp:effectExtent l="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33" cy="4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E6" w:rsidRDefault="00906BE6" w:rsidP="001A4DF9">
      <w:pPr>
        <w:spacing w:after="0"/>
        <w:ind w:left="57"/>
        <w:jc w:val="both"/>
        <w:rPr>
          <w:rFonts w:cstheme="minorHAnsi"/>
          <w:b/>
        </w:rPr>
      </w:pPr>
    </w:p>
    <w:p w:rsidR="005B1A78" w:rsidRDefault="005B1A78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  <w:rPr>
          <w:noProof/>
          <w:lang w:eastAsia="cs-CZ"/>
        </w:rPr>
      </w:pPr>
    </w:p>
    <w:p w:rsidR="00D92871" w:rsidRDefault="00D92871" w:rsidP="00DD4926">
      <w:pPr>
        <w:spacing w:after="0"/>
        <w:ind w:left="794"/>
        <w:jc w:val="both"/>
      </w:pPr>
    </w:p>
    <w:p w:rsidR="00BE4559" w:rsidRDefault="00BE4559">
      <w:pPr>
        <w:spacing w:after="0"/>
        <w:ind w:left="57"/>
        <w:jc w:val="both"/>
      </w:pPr>
    </w:p>
    <w:p w:rsidR="00BE4559" w:rsidRDefault="00BE4559">
      <w:pPr>
        <w:spacing w:after="0"/>
        <w:ind w:left="57"/>
        <w:jc w:val="both"/>
      </w:pPr>
    </w:p>
    <w:p w:rsidR="00DD4926" w:rsidRDefault="0055609E" w:rsidP="00CF2FA5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Příloha č. 27: </w:t>
      </w:r>
      <w:r>
        <w:rPr>
          <w:rFonts w:cstheme="minorHAnsi"/>
        </w:rPr>
        <w:t>přehled a charakteristika LP použitých v této FE analýze</w:t>
      </w:r>
    </w:p>
    <w:p w:rsidR="00422EBA" w:rsidRDefault="00422EBA" w:rsidP="00CF2FA5">
      <w:pPr>
        <w:spacing w:after="0"/>
        <w:ind w:left="57"/>
        <w:jc w:val="both"/>
        <w:rPr>
          <w:rFonts w:cstheme="minorHAnsi"/>
          <w:b/>
          <w:sz w:val="18"/>
          <w:szCs w:val="18"/>
        </w:rPr>
      </w:pPr>
      <w:r w:rsidRPr="00422EBA">
        <w:rPr>
          <w:rFonts w:cstheme="minorHAnsi"/>
          <w:b/>
          <w:sz w:val="18"/>
          <w:szCs w:val="18"/>
        </w:rPr>
        <w:t>(</w:t>
      </w:r>
      <w:r>
        <w:rPr>
          <w:rFonts w:cstheme="minorHAnsi"/>
          <w:b/>
          <w:sz w:val="18"/>
          <w:szCs w:val="18"/>
        </w:rPr>
        <w:t xml:space="preserve">CAVE! </w:t>
      </w:r>
      <w:proofErr w:type="gramStart"/>
      <w:r w:rsidRPr="00422EBA">
        <w:rPr>
          <w:rFonts w:cstheme="minorHAnsi"/>
          <w:b/>
          <w:sz w:val="18"/>
          <w:szCs w:val="18"/>
        </w:rPr>
        <w:t>tučným</w:t>
      </w:r>
      <w:proofErr w:type="gramEnd"/>
      <w:r w:rsidRPr="00422EBA">
        <w:rPr>
          <w:rFonts w:cstheme="minorHAnsi"/>
          <w:b/>
          <w:sz w:val="18"/>
          <w:szCs w:val="18"/>
        </w:rPr>
        <w:t xml:space="preserve"> písmem</w:t>
      </w:r>
      <w:r>
        <w:rPr>
          <w:rFonts w:cstheme="minorHAnsi"/>
          <w:b/>
          <w:sz w:val="18"/>
          <w:szCs w:val="18"/>
        </w:rPr>
        <w:t xml:space="preserve"> v indikacích a úhr</w:t>
      </w:r>
      <w:r w:rsidR="00147F08">
        <w:rPr>
          <w:rFonts w:cstheme="minorHAnsi"/>
          <w:b/>
          <w:sz w:val="18"/>
          <w:szCs w:val="18"/>
        </w:rPr>
        <w:t>a</w:t>
      </w:r>
      <w:r>
        <w:rPr>
          <w:rFonts w:cstheme="minorHAnsi"/>
          <w:b/>
          <w:sz w:val="18"/>
          <w:szCs w:val="18"/>
        </w:rPr>
        <w:t>dách</w:t>
      </w:r>
      <w:r w:rsidRPr="00422EBA">
        <w:rPr>
          <w:rFonts w:cstheme="minorHAnsi"/>
          <w:b/>
          <w:sz w:val="18"/>
          <w:szCs w:val="18"/>
        </w:rPr>
        <w:t xml:space="preserve"> jsou zvýrazněny hlavní rozdíly mezi LP, podtržením byly zvýrazněny důležité informace</w:t>
      </w:r>
      <w:r>
        <w:rPr>
          <w:rFonts w:cstheme="minorHAnsi"/>
          <w:b/>
          <w:sz w:val="18"/>
          <w:szCs w:val="18"/>
        </w:rPr>
        <w:t>!</w:t>
      </w:r>
      <w:r w:rsidR="00147F08">
        <w:rPr>
          <w:rFonts w:cstheme="minorHAnsi"/>
          <w:b/>
          <w:sz w:val="18"/>
          <w:szCs w:val="18"/>
        </w:rPr>
        <w:t>, modrým podbarvením je zvýrazněn hodnocený LP)</w:t>
      </w:r>
    </w:p>
    <w:p w:rsidR="00E71230" w:rsidRPr="00E71230" w:rsidRDefault="00E71230" w:rsidP="00CF2FA5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CAVE! </w:t>
      </w:r>
      <w:proofErr w:type="gramStart"/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žadatelé</w:t>
      </w:r>
      <w:proofErr w:type="gramEnd"/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o úhradu LP LYNPARZA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  <w:vertAlign w:val="superscript"/>
        </w:rPr>
        <w:t>15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i TALZENNA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  <w:vertAlign w:val="superscript"/>
        </w:rPr>
        <w:t>102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žádají v podmínkách úhrady o něco přísnější kritéria n</w:t>
      </w:r>
      <w:r w:rsidR="0047096C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ež stanovují schválené indikace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>, konkrétně: „</w:t>
      </w:r>
      <w:r w:rsidRPr="00E71230">
        <w:rPr>
          <w:rFonts w:cstheme="minorHAnsi"/>
          <w:b/>
          <w:i/>
          <w:sz w:val="18"/>
          <w:szCs w:val="18"/>
          <w:highlight w:val="cyan"/>
          <w:u w:val="single"/>
          <w:shd w:val="clear" w:color="auto" w:fill="FFFFFF"/>
        </w:rPr>
        <w:t>u asymptomatických či mírně symptomatických pacientů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(k tomu viz </w:t>
      </w:r>
      <w:r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výše 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pozn. 104!) </w:t>
      </w:r>
      <w:r w:rsidRPr="00E71230">
        <w:rPr>
          <w:rFonts w:cstheme="minorHAnsi"/>
          <w:b/>
          <w:i/>
          <w:sz w:val="18"/>
          <w:szCs w:val="18"/>
          <w:highlight w:val="cyan"/>
          <w:u w:val="single"/>
          <w:shd w:val="clear" w:color="auto" w:fill="FFFFFF"/>
        </w:rPr>
        <w:t>se stavem výkonnosti dle ECOG 0-1</w:t>
      </w:r>
      <w:r w:rsidRPr="00E71230">
        <w:rPr>
          <w:rFonts w:cstheme="minorHAnsi"/>
          <w:b/>
          <w:sz w:val="18"/>
          <w:szCs w:val="18"/>
          <w:highlight w:val="cyan"/>
          <w:u w:val="single"/>
          <w:shd w:val="clear" w:color="auto" w:fill="FFFFFF"/>
        </w:rPr>
        <w:t xml:space="preserve"> (k tomu viz Přílohu č. 10)</w:t>
      </w:r>
      <w:r>
        <w:rPr>
          <w:rFonts w:cstheme="minorHAnsi"/>
          <w:b/>
          <w:sz w:val="18"/>
          <w:szCs w:val="18"/>
          <w:highlight w:val="cyan"/>
          <w:shd w:val="clear" w:color="auto" w:fill="FFFFFF"/>
        </w:rPr>
        <w:t xml:space="preserve">“! </w:t>
      </w:r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 xml:space="preserve"> Viz také Přílohu č. 17 pro přehled studií s</w:t>
      </w:r>
      <w:r>
        <w:rPr>
          <w:rFonts w:cstheme="minorHAnsi"/>
          <w:b/>
          <w:sz w:val="18"/>
          <w:szCs w:val="18"/>
          <w:highlight w:val="cyan"/>
          <w:shd w:val="clear" w:color="auto" w:fill="FFFFFF"/>
        </w:rPr>
        <w:t> </w:t>
      </w:r>
      <w:proofErr w:type="spellStart"/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>PARPi</w:t>
      </w:r>
      <w:proofErr w:type="spellEnd"/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>. Pro škálu BPI viz výše pozn. 105</w:t>
      </w:r>
      <w:r w:rsidR="00414A3B">
        <w:rPr>
          <w:rFonts w:cstheme="minorHAnsi"/>
          <w:b/>
          <w:sz w:val="18"/>
          <w:szCs w:val="18"/>
          <w:highlight w:val="cyan"/>
          <w:shd w:val="clear" w:color="auto" w:fill="FFFFFF"/>
        </w:rPr>
        <w:t>, k hodnocení symptomů viz výše pozn. 104</w:t>
      </w:r>
      <w:r w:rsidRPr="00E71230">
        <w:rPr>
          <w:rFonts w:cstheme="minorHAnsi"/>
          <w:b/>
          <w:sz w:val="18"/>
          <w:szCs w:val="18"/>
          <w:highlight w:val="cyan"/>
          <w:shd w:val="clear" w:color="auto" w:fill="FFFFFF"/>
        </w:rPr>
        <w:t>.</w:t>
      </w:r>
    </w:p>
    <w:p w:rsidR="00276945" w:rsidRPr="009335A5" w:rsidRDefault="00276945" w:rsidP="00CF2FA5">
      <w:pPr>
        <w:spacing w:after="0"/>
        <w:ind w:left="57"/>
        <w:jc w:val="both"/>
        <w:rPr>
          <w:rFonts w:cstheme="minorHAnsi"/>
          <w:sz w:val="8"/>
          <w:szCs w:val="8"/>
        </w:rPr>
      </w:pPr>
    </w:p>
    <w:p w:rsidR="00627906" w:rsidRDefault="00276945" w:rsidP="00CF2FA5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1809" cy="48049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8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06" w:rsidRDefault="00276945" w:rsidP="00CF2FA5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1652" cy="300199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0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59" w:rsidRDefault="00BE4559">
      <w:pPr>
        <w:spacing w:after="0"/>
        <w:ind w:left="57"/>
        <w:jc w:val="both"/>
      </w:pPr>
    </w:p>
    <w:p w:rsidR="009335A5" w:rsidRDefault="009335A5">
      <w:pPr>
        <w:spacing w:after="0"/>
        <w:ind w:left="57"/>
        <w:jc w:val="both"/>
      </w:pPr>
    </w:p>
    <w:p w:rsidR="009335A5" w:rsidRDefault="009335A5">
      <w:pPr>
        <w:spacing w:after="0"/>
        <w:ind w:left="57"/>
        <w:jc w:val="both"/>
      </w:pPr>
    </w:p>
    <w:p w:rsidR="009335A5" w:rsidRDefault="009335A5">
      <w:pPr>
        <w:spacing w:after="0"/>
        <w:ind w:left="57"/>
        <w:jc w:val="both"/>
      </w:pPr>
    </w:p>
    <w:p w:rsidR="00600C68" w:rsidRDefault="00600C68" w:rsidP="00600C68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Příloha č. 28: </w:t>
      </w:r>
      <w:r>
        <w:rPr>
          <w:rFonts w:cstheme="minorHAnsi"/>
        </w:rPr>
        <w:t>přehled jednotkových cen LP použitých v této FE analýze</w:t>
      </w:r>
    </w:p>
    <w:p w:rsidR="00040425" w:rsidRDefault="00147F08" w:rsidP="00600C68">
      <w:pPr>
        <w:spacing w:after="0"/>
        <w:ind w:left="57"/>
        <w:jc w:val="both"/>
        <w:rPr>
          <w:rFonts w:cstheme="minorHAnsi"/>
          <w:b/>
          <w:sz w:val="18"/>
          <w:szCs w:val="18"/>
        </w:rPr>
      </w:pPr>
      <w:r w:rsidRPr="00147F08">
        <w:rPr>
          <w:rFonts w:cstheme="minorHAnsi"/>
          <w:b/>
          <w:sz w:val="18"/>
          <w:szCs w:val="18"/>
        </w:rPr>
        <w:t>(CAVE !</w:t>
      </w:r>
      <w:r>
        <w:rPr>
          <w:rFonts w:cstheme="minorHAnsi"/>
          <w:sz w:val="18"/>
          <w:szCs w:val="18"/>
        </w:rPr>
        <w:t xml:space="preserve"> </w:t>
      </w:r>
      <w:proofErr w:type="gramStart"/>
      <w:r w:rsidRPr="00147F08">
        <w:rPr>
          <w:rFonts w:cstheme="minorHAnsi"/>
          <w:b/>
          <w:sz w:val="18"/>
          <w:szCs w:val="18"/>
        </w:rPr>
        <w:t>modrým</w:t>
      </w:r>
      <w:proofErr w:type="gramEnd"/>
      <w:r w:rsidRPr="00147F08">
        <w:rPr>
          <w:rFonts w:cstheme="minorHAnsi"/>
          <w:b/>
          <w:sz w:val="18"/>
          <w:szCs w:val="18"/>
        </w:rPr>
        <w:t xml:space="preserve"> podbarvením je zvýrazněn hodnocený LP)</w:t>
      </w:r>
    </w:p>
    <w:p w:rsidR="00147F08" w:rsidRPr="00147F08" w:rsidRDefault="00147F08" w:rsidP="00600C68">
      <w:pPr>
        <w:spacing w:after="0"/>
        <w:ind w:left="57"/>
        <w:jc w:val="both"/>
        <w:rPr>
          <w:rFonts w:cstheme="minorHAnsi"/>
          <w:sz w:val="4"/>
          <w:szCs w:val="4"/>
        </w:rPr>
      </w:pPr>
    </w:p>
    <w:p w:rsidR="00040425" w:rsidRDefault="00147F08" w:rsidP="00600C68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650865" cy="4882551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8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5" w:rsidRDefault="00040425" w:rsidP="00600C68">
      <w:pPr>
        <w:spacing w:after="0"/>
        <w:ind w:left="57"/>
        <w:jc w:val="both"/>
        <w:rPr>
          <w:rFonts w:cstheme="minorHAnsi"/>
        </w:rPr>
      </w:pPr>
    </w:p>
    <w:p w:rsidR="00D92871" w:rsidRDefault="00D92871" w:rsidP="00600C68">
      <w:pPr>
        <w:spacing w:after="0"/>
        <w:ind w:left="57"/>
        <w:jc w:val="both"/>
        <w:rPr>
          <w:rFonts w:cstheme="minorHAnsi"/>
        </w:rPr>
      </w:pPr>
    </w:p>
    <w:p w:rsidR="00D92871" w:rsidRDefault="00D92871" w:rsidP="00600C68">
      <w:pPr>
        <w:spacing w:after="0"/>
        <w:ind w:left="57"/>
        <w:jc w:val="both"/>
        <w:rPr>
          <w:rFonts w:cstheme="minorHAnsi"/>
        </w:rPr>
      </w:pPr>
    </w:p>
    <w:p w:rsidR="00312049" w:rsidRPr="0041480A" w:rsidRDefault="00312049" w:rsidP="00312049">
      <w:pPr>
        <w:spacing w:after="0"/>
        <w:ind w:left="57"/>
        <w:jc w:val="both"/>
        <w:rPr>
          <w:rFonts w:cstheme="minorHAnsi"/>
          <w:sz w:val="21"/>
          <w:szCs w:val="21"/>
        </w:rPr>
      </w:pPr>
      <w:r>
        <w:rPr>
          <w:rFonts w:cstheme="minorHAnsi"/>
          <w:b/>
        </w:rPr>
        <w:t xml:space="preserve">Příloha č. 30: </w:t>
      </w:r>
      <w:r w:rsidRPr="0041480A">
        <w:rPr>
          <w:rFonts w:cstheme="minorHAnsi"/>
          <w:sz w:val="21"/>
          <w:szCs w:val="21"/>
        </w:rPr>
        <w:t xml:space="preserve">srovnání výsledků studií (v parametrech bezpečnosti, </w:t>
      </w:r>
      <w:r w:rsidRPr="0041480A">
        <w:rPr>
          <w:rFonts w:cstheme="minorHAnsi"/>
          <w:sz w:val="21"/>
          <w:szCs w:val="21"/>
          <w:u w:val="single"/>
        </w:rPr>
        <w:t>pro charakteristiky studií viz Přílohu č. 17</w:t>
      </w:r>
      <w:r w:rsidR="00855BC8" w:rsidRPr="0041480A">
        <w:rPr>
          <w:rFonts w:cstheme="minorHAnsi"/>
          <w:sz w:val="21"/>
          <w:szCs w:val="21"/>
          <w:u w:val="single"/>
        </w:rPr>
        <w:t>, pro výsledky v parametrech účinnosti viz Přílohu č. 22</w:t>
      </w:r>
      <w:r w:rsidRPr="0041480A">
        <w:rPr>
          <w:rFonts w:cstheme="minorHAnsi"/>
          <w:sz w:val="21"/>
          <w:szCs w:val="21"/>
        </w:rPr>
        <w:t>) s </w:t>
      </w:r>
      <w:proofErr w:type="spellStart"/>
      <w:r w:rsidRPr="0041480A">
        <w:rPr>
          <w:rFonts w:cstheme="minorHAnsi"/>
          <w:sz w:val="21"/>
          <w:szCs w:val="21"/>
        </w:rPr>
        <w:t>PARPi</w:t>
      </w:r>
      <w:proofErr w:type="spellEnd"/>
      <w:r w:rsidRPr="0041480A">
        <w:rPr>
          <w:rFonts w:cstheme="minorHAnsi"/>
          <w:sz w:val="21"/>
          <w:szCs w:val="21"/>
        </w:rPr>
        <w:t xml:space="preserve"> (viz výše pozn. 26)</w:t>
      </w:r>
      <w:r w:rsidR="00873B71">
        <w:rPr>
          <w:rFonts w:cstheme="minorHAnsi"/>
          <w:sz w:val="21"/>
          <w:szCs w:val="21"/>
        </w:rPr>
        <w:t xml:space="preserve">, jak pro vzájemné srovnání </w:t>
      </w:r>
      <w:proofErr w:type="spellStart"/>
      <w:r w:rsidR="00873B71">
        <w:rPr>
          <w:rFonts w:cstheme="minorHAnsi"/>
          <w:sz w:val="21"/>
          <w:szCs w:val="21"/>
        </w:rPr>
        <w:t>PARPi</w:t>
      </w:r>
      <w:proofErr w:type="spellEnd"/>
      <w:r w:rsidR="00873B71">
        <w:rPr>
          <w:rFonts w:cstheme="minorHAnsi"/>
          <w:sz w:val="21"/>
          <w:szCs w:val="21"/>
        </w:rPr>
        <w:t xml:space="preserve"> </w:t>
      </w:r>
      <w:proofErr w:type="spellStart"/>
      <w:r w:rsidR="00873B71">
        <w:rPr>
          <w:rFonts w:cstheme="minorHAnsi"/>
          <w:sz w:val="21"/>
          <w:szCs w:val="21"/>
        </w:rPr>
        <w:t>monoterapie</w:t>
      </w:r>
      <w:proofErr w:type="spellEnd"/>
      <w:r w:rsidR="00873B71">
        <w:rPr>
          <w:rFonts w:cstheme="minorHAnsi"/>
          <w:sz w:val="21"/>
          <w:szCs w:val="21"/>
        </w:rPr>
        <w:t xml:space="preserve"> </w:t>
      </w:r>
      <w:proofErr w:type="spellStart"/>
      <w:r w:rsidR="00873B71">
        <w:rPr>
          <w:rFonts w:cstheme="minorHAnsi"/>
          <w:sz w:val="21"/>
          <w:szCs w:val="21"/>
        </w:rPr>
        <w:t>vs</w:t>
      </w:r>
      <w:proofErr w:type="spellEnd"/>
      <w:r w:rsidR="00873B71">
        <w:rPr>
          <w:rFonts w:cstheme="minorHAnsi"/>
          <w:sz w:val="21"/>
          <w:szCs w:val="21"/>
        </w:rPr>
        <w:t xml:space="preserve"> kombinace </w:t>
      </w:r>
      <w:proofErr w:type="spellStart"/>
      <w:r w:rsidR="00873B71">
        <w:rPr>
          <w:rFonts w:cstheme="minorHAnsi"/>
          <w:sz w:val="21"/>
          <w:szCs w:val="21"/>
        </w:rPr>
        <w:t>PARPi</w:t>
      </w:r>
      <w:proofErr w:type="spellEnd"/>
      <w:r w:rsidR="00873B71">
        <w:rPr>
          <w:rFonts w:cstheme="minorHAnsi"/>
          <w:sz w:val="21"/>
          <w:szCs w:val="21"/>
        </w:rPr>
        <w:t xml:space="preserve"> s ARPI (horní obrázek), tak</w:t>
      </w:r>
      <w:r w:rsidR="009B64C7">
        <w:rPr>
          <w:rFonts w:cstheme="minorHAnsi"/>
          <w:sz w:val="21"/>
          <w:szCs w:val="21"/>
        </w:rPr>
        <w:t xml:space="preserve"> níže</w:t>
      </w:r>
      <w:r w:rsidR="00873B71">
        <w:rPr>
          <w:rFonts w:cstheme="minorHAnsi"/>
          <w:sz w:val="21"/>
          <w:szCs w:val="21"/>
        </w:rPr>
        <w:t xml:space="preserve"> pro jednotlivé </w:t>
      </w:r>
      <w:proofErr w:type="spellStart"/>
      <w:r w:rsidR="00873B71">
        <w:rPr>
          <w:rFonts w:cstheme="minorHAnsi"/>
          <w:sz w:val="21"/>
          <w:szCs w:val="21"/>
        </w:rPr>
        <w:t>PARPi</w:t>
      </w:r>
      <w:proofErr w:type="spellEnd"/>
      <w:r w:rsidR="00873B71">
        <w:rPr>
          <w:rFonts w:cstheme="minorHAnsi"/>
          <w:sz w:val="21"/>
          <w:szCs w:val="21"/>
        </w:rPr>
        <w:t xml:space="preserve"> studované </w:t>
      </w:r>
      <w:r w:rsidRPr="0041480A">
        <w:rPr>
          <w:rFonts w:cstheme="minorHAnsi"/>
          <w:sz w:val="21"/>
          <w:szCs w:val="21"/>
        </w:rPr>
        <w:t xml:space="preserve">v 1. linii </w:t>
      </w:r>
      <w:proofErr w:type="spellStart"/>
      <w:r w:rsidRPr="0041480A">
        <w:rPr>
          <w:rFonts w:cstheme="minorHAnsi"/>
          <w:sz w:val="21"/>
          <w:szCs w:val="21"/>
        </w:rPr>
        <w:t>mCRPC</w:t>
      </w:r>
      <w:proofErr w:type="spellEnd"/>
      <w:r w:rsidRPr="0041480A">
        <w:rPr>
          <w:rFonts w:cstheme="minorHAnsi"/>
          <w:sz w:val="21"/>
          <w:szCs w:val="21"/>
        </w:rPr>
        <w:t xml:space="preserve"> (studie MAGNITUDE, PROPEL a TALAPRO-2), </w:t>
      </w:r>
      <w:r w:rsidR="00873B71">
        <w:rPr>
          <w:rFonts w:cstheme="minorHAnsi"/>
          <w:sz w:val="21"/>
          <w:szCs w:val="21"/>
        </w:rPr>
        <w:t>i v</w:t>
      </w:r>
      <w:r w:rsidRPr="0041480A">
        <w:rPr>
          <w:rFonts w:cstheme="minorHAnsi"/>
          <w:sz w:val="21"/>
          <w:szCs w:val="21"/>
        </w:rPr>
        <w:t xml:space="preserve"> 2. a další linii </w:t>
      </w:r>
      <w:proofErr w:type="spellStart"/>
      <w:r w:rsidRPr="0041480A">
        <w:rPr>
          <w:rFonts w:cstheme="minorHAnsi"/>
          <w:sz w:val="21"/>
          <w:szCs w:val="21"/>
        </w:rPr>
        <w:t>mCRPC</w:t>
      </w:r>
      <w:proofErr w:type="spellEnd"/>
      <w:r w:rsidRPr="0041480A">
        <w:rPr>
          <w:rFonts w:cstheme="minorHAnsi"/>
          <w:sz w:val="21"/>
          <w:szCs w:val="21"/>
        </w:rPr>
        <w:t xml:space="preserve"> (studie PROFOUND a TRITON3) – upraveno dle zdrojů</w:t>
      </w:r>
      <w:r w:rsidR="00873B71">
        <w:rPr>
          <w:rFonts w:cstheme="minorHAnsi"/>
          <w:sz w:val="21"/>
          <w:szCs w:val="21"/>
        </w:rPr>
        <w:t xml:space="preserve"> uvedených výše</w:t>
      </w:r>
      <w:r w:rsidRPr="0041480A">
        <w:rPr>
          <w:rFonts w:cstheme="minorHAnsi"/>
          <w:sz w:val="21"/>
          <w:szCs w:val="21"/>
        </w:rPr>
        <w:t xml:space="preserve"> pod pozn. </w:t>
      </w:r>
      <w:r w:rsidR="00873B71">
        <w:rPr>
          <w:rFonts w:cstheme="minorHAnsi"/>
          <w:sz w:val="21"/>
          <w:szCs w:val="21"/>
        </w:rPr>
        <w:t xml:space="preserve">118 (horní obrázek), pozn. 117 (střední obrázek) a pozn. </w:t>
      </w:r>
      <w:r w:rsidR="00855BC8" w:rsidRPr="0041480A">
        <w:rPr>
          <w:rFonts w:cstheme="minorHAnsi"/>
          <w:sz w:val="21"/>
          <w:szCs w:val="21"/>
        </w:rPr>
        <w:t>115</w:t>
      </w:r>
      <w:r w:rsidR="00873B71">
        <w:rPr>
          <w:rFonts w:cstheme="minorHAnsi"/>
          <w:sz w:val="21"/>
          <w:szCs w:val="21"/>
        </w:rPr>
        <w:t xml:space="preserve"> (</w:t>
      </w:r>
      <w:r w:rsidR="009B64C7">
        <w:rPr>
          <w:rFonts w:cstheme="minorHAnsi"/>
          <w:sz w:val="21"/>
          <w:szCs w:val="21"/>
        </w:rPr>
        <w:t>dolní obrázek)</w:t>
      </w:r>
    </w:p>
    <w:p w:rsidR="0041480A" w:rsidRDefault="0041480A" w:rsidP="0041480A">
      <w:pPr>
        <w:spacing w:after="0"/>
        <w:ind w:left="57"/>
        <w:jc w:val="both"/>
        <w:rPr>
          <w:sz w:val="18"/>
          <w:szCs w:val="18"/>
        </w:rPr>
      </w:pPr>
      <w:r w:rsidRPr="00A10497"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byly červeně zvýrazněny informace týkající se studie s hodnoceným LP AKEEGA</w:t>
      </w:r>
      <w:r>
        <w:rPr>
          <w:sz w:val="18"/>
          <w:szCs w:val="18"/>
        </w:rPr>
        <w:t xml:space="preserve">. </w:t>
      </w:r>
      <w:r w:rsidRPr="00B038BA">
        <w:rPr>
          <w:b/>
          <w:sz w:val="18"/>
          <w:szCs w:val="18"/>
        </w:rPr>
        <w:t xml:space="preserve">Černým orámováním pak </w:t>
      </w:r>
      <w:r w:rsidR="000A37E2">
        <w:rPr>
          <w:b/>
          <w:sz w:val="18"/>
          <w:szCs w:val="18"/>
        </w:rPr>
        <w:t>nežádoucí události závažnosti 3 a výše</w:t>
      </w:r>
      <w:r w:rsidR="003E33A4">
        <w:rPr>
          <w:b/>
          <w:sz w:val="18"/>
          <w:szCs w:val="18"/>
        </w:rPr>
        <w:t>, či další významné bezpečnostní informace</w:t>
      </w:r>
      <w:r w:rsidR="000A37E2">
        <w:rPr>
          <w:b/>
          <w:sz w:val="18"/>
          <w:szCs w:val="18"/>
        </w:rPr>
        <w:t xml:space="preserve"> s významnějšími rozdíly mezi intervencemi</w:t>
      </w:r>
      <w:r w:rsidRPr="00B038BA">
        <w:rPr>
          <w:b/>
          <w:sz w:val="18"/>
          <w:szCs w:val="18"/>
        </w:rPr>
        <w:t>!)</w:t>
      </w:r>
      <w:r>
        <w:rPr>
          <w:sz w:val="18"/>
          <w:szCs w:val="18"/>
        </w:rPr>
        <w:t>)</w:t>
      </w:r>
    </w:p>
    <w:p w:rsidR="00312049" w:rsidRPr="00633A37" w:rsidRDefault="00312049">
      <w:pPr>
        <w:spacing w:after="0"/>
        <w:ind w:left="57"/>
        <w:jc w:val="both"/>
        <w:rPr>
          <w:sz w:val="6"/>
          <w:szCs w:val="6"/>
        </w:rPr>
      </w:pPr>
    </w:p>
    <w:p w:rsidR="009B64C7" w:rsidRDefault="009B64C7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1965" cy="2441575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08" w:rsidRDefault="003E33A4">
      <w:pPr>
        <w:spacing w:after="0"/>
        <w:ind w:left="57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6832003" cy="3968151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9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A4" w:rsidRDefault="00EB2E20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40747" cy="2139351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1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20" w:rsidRPr="00633A37" w:rsidRDefault="00EB2E20">
      <w:pPr>
        <w:spacing w:after="0"/>
        <w:ind w:left="57"/>
        <w:jc w:val="both"/>
        <w:rPr>
          <w:sz w:val="10"/>
          <w:szCs w:val="10"/>
        </w:rPr>
      </w:pPr>
    </w:p>
    <w:p w:rsidR="00EB2E20" w:rsidRDefault="00EB2E20">
      <w:pPr>
        <w:spacing w:after="0"/>
        <w:ind w:left="57"/>
        <w:jc w:val="both"/>
      </w:pPr>
    </w:p>
    <w:p w:rsidR="00EB2E20" w:rsidRDefault="00633A37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40319" cy="3269412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2" w:rsidRDefault="00F03272">
      <w:pPr>
        <w:spacing w:after="0"/>
        <w:ind w:left="57"/>
        <w:jc w:val="both"/>
      </w:pPr>
    </w:p>
    <w:p w:rsidR="00FF778F" w:rsidRDefault="00F03272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8950" cy="1285875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37" w:rsidRPr="00F03272" w:rsidRDefault="00633A37">
      <w:pPr>
        <w:spacing w:after="0"/>
        <w:ind w:left="57"/>
        <w:jc w:val="both"/>
        <w:rPr>
          <w:sz w:val="4"/>
          <w:szCs w:val="4"/>
        </w:rPr>
      </w:pPr>
    </w:p>
    <w:p w:rsidR="00633A37" w:rsidRDefault="00F03272" w:rsidP="00F03272">
      <w:pPr>
        <w:spacing w:after="0"/>
        <w:ind w:left="907"/>
        <w:jc w:val="both"/>
      </w:pPr>
      <w:r>
        <w:rPr>
          <w:noProof/>
          <w:lang w:eastAsia="cs-CZ"/>
        </w:rPr>
        <w:drawing>
          <wp:inline distT="0" distB="0" distL="0" distR="0">
            <wp:extent cx="5381625" cy="7031383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0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37" w:rsidRDefault="00633A37">
      <w:pPr>
        <w:spacing w:after="0"/>
        <w:ind w:left="57"/>
        <w:jc w:val="both"/>
      </w:pPr>
    </w:p>
    <w:p w:rsidR="00F03272" w:rsidRDefault="00F03272" w:rsidP="00FF778F">
      <w:pPr>
        <w:spacing w:after="0"/>
        <w:ind w:left="57"/>
        <w:jc w:val="both"/>
        <w:rPr>
          <w:rFonts w:cstheme="minorHAnsi"/>
          <w:b/>
        </w:rPr>
      </w:pPr>
    </w:p>
    <w:p w:rsidR="00F03272" w:rsidRDefault="00F03272" w:rsidP="00FF778F">
      <w:pPr>
        <w:spacing w:after="0"/>
        <w:ind w:left="57"/>
        <w:jc w:val="both"/>
        <w:rPr>
          <w:rFonts w:cstheme="minorHAnsi"/>
          <w:b/>
        </w:rPr>
      </w:pPr>
    </w:p>
    <w:p w:rsidR="00F03272" w:rsidRDefault="00F03272" w:rsidP="00FF778F">
      <w:pPr>
        <w:spacing w:after="0"/>
        <w:ind w:left="57"/>
        <w:jc w:val="both"/>
        <w:rPr>
          <w:rFonts w:cstheme="minorHAnsi"/>
          <w:b/>
        </w:rPr>
      </w:pPr>
    </w:p>
    <w:p w:rsidR="00F03272" w:rsidRDefault="00F03272" w:rsidP="00FF778F">
      <w:pPr>
        <w:spacing w:after="0"/>
        <w:ind w:left="57"/>
        <w:jc w:val="both"/>
        <w:rPr>
          <w:rFonts w:cstheme="minorHAnsi"/>
          <w:b/>
        </w:rPr>
      </w:pPr>
    </w:p>
    <w:p w:rsidR="00F03272" w:rsidRDefault="00F03272" w:rsidP="00FF778F">
      <w:pPr>
        <w:spacing w:after="0"/>
        <w:ind w:left="57"/>
        <w:jc w:val="both"/>
        <w:rPr>
          <w:rFonts w:cstheme="minorHAnsi"/>
          <w:b/>
        </w:rPr>
      </w:pPr>
    </w:p>
    <w:p w:rsidR="00F03272" w:rsidRPr="00FE6523" w:rsidRDefault="0004038F" w:rsidP="00FF778F">
      <w:pPr>
        <w:spacing w:after="0"/>
        <w:ind w:left="57"/>
        <w:jc w:val="both"/>
        <w:rPr>
          <w:rFonts w:cstheme="minorHAnsi"/>
          <w:b/>
          <w:sz w:val="21"/>
          <w:szCs w:val="21"/>
          <w:u w:val="single"/>
        </w:rPr>
      </w:pPr>
      <w:r w:rsidRPr="00FE6523">
        <w:rPr>
          <w:rFonts w:cstheme="minorHAnsi"/>
          <w:b/>
          <w:sz w:val="21"/>
          <w:szCs w:val="21"/>
          <w:highlight w:val="yellow"/>
          <w:u w:val="single"/>
        </w:rPr>
        <w:lastRenderedPageBreak/>
        <w:t xml:space="preserve">Doporučení k managementu vedlejších účinků </w:t>
      </w:r>
      <w:proofErr w:type="spellStart"/>
      <w:r w:rsidRPr="00FE6523">
        <w:rPr>
          <w:rFonts w:cstheme="minorHAnsi"/>
          <w:b/>
          <w:sz w:val="21"/>
          <w:szCs w:val="21"/>
          <w:highlight w:val="yellow"/>
          <w:u w:val="single"/>
        </w:rPr>
        <w:t>PARPi</w:t>
      </w:r>
      <w:proofErr w:type="spellEnd"/>
      <w:r w:rsidRPr="00FE6523">
        <w:rPr>
          <w:rFonts w:cstheme="minorHAnsi"/>
          <w:b/>
          <w:sz w:val="21"/>
          <w:szCs w:val="21"/>
          <w:highlight w:val="yellow"/>
          <w:u w:val="single"/>
        </w:rPr>
        <w:t xml:space="preserve"> dle prezentace z konference APCCC v</w:t>
      </w:r>
      <w:r w:rsidR="00FE6523">
        <w:rPr>
          <w:rFonts w:cstheme="minorHAnsi"/>
          <w:b/>
          <w:sz w:val="21"/>
          <w:szCs w:val="21"/>
          <w:highlight w:val="yellow"/>
          <w:u w:val="single"/>
        </w:rPr>
        <w:t> </w:t>
      </w:r>
      <w:r w:rsidRPr="00FE6523">
        <w:rPr>
          <w:rFonts w:cstheme="minorHAnsi"/>
          <w:b/>
          <w:sz w:val="21"/>
          <w:szCs w:val="21"/>
          <w:highlight w:val="yellow"/>
          <w:u w:val="single"/>
        </w:rPr>
        <w:t>roce</w:t>
      </w:r>
      <w:r w:rsidR="00FE6523">
        <w:rPr>
          <w:rFonts w:cstheme="minorHAnsi"/>
          <w:b/>
          <w:sz w:val="21"/>
          <w:szCs w:val="21"/>
          <w:highlight w:val="yellow"/>
          <w:u w:val="single"/>
        </w:rPr>
        <w:t xml:space="preserve"> </w:t>
      </w:r>
      <w:r w:rsidRPr="00FE6523">
        <w:rPr>
          <w:rFonts w:cstheme="minorHAnsi"/>
          <w:b/>
          <w:sz w:val="21"/>
          <w:szCs w:val="21"/>
          <w:highlight w:val="yellow"/>
          <w:u w:val="single"/>
        </w:rPr>
        <w:t>2024 (viz zdroj v pozn. 124)</w:t>
      </w:r>
    </w:p>
    <w:p w:rsidR="0004038F" w:rsidRPr="00FE6523" w:rsidRDefault="0004038F" w:rsidP="00FF778F">
      <w:pPr>
        <w:spacing w:after="0"/>
        <w:ind w:left="57"/>
        <w:jc w:val="both"/>
        <w:rPr>
          <w:rFonts w:cstheme="minorHAnsi"/>
          <w:b/>
          <w:sz w:val="6"/>
          <w:szCs w:val="6"/>
          <w:u w:val="single"/>
        </w:rPr>
      </w:pPr>
    </w:p>
    <w:p w:rsidR="001E357F" w:rsidRDefault="001E357F" w:rsidP="00FF778F">
      <w:pPr>
        <w:spacing w:after="0"/>
        <w:ind w:left="57"/>
        <w:jc w:val="both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cs-CZ"/>
        </w:rPr>
        <w:drawing>
          <wp:inline distT="0" distB="0" distL="0" distR="0">
            <wp:extent cx="6831965" cy="257937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7F" w:rsidRPr="00D47F5C" w:rsidRDefault="001E357F" w:rsidP="00FF778F">
      <w:pPr>
        <w:spacing w:after="0"/>
        <w:ind w:left="57"/>
        <w:jc w:val="both"/>
        <w:rPr>
          <w:rFonts w:cstheme="minorHAnsi"/>
          <w:sz w:val="10"/>
          <w:szCs w:val="10"/>
        </w:rPr>
      </w:pPr>
    </w:p>
    <w:p w:rsidR="001E357F" w:rsidRPr="0004038F" w:rsidRDefault="00FE6523" w:rsidP="00FF778F">
      <w:pPr>
        <w:spacing w:after="0"/>
        <w:ind w:left="57"/>
        <w:jc w:val="both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cs-CZ"/>
        </w:rPr>
        <w:drawing>
          <wp:inline distT="0" distB="0" distL="0" distR="0">
            <wp:extent cx="6831965" cy="340741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2" w:rsidRPr="00D47F5C" w:rsidRDefault="00F03272" w:rsidP="00FF778F">
      <w:pPr>
        <w:spacing w:after="0"/>
        <w:ind w:left="57"/>
        <w:jc w:val="both"/>
        <w:rPr>
          <w:rFonts w:cstheme="minorHAnsi"/>
          <w:b/>
          <w:sz w:val="10"/>
          <w:szCs w:val="10"/>
        </w:rPr>
      </w:pPr>
    </w:p>
    <w:p w:rsidR="00F03272" w:rsidRDefault="00D47F5C" w:rsidP="00FF778F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40594" cy="3226280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2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F" w:rsidRDefault="00F9021F" w:rsidP="00FF778F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inline distT="0" distB="0" distL="0" distR="0">
            <wp:extent cx="6840747" cy="1380227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3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F" w:rsidRDefault="007A11FA" w:rsidP="00FF778F">
      <w:pPr>
        <w:spacing w:after="0"/>
        <w:ind w:left="5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1965" cy="161290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1F" w:rsidRDefault="00F9021F" w:rsidP="00FF778F">
      <w:pPr>
        <w:spacing w:after="0"/>
        <w:ind w:left="57"/>
        <w:jc w:val="both"/>
        <w:rPr>
          <w:rFonts w:cstheme="minorHAnsi"/>
          <w:b/>
        </w:rPr>
      </w:pPr>
    </w:p>
    <w:p w:rsidR="007A11FA" w:rsidRDefault="007A11FA" w:rsidP="00FF778F">
      <w:pPr>
        <w:spacing w:after="0"/>
        <w:ind w:left="57"/>
        <w:jc w:val="both"/>
        <w:rPr>
          <w:rFonts w:cstheme="minorHAnsi"/>
          <w:b/>
        </w:rPr>
      </w:pPr>
    </w:p>
    <w:p w:rsidR="007A11FA" w:rsidRDefault="007A11FA" w:rsidP="00FF778F">
      <w:pPr>
        <w:spacing w:after="0"/>
        <w:ind w:left="57"/>
        <w:jc w:val="both"/>
        <w:rPr>
          <w:rFonts w:cstheme="minorHAnsi"/>
          <w:b/>
        </w:rPr>
      </w:pPr>
    </w:p>
    <w:p w:rsidR="007A11FA" w:rsidRDefault="007A11FA" w:rsidP="00FF778F">
      <w:pPr>
        <w:spacing w:after="0"/>
        <w:ind w:left="57"/>
        <w:jc w:val="both"/>
        <w:rPr>
          <w:rFonts w:cstheme="minorHAnsi"/>
          <w:b/>
        </w:rPr>
      </w:pPr>
    </w:p>
    <w:p w:rsidR="00C35C74" w:rsidRDefault="00C35C74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  <w:bookmarkStart w:id="0" w:name="_GoBack"/>
      <w:bookmarkEnd w:id="0"/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>
      <w:pPr>
        <w:spacing w:after="0"/>
        <w:ind w:left="57"/>
        <w:jc w:val="both"/>
      </w:pPr>
    </w:p>
    <w:p w:rsidR="000B5726" w:rsidRDefault="000B5726" w:rsidP="000B5726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b/>
        </w:rPr>
        <w:t xml:space="preserve">Příloha č. 34: </w:t>
      </w:r>
      <w:r>
        <w:rPr>
          <w:rFonts w:cstheme="minorHAnsi"/>
        </w:rPr>
        <w:t xml:space="preserve">charakteristika pacientů s jen </w:t>
      </w:r>
      <w:r>
        <w:rPr>
          <w:rFonts w:cstheme="minorHAnsi"/>
          <w:i/>
        </w:rPr>
        <w:t>BRCA</w:t>
      </w:r>
      <w:r>
        <w:rPr>
          <w:rFonts w:cstheme="minorHAnsi"/>
        </w:rPr>
        <w:t xml:space="preserve"> mutací a výsledky v parametru </w:t>
      </w:r>
      <w:proofErr w:type="spellStart"/>
      <w:r>
        <w:rPr>
          <w:rFonts w:cstheme="minorHAnsi"/>
        </w:rPr>
        <w:t>rPFS</w:t>
      </w:r>
      <w:proofErr w:type="spellEnd"/>
      <w:r>
        <w:rPr>
          <w:rFonts w:cstheme="minorHAnsi"/>
        </w:rPr>
        <w:t xml:space="preserve"> pro tuto skupinu ve studii</w:t>
      </w:r>
      <w:r>
        <w:rPr>
          <w:rFonts w:cstheme="minorHAnsi"/>
          <w:u w:val="single"/>
        </w:rPr>
        <w:t xml:space="preserve"> </w:t>
      </w:r>
      <w:r>
        <w:rPr>
          <w:rFonts w:cstheme="minorHAnsi"/>
        </w:rPr>
        <w:t>MAGNITUDE (viz také Přílohy č. 17 a 22) s hodnoceným LP AKEEGA – upraveno dle zdroje pod pozn. 89</w:t>
      </w:r>
    </w:p>
    <w:p w:rsidR="000B5726" w:rsidRDefault="000B5726" w:rsidP="000B5726">
      <w:pPr>
        <w:spacing w:after="0"/>
        <w:ind w:left="57"/>
        <w:jc w:val="both"/>
        <w:rPr>
          <w:sz w:val="18"/>
          <w:szCs w:val="18"/>
        </w:rPr>
      </w:pPr>
      <w:r>
        <w:rPr>
          <w:sz w:val="18"/>
          <w:szCs w:val="18"/>
        </w:rPr>
        <w:t>(</w:t>
      </w:r>
      <w:r>
        <w:rPr>
          <w:b/>
          <w:color w:val="FF0000"/>
          <w:sz w:val="18"/>
          <w:szCs w:val="18"/>
        </w:rPr>
        <w:t>Autorem této FE analýzy byl červeně zvýrazněn výsledek pro celou skupinu pacientů s </w:t>
      </w:r>
      <w:r>
        <w:rPr>
          <w:b/>
          <w:i/>
          <w:color w:val="FF0000"/>
          <w:sz w:val="18"/>
          <w:szCs w:val="18"/>
        </w:rPr>
        <w:t>BRCA</w:t>
      </w:r>
      <w:r>
        <w:rPr>
          <w:b/>
          <w:color w:val="FF0000"/>
          <w:sz w:val="18"/>
          <w:szCs w:val="18"/>
        </w:rPr>
        <w:t xml:space="preserve"> mutací</w:t>
      </w:r>
      <w:r>
        <w:rPr>
          <w:sz w:val="18"/>
          <w:szCs w:val="18"/>
        </w:rPr>
        <w:t xml:space="preserve">. </w:t>
      </w:r>
      <w:r>
        <w:rPr>
          <w:b/>
          <w:sz w:val="18"/>
          <w:szCs w:val="18"/>
        </w:rPr>
        <w:t>Černým orámováním pak ty podskupiny pacientů (jen ty s větším počtem pacientů) s </w:t>
      </w:r>
      <w:r>
        <w:rPr>
          <w:b/>
          <w:i/>
          <w:sz w:val="18"/>
          <w:szCs w:val="18"/>
        </w:rPr>
        <w:t>BRCA</w:t>
      </w:r>
      <w:r>
        <w:rPr>
          <w:b/>
          <w:sz w:val="18"/>
          <w:szCs w:val="18"/>
        </w:rPr>
        <w:t xml:space="preserve"> mutací s výraznějšími rozdíly v </w:t>
      </w:r>
      <w:proofErr w:type="spellStart"/>
      <w:r>
        <w:rPr>
          <w:b/>
          <w:sz w:val="18"/>
          <w:szCs w:val="18"/>
        </w:rPr>
        <w:t>rPFS</w:t>
      </w:r>
      <w:proofErr w:type="spellEnd"/>
      <w:r>
        <w:rPr>
          <w:b/>
          <w:sz w:val="18"/>
          <w:szCs w:val="18"/>
        </w:rPr>
        <w:t xml:space="preserve"> – </w:t>
      </w:r>
      <w:r>
        <w:rPr>
          <w:b/>
          <w:sz w:val="18"/>
          <w:szCs w:val="18"/>
          <w:u w:val="single"/>
        </w:rPr>
        <w:t xml:space="preserve">CAVE! </w:t>
      </w:r>
      <w:proofErr w:type="gramStart"/>
      <w:r>
        <w:rPr>
          <w:b/>
          <w:sz w:val="18"/>
          <w:szCs w:val="18"/>
          <w:u w:val="single"/>
        </w:rPr>
        <w:t>analýza</w:t>
      </w:r>
      <w:proofErr w:type="gramEnd"/>
      <w:r>
        <w:rPr>
          <w:b/>
          <w:sz w:val="18"/>
          <w:szCs w:val="18"/>
          <w:u w:val="single"/>
        </w:rPr>
        <w:t xml:space="preserve"> podskupin byla jen explorativní analýzou</w:t>
      </w:r>
      <w:r>
        <w:rPr>
          <w:b/>
          <w:sz w:val="18"/>
          <w:szCs w:val="18"/>
        </w:rPr>
        <w:t>, pro přehled stratifikovaných faktorů při randomizaci viz Přílohu č. 17.</w:t>
      </w:r>
      <w:r>
        <w:rPr>
          <w:sz w:val="18"/>
          <w:szCs w:val="18"/>
        </w:rPr>
        <w:t>)</w:t>
      </w:r>
    </w:p>
    <w:p w:rsidR="000B5726" w:rsidRDefault="000B5726" w:rsidP="000B5726">
      <w:pPr>
        <w:spacing w:after="0"/>
        <w:ind w:left="57"/>
        <w:jc w:val="both"/>
        <w:rPr>
          <w:sz w:val="6"/>
          <w:szCs w:val="6"/>
        </w:rPr>
      </w:pPr>
    </w:p>
    <w:p w:rsidR="000B5726" w:rsidRDefault="000B5726" w:rsidP="000B5726">
      <w:pPr>
        <w:spacing w:after="0"/>
        <w:ind w:left="57"/>
        <w:jc w:val="both"/>
        <w:rPr>
          <w:sz w:val="4"/>
          <w:szCs w:val="4"/>
        </w:rPr>
      </w:pPr>
    </w:p>
    <w:p w:rsidR="000B5726" w:rsidRDefault="000B5726" w:rsidP="000B5726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743700" cy="27336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26" w:rsidRDefault="000B5726" w:rsidP="000B5726">
      <w:pPr>
        <w:spacing w:after="0"/>
        <w:ind w:left="113"/>
        <w:jc w:val="both"/>
      </w:pPr>
      <w:r>
        <w:rPr>
          <w:noProof/>
          <w:lang w:eastAsia="cs-CZ"/>
        </w:rPr>
        <w:drawing>
          <wp:inline distT="0" distB="0" distL="0" distR="0">
            <wp:extent cx="6705600" cy="5619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26" w:rsidRDefault="000B5726" w:rsidP="000B5726">
      <w:pPr>
        <w:spacing w:after="0"/>
        <w:ind w:left="57"/>
        <w:jc w:val="both"/>
      </w:pPr>
    </w:p>
    <w:p w:rsidR="000B5726" w:rsidRDefault="000B5726" w:rsidP="000B5726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29425" cy="3752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26" w:rsidRDefault="000B5726" w:rsidP="000B5726">
      <w:pPr>
        <w:spacing w:after="0"/>
        <w:ind w:left="57"/>
        <w:jc w:val="both"/>
      </w:pPr>
    </w:p>
    <w:p w:rsidR="000B5726" w:rsidRDefault="000B5726" w:rsidP="000B5726">
      <w:pPr>
        <w:spacing w:after="0"/>
        <w:ind w:left="57"/>
        <w:jc w:val="both"/>
      </w:pPr>
    </w:p>
    <w:p w:rsidR="000B5726" w:rsidRPr="00C86826" w:rsidRDefault="000B5726">
      <w:pPr>
        <w:spacing w:after="0"/>
        <w:ind w:left="57"/>
        <w:jc w:val="both"/>
      </w:pPr>
    </w:p>
    <w:sectPr w:rsidR="000B5726" w:rsidRPr="00C86826">
      <w:footerReference w:type="default" r:id="rId63"/>
      <w:pgSz w:w="11906" w:h="16838"/>
      <w:pgMar w:top="567" w:right="567" w:bottom="766" w:left="567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53E" w:rsidRDefault="007D653E">
      <w:pPr>
        <w:spacing w:after="0" w:line="240" w:lineRule="auto"/>
      </w:pPr>
      <w:r>
        <w:separator/>
      </w:r>
    </w:p>
  </w:endnote>
  <w:endnote w:type="continuationSeparator" w:id="0">
    <w:p w:rsidR="007D653E" w:rsidRDefault="007D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0EE" w:rsidRDefault="007D653E">
    <w:pPr>
      <w:pStyle w:val="Zpat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Vývojový diagram: alternativní postup 21" o:spid="_x0000_s2049" type="#_x0000_t176" style="position:absolute;margin-left:0;margin-top:0;width:40.35pt;height:34.75pt;z-index:-251658752;visibility:visible;mso-wrap-style:square;mso-wrap-distance-left:.05pt;mso-wrap-distance-top:.05pt;mso-wrap-distance-right:0;mso-wrap-distance-bottom:0;mso-position-horizontal:center;mso-position-horizontal-relative:right-margin-area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" o:allowincell="f" filled="f" stroked="f" strokeweight="0">
          <v:textbox>
            <w:txbxContent>
              <w:sdt>
                <w:sdtPr>
                  <w:id w:val="248806925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p w:rsidR="000070EE" w:rsidRDefault="000070EE">
                    <w:pPr>
                      <w:pStyle w:val="Zpat"/>
                      <w:pBdr>
                        <w:top w:val="single" w:sz="12" w:space="1" w:color="A5A5A5"/>
                        <w:bottom w:val="single" w:sz="48" w:space="1" w:color="A5A5A5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000000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color w:val="000000"/>
                        <w:sz w:val="28"/>
                        <w:szCs w:val="28"/>
                      </w:rPr>
                      <w:fldChar w:fldCharType="separate"/>
                    </w:r>
                    <w:r w:rsidR="000B5726">
                      <w:rPr>
                        <w:noProof/>
                        <w:color w:val="000000"/>
                        <w:sz w:val="28"/>
                        <w:szCs w:val="28"/>
                      </w:rPr>
                      <w:t>8</w:t>
                    </w:r>
                    <w:r>
                      <w:rPr>
                        <w:color w:val="000000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53E" w:rsidRDefault="007D653E">
      <w:pPr>
        <w:spacing w:after="0" w:line="240" w:lineRule="auto"/>
      </w:pPr>
      <w:r>
        <w:separator/>
      </w:r>
    </w:p>
  </w:footnote>
  <w:footnote w:type="continuationSeparator" w:id="0">
    <w:p w:rsidR="007D653E" w:rsidRDefault="007D6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6D1"/>
    <w:multiLevelType w:val="hybridMultilevel"/>
    <w:tmpl w:val="FA287E40"/>
    <w:lvl w:ilvl="0" w:tplc="25B28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A3F08"/>
    <w:multiLevelType w:val="multilevel"/>
    <w:tmpl w:val="B4049E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42379A4"/>
    <w:multiLevelType w:val="hybridMultilevel"/>
    <w:tmpl w:val="00343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606D7"/>
    <w:multiLevelType w:val="hybridMultilevel"/>
    <w:tmpl w:val="4BAEA402"/>
    <w:lvl w:ilvl="0" w:tplc="803CDF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E5C82"/>
    <w:multiLevelType w:val="multilevel"/>
    <w:tmpl w:val="5EB0235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E34F05"/>
    <w:multiLevelType w:val="multilevel"/>
    <w:tmpl w:val="4F9EC83A"/>
    <w:lvl w:ilvl="0">
      <w:start w:val="10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theme="minorHAns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3C941CE"/>
    <w:multiLevelType w:val="multilevel"/>
    <w:tmpl w:val="7CE6FDD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eastAsiaTheme="minorHAnsi" w:hAnsi="Symbol" w:cstheme="minorHAns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8D85235"/>
    <w:multiLevelType w:val="multilevel"/>
    <w:tmpl w:val="E82C9F7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BA77912"/>
    <w:multiLevelType w:val="multilevel"/>
    <w:tmpl w:val="EA0C72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48D"/>
    <w:rsid w:val="0000195B"/>
    <w:rsid w:val="00004C8C"/>
    <w:rsid w:val="00006376"/>
    <w:rsid w:val="000070EE"/>
    <w:rsid w:val="0001111E"/>
    <w:rsid w:val="00013AD0"/>
    <w:rsid w:val="00020175"/>
    <w:rsid w:val="00021C46"/>
    <w:rsid w:val="00022211"/>
    <w:rsid w:val="0002246C"/>
    <w:rsid w:val="00030BD5"/>
    <w:rsid w:val="00032629"/>
    <w:rsid w:val="00034E1E"/>
    <w:rsid w:val="00037A7E"/>
    <w:rsid w:val="0004038F"/>
    <w:rsid w:val="00040425"/>
    <w:rsid w:val="00042E77"/>
    <w:rsid w:val="0004386D"/>
    <w:rsid w:val="00047875"/>
    <w:rsid w:val="00050A87"/>
    <w:rsid w:val="000547A4"/>
    <w:rsid w:val="00055AC6"/>
    <w:rsid w:val="000600F6"/>
    <w:rsid w:val="000623C1"/>
    <w:rsid w:val="00063800"/>
    <w:rsid w:val="00063DB4"/>
    <w:rsid w:val="0006788B"/>
    <w:rsid w:val="00076B4C"/>
    <w:rsid w:val="000775CE"/>
    <w:rsid w:val="000914CD"/>
    <w:rsid w:val="00094400"/>
    <w:rsid w:val="00094478"/>
    <w:rsid w:val="000A048D"/>
    <w:rsid w:val="000A1178"/>
    <w:rsid w:val="000A2769"/>
    <w:rsid w:val="000A37E2"/>
    <w:rsid w:val="000A4B58"/>
    <w:rsid w:val="000A79D3"/>
    <w:rsid w:val="000A7ED7"/>
    <w:rsid w:val="000B5726"/>
    <w:rsid w:val="000C062D"/>
    <w:rsid w:val="000C3AC0"/>
    <w:rsid w:val="000D57CE"/>
    <w:rsid w:val="000D7BA2"/>
    <w:rsid w:val="000E1ACD"/>
    <w:rsid w:val="000F3842"/>
    <w:rsid w:val="000F3964"/>
    <w:rsid w:val="000F479A"/>
    <w:rsid w:val="000F5B05"/>
    <w:rsid w:val="0010317D"/>
    <w:rsid w:val="00107193"/>
    <w:rsid w:val="00116DA9"/>
    <w:rsid w:val="00124BE7"/>
    <w:rsid w:val="001310CA"/>
    <w:rsid w:val="001317E3"/>
    <w:rsid w:val="001340DB"/>
    <w:rsid w:val="00134CD3"/>
    <w:rsid w:val="00147F08"/>
    <w:rsid w:val="00156186"/>
    <w:rsid w:val="00162ACC"/>
    <w:rsid w:val="00164308"/>
    <w:rsid w:val="001676FF"/>
    <w:rsid w:val="00182F67"/>
    <w:rsid w:val="00183E5A"/>
    <w:rsid w:val="001A374A"/>
    <w:rsid w:val="001A3917"/>
    <w:rsid w:val="001A4DF9"/>
    <w:rsid w:val="001C1113"/>
    <w:rsid w:val="001D4E73"/>
    <w:rsid w:val="001E357F"/>
    <w:rsid w:val="001E69DE"/>
    <w:rsid w:val="001F1936"/>
    <w:rsid w:val="001F4101"/>
    <w:rsid w:val="0020170B"/>
    <w:rsid w:val="0021061F"/>
    <w:rsid w:val="002131BB"/>
    <w:rsid w:val="00213A0B"/>
    <w:rsid w:val="002162FE"/>
    <w:rsid w:val="0022112E"/>
    <w:rsid w:val="00222187"/>
    <w:rsid w:val="00225415"/>
    <w:rsid w:val="00232BE0"/>
    <w:rsid w:val="00234156"/>
    <w:rsid w:val="00242A04"/>
    <w:rsid w:val="00244F87"/>
    <w:rsid w:val="0024651A"/>
    <w:rsid w:val="002538CE"/>
    <w:rsid w:val="00276945"/>
    <w:rsid w:val="002866A9"/>
    <w:rsid w:val="0029126A"/>
    <w:rsid w:val="002962EC"/>
    <w:rsid w:val="002A3A03"/>
    <w:rsid w:val="002A57EF"/>
    <w:rsid w:val="002B01D7"/>
    <w:rsid w:val="002B5BAD"/>
    <w:rsid w:val="002D2943"/>
    <w:rsid w:val="002D50D9"/>
    <w:rsid w:val="002E7BAE"/>
    <w:rsid w:val="002F2D23"/>
    <w:rsid w:val="002F7408"/>
    <w:rsid w:val="00300208"/>
    <w:rsid w:val="00300407"/>
    <w:rsid w:val="003036D4"/>
    <w:rsid w:val="003041F9"/>
    <w:rsid w:val="00304F5F"/>
    <w:rsid w:val="003116D0"/>
    <w:rsid w:val="00312049"/>
    <w:rsid w:val="00314B60"/>
    <w:rsid w:val="0031634D"/>
    <w:rsid w:val="00323836"/>
    <w:rsid w:val="00326242"/>
    <w:rsid w:val="00335B17"/>
    <w:rsid w:val="00337BC7"/>
    <w:rsid w:val="00340C8B"/>
    <w:rsid w:val="0034477A"/>
    <w:rsid w:val="00373A17"/>
    <w:rsid w:val="00377B17"/>
    <w:rsid w:val="0038009A"/>
    <w:rsid w:val="00381944"/>
    <w:rsid w:val="00383226"/>
    <w:rsid w:val="0039182C"/>
    <w:rsid w:val="00397839"/>
    <w:rsid w:val="003A1DE7"/>
    <w:rsid w:val="003A5ED1"/>
    <w:rsid w:val="003A7B91"/>
    <w:rsid w:val="003C3DAD"/>
    <w:rsid w:val="003D0BA9"/>
    <w:rsid w:val="003D2113"/>
    <w:rsid w:val="003D3FB6"/>
    <w:rsid w:val="003E2D24"/>
    <w:rsid w:val="003E33A4"/>
    <w:rsid w:val="003E4D43"/>
    <w:rsid w:val="003F5097"/>
    <w:rsid w:val="00403999"/>
    <w:rsid w:val="00406FE5"/>
    <w:rsid w:val="0041328C"/>
    <w:rsid w:val="0041480A"/>
    <w:rsid w:val="00414A3B"/>
    <w:rsid w:val="00422EBA"/>
    <w:rsid w:val="00443822"/>
    <w:rsid w:val="004449E5"/>
    <w:rsid w:val="0046005A"/>
    <w:rsid w:val="00460A1E"/>
    <w:rsid w:val="0046229B"/>
    <w:rsid w:val="00465753"/>
    <w:rsid w:val="00466334"/>
    <w:rsid w:val="00467B00"/>
    <w:rsid w:val="0047096C"/>
    <w:rsid w:val="00477D1A"/>
    <w:rsid w:val="0048097D"/>
    <w:rsid w:val="004848DD"/>
    <w:rsid w:val="0049387C"/>
    <w:rsid w:val="0049488C"/>
    <w:rsid w:val="004A01F7"/>
    <w:rsid w:val="004A4645"/>
    <w:rsid w:val="004B625F"/>
    <w:rsid w:val="004C0DE6"/>
    <w:rsid w:val="004C3840"/>
    <w:rsid w:val="004D2185"/>
    <w:rsid w:val="004D327F"/>
    <w:rsid w:val="004D5463"/>
    <w:rsid w:val="005034DD"/>
    <w:rsid w:val="00515B9E"/>
    <w:rsid w:val="005163F8"/>
    <w:rsid w:val="00522CD1"/>
    <w:rsid w:val="00524A50"/>
    <w:rsid w:val="00534AC7"/>
    <w:rsid w:val="00536FF3"/>
    <w:rsid w:val="00540AF5"/>
    <w:rsid w:val="00541EEE"/>
    <w:rsid w:val="00543844"/>
    <w:rsid w:val="00551CD1"/>
    <w:rsid w:val="0055609E"/>
    <w:rsid w:val="005627F5"/>
    <w:rsid w:val="0056441C"/>
    <w:rsid w:val="0056682F"/>
    <w:rsid w:val="00572787"/>
    <w:rsid w:val="005752DA"/>
    <w:rsid w:val="00576C53"/>
    <w:rsid w:val="00580F8A"/>
    <w:rsid w:val="00585A90"/>
    <w:rsid w:val="005951D6"/>
    <w:rsid w:val="0059708B"/>
    <w:rsid w:val="005A1CF9"/>
    <w:rsid w:val="005A4E8E"/>
    <w:rsid w:val="005B001F"/>
    <w:rsid w:val="005B1A78"/>
    <w:rsid w:val="005B7F72"/>
    <w:rsid w:val="005C1148"/>
    <w:rsid w:val="005C35C6"/>
    <w:rsid w:val="005C3AF8"/>
    <w:rsid w:val="005C47F2"/>
    <w:rsid w:val="005D23A3"/>
    <w:rsid w:val="005E2911"/>
    <w:rsid w:val="005E6950"/>
    <w:rsid w:val="005E7167"/>
    <w:rsid w:val="005E732A"/>
    <w:rsid w:val="005F7AFF"/>
    <w:rsid w:val="00600C68"/>
    <w:rsid w:val="00606B03"/>
    <w:rsid w:val="0061008B"/>
    <w:rsid w:val="00615EA5"/>
    <w:rsid w:val="0062379A"/>
    <w:rsid w:val="00623C96"/>
    <w:rsid w:val="00627906"/>
    <w:rsid w:val="00631EF3"/>
    <w:rsid w:val="00633A37"/>
    <w:rsid w:val="006363E9"/>
    <w:rsid w:val="00644E26"/>
    <w:rsid w:val="006458B8"/>
    <w:rsid w:val="006507BB"/>
    <w:rsid w:val="006518A4"/>
    <w:rsid w:val="00654536"/>
    <w:rsid w:val="00661E63"/>
    <w:rsid w:val="006636A1"/>
    <w:rsid w:val="00663D3D"/>
    <w:rsid w:val="0067359A"/>
    <w:rsid w:val="00673BCE"/>
    <w:rsid w:val="006758CC"/>
    <w:rsid w:val="0068212F"/>
    <w:rsid w:val="00684ABB"/>
    <w:rsid w:val="00685D5F"/>
    <w:rsid w:val="0069053E"/>
    <w:rsid w:val="00691F23"/>
    <w:rsid w:val="00691FEC"/>
    <w:rsid w:val="006B00FC"/>
    <w:rsid w:val="006B0D19"/>
    <w:rsid w:val="006B156C"/>
    <w:rsid w:val="006C30C9"/>
    <w:rsid w:val="006C69D7"/>
    <w:rsid w:val="006D2959"/>
    <w:rsid w:val="006D5210"/>
    <w:rsid w:val="006D6576"/>
    <w:rsid w:val="006E2321"/>
    <w:rsid w:val="006F36BC"/>
    <w:rsid w:val="007140AA"/>
    <w:rsid w:val="007215E0"/>
    <w:rsid w:val="0072422D"/>
    <w:rsid w:val="00726A17"/>
    <w:rsid w:val="00730364"/>
    <w:rsid w:val="00730D58"/>
    <w:rsid w:val="007371BF"/>
    <w:rsid w:val="00746BC5"/>
    <w:rsid w:val="00752980"/>
    <w:rsid w:val="00752C7C"/>
    <w:rsid w:val="007572C8"/>
    <w:rsid w:val="007670C7"/>
    <w:rsid w:val="00773AC8"/>
    <w:rsid w:val="007808F9"/>
    <w:rsid w:val="007859FA"/>
    <w:rsid w:val="00786E56"/>
    <w:rsid w:val="00787E7B"/>
    <w:rsid w:val="0079018E"/>
    <w:rsid w:val="00794C18"/>
    <w:rsid w:val="007A11FA"/>
    <w:rsid w:val="007A746E"/>
    <w:rsid w:val="007B02ED"/>
    <w:rsid w:val="007C0534"/>
    <w:rsid w:val="007C0C91"/>
    <w:rsid w:val="007D0163"/>
    <w:rsid w:val="007D653E"/>
    <w:rsid w:val="007E0706"/>
    <w:rsid w:val="007E6676"/>
    <w:rsid w:val="007F33AA"/>
    <w:rsid w:val="007F49BE"/>
    <w:rsid w:val="0080674C"/>
    <w:rsid w:val="00823DE0"/>
    <w:rsid w:val="008257A2"/>
    <w:rsid w:val="008270FF"/>
    <w:rsid w:val="00827DA7"/>
    <w:rsid w:val="00830931"/>
    <w:rsid w:val="00842C6A"/>
    <w:rsid w:val="00847B33"/>
    <w:rsid w:val="00855BC8"/>
    <w:rsid w:val="008662D8"/>
    <w:rsid w:val="00870B0D"/>
    <w:rsid w:val="00872372"/>
    <w:rsid w:val="00873B71"/>
    <w:rsid w:val="00880B80"/>
    <w:rsid w:val="00892AA8"/>
    <w:rsid w:val="008A1D42"/>
    <w:rsid w:val="008A28E4"/>
    <w:rsid w:val="008A4224"/>
    <w:rsid w:val="008B63BD"/>
    <w:rsid w:val="008C1542"/>
    <w:rsid w:val="008C2599"/>
    <w:rsid w:val="008C25E6"/>
    <w:rsid w:val="008C62AA"/>
    <w:rsid w:val="008D1914"/>
    <w:rsid w:val="008D23FA"/>
    <w:rsid w:val="008D50C8"/>
    <w:rsid w:val="008D73D2"/>
    <w:rsid w:val="008D7870"/>
    <w:rsid w:val="008F0981"/>
    <w:rsid w:val="008F6705"/>
    <w:rsid w:val="0090490E"/>
    <w:rsid w:val="00906BE6"/>
    <w:rsid w:val="00910AB8"/>
    <w:rsid w:val="00920CBD"/>
    <w:rsid w:val="009324AF"/>
    <w:rsid w:val="009335A5"/>
    <w:rsid w:val="0093547B"/>
    <w:rsid w:val="00942861"/>
    <w:rsid w:val="00942E60"/>
    <w:rsid w:val="00947BA5"/>
    <w:rsid w:val="009652EE"/>
    <w:rsid w:val="00972190"/>
    <w:rsid w:val="009734A8"/>
    <w:rsid w:val="00974ABE"/>
    <w:rsid w:val="00975943"/>
    <w:rsid w:val="009821FE"/>
    <w:rsid w:val="00982F9E"/>
    <w:rsid w:val="00987E81"/>
    <w:rsid w:val="00987EEC"/>
    <w:rsid w:val="00991503"/>
    <w:rsid w:val="00995CA1"/>
    <w:rsid w:val="009969FF"/>
    <w:rsid w:val="009A47EC"/>
    <w:rsid w:val="009A5968"/>
    <w:rsid w:val="009A6031"/>
    <w:rsid w:val="009A69AE"/>
    <w:rsid w:val="009B183D"/>
    <w:rsid w:val="009B64C7"/>
    <w:rsid w:val="009C166C"/>
    <w:rsid w:val="009C2209"/>
    <w:rsid w:val="009C6B80"/>
    <w:rsid w:val="009E3D31"/>
    <w:rsid w:val="009F2DDA"/>
    <w:rsid w:val="00A0681A"/>
    <w:rsid w:val="00A10497"/>
    <w:rsid w:val="00A11E13"/>
    <w:rsid w:val="00A130C8"/>
    <w:rsid w:val="00A14F0D"/>
    <w:rsid w:val="00A14FA4"/>
    <w:rsid w:val="00A27B8B"/>
    <w:rsid w:val="00A302A7"/>
    <w:rsid w:val="00A30922"/>
    <w:rsid w:val="00A32FCF"/>
    <w:rsid w:val="00A366F2"/>
    <w:rsid w:val="00A47C36"/>
    <w:rsid w:val="00A54C1F"/>
    <w:rsid w:val="00A56630"/>
    <w:rsid w:val="00A56AA9"/>
    <w:rsid w:val="00A57010"/>
    <w:rsid w:val="00A574C8"/>
    <w:rsid w:val="00A642A2"/>
    <w:rsid w:val="00A645EE"/>
    <w:rsid w:val="00A73147"/>
    <w:rsid w:val="00A8227E"/>
    <w:rsid w:val="00A82C4F"/>
    <w:rsid w:val="00A85909"/>
    <w:rsid w:val="00A86F3C"/>
    <w:rsid w:val="00A87833"/>
    <w:rsid w:val="00A87C11"/>
    <w:rsid w:val="00A936EB"/>
    <w:rsid w:val="00AA66DA"/>
    <w:rsid w:val="00AB2EEA"/>
    <w:rsid w:val="00AB5461"/>
    <w:rsid w:val="00AB6E50"/>
    <w:rsid w:val="00AB7F70"/>
    <w:rsid w:val="00AC10BA"/>
    <w:rsid w:val="00AC1D20"/>
    <w:rsid w:val="00AC1F38"/>
    <w:rsid w:val="00AE3A5F"/>
    <w:rsid w:val="00AE73A8"/>
    <w:rsid w:val="00AF7F5C"/>
    <w:rsid w:val="00B038BA"/>
    <w:rsid w:val="00B10001"/>
    <w:rsid w:val="00B10164"/>
    <w:rsid w:val="00B125D7"/>
    <w:rsid w:val="00B15529"/>
    <w:rsid w:val="00B35EC4"/>
    <w:rsid w:val="00B42181"/>
    <w:rsid w:val="00B45B28"/>
    <w:rsid w:val="00B50C8C"/>
    <w:rsid w:val="00B51032"/>
    <w:rsid w:val="00B633AD"/>
    <w:rsid w:val="00B84275"/>
    <w:rsid w:val="00B9172E"/>
    <w:rsid w:val="00B9537C"/>
    <w:rsid w:val="00B9562D"/>
    <w:rsid w:val="00BA593A"/>
    <w:rsid w:val="00BB1C4E"/>
    <w:rsid w:val="00BB3310"/>
    <w:rsid w:val="00BB5888"/>
    <w:rsid w:val="00BD18DC"/>
    <w:rsid w:val="00BD5C9F"/>
    <w:rsid w:val="00BD6041"/>
    <w:rsid w:val="00BE4559"/>
    <w:rsid w:val="00BF45B0"/>
    <w:rsid w:val="00BF4D7A"/>
    <w:rsid w:val="00C07A29"/>
    <w:rsid w:val="00C17678"/>
    <w:rsid w:val="00C24017"/>
    <w:rsid w:val="00C35C74"/>
    <w:rsid w:val="00C41FFF"/>
    <w:rsid w:val="00C447B1"/>
    <w:rsid w:val="00C60A9D"/>
    <w:rsid w:val="00C6404C"/>
    <w:rsid w:val="00C65D2F"/>
    <w:rsid w:val="00C6654A"/>
    <w:rsid w:val="00C71F56"/>
    <w:rsid w:val="00C772F8"/>
    <w:rsid w:val="00C86826"/>
    <w:rsid w:val="00C91C8E"/>
    <w:rsid w:val="00C93E31"/>
    <w:rsid w:val="00C95D72"/>
    <w:rsid w:val="00CA4A4F"/>
    <w:rsid w:val="00CA5FEB"/>
    <w:rsid w:val="00CA763C"/>
    <w:rsid w:val="00CB4F31"/>
    <w:rsid w:val="00CB6C2C"/>
    <w:rsid w:val="00CB7792"/>
    <w:rsid w:val="00CC0FB1"/>
    <w:rsid w:val="00CD2B91"/>
    <w:rsid w:val="00CD2E00"/>
    <w:rsid w:val="00CD3D22"/>
    <w:rsid w:val="00CD4562"/>
    <w:rsid w:val="00CD5CE2"/>
    <w:rsid w:val="00CD6BA9"/>
    <w:rsid w:val="00CF2FA5"/>
    <w:rsid w:val="00CF4A67"/>
    <w:rsid w:val="00CF6FA4"/>
    <w:rsid w:val="00D11963"/>
    <w:rsid w:val="00D124E3"/>
    <w:rsid w:val="00D140C2"/>
    <w:rsid w:val="00D16816"/>
    <w:rsid w:val="00D2083F"/>
    <w:rsid w:val="00D26D1C"/>
    <w:rsid w:val="00D3226D"/>
    <w:rsid w:val="00D33DCC"/>
    <w:rsid w:val="00D34EEE"/>
    <w:rsid w:val="00D403CE"/>
    <w:rsid w:val="00D41C09"/>
    <w:rsid w:val="00D47F5C"/>
    <w:rsid w:val="00D519B3"/>
    <w:rsid w:val="00D560C9"/>
    <w:rsid w:val="00D71295"/>
    <w:rsid w:val="00D77CCC"/>
    <w:rsid w:val="00D8053B"/>
    <w:rsid w:val="00D825F6"/>
    <w:rsid w:val="00D90B06"/>
    <w:rsid w:val="00D92871"/>
    <w:rsid w:val="00DA234E"/>
    <w:rsid w:val="00DB79BC"/>
    <w:rsid w:val="00DC01B7"/>
    <w:rsid w:val="00DC34CC"/>
    <w:rsid w:val="00DC75F8"/>
    <w:rsid w:val="00DD4926"/>
    <w:rsid w:val="00DE1525"/>
    <w:rsid w:val="00DE2213"/>
    <w:rsid w:val="00DF7481"/>
    <w:rsid w:val="00E0342C"/>
    <w:rsid w:val="00E11D58"/>
    <w:rsid w:val="00E30A22"/>
    <w:rsid w:val="00E30DEB"/>
    <w:rsid w:val="00E43D08"/>
    <w:rsid w:val="00E51484"/>
    <w:rsid w:val="00E53EEF"/>
    <w:rsid w:val="00E700CD"/>
    <w:rsid w:val="00E71230"/>
    <w:rsid w:val="00E7459B"/>
    <w:rsid w:val="00E753AE"/>
    <w:rsid w:val="00E77FD7"/>
    <w:rsid w:val="00E80852"/>
    <w:rsid w:val="00E83F70"/>
    <w:rsid w:val="00E84E8C"/>
    <w:rsid w:val="00E93583"/>
    <w:rsid w:val="00EA5C06"/>
    <w:rsid w:val="00EB22D7"/>
    <w:rsid w:val="00EB2E20"/>
    <w:rsid w:val="00EC1E20"/>
    <w:rsid w:val="00EC2AAE"/>
    <w:rsid w:val="00EC733B"/>
    <w:rsid w:val="00EE017A"/>
    <w:rsid w:val="00EE6050"/>
    <w:rsid w:val="00EF2B2F"/>
    <w:rsid w:val="00EF4E5A"/>
    <w:rsid w:val="00F01464"/>
    <w:rsid w:val="00F03272"/>
    <w:rsid w:val="00F04853"/>
    <w:rsid w:val="00F15DCE"/>
    <w:rsid w:val="00F318E6"/>
    <w:rsid w:val="00F31F13"/>
    <w:rsid w:val="00F333B1"/>
    <w:rsid w:val="00F34EF8"/>
    <w:rsid w:val="00F360C7"/>
    <w:rsid w:val="00F470FF"/>
    <w:rsid w:val="00F51753"/>
    <w:rsid w:val="00F52DAE"/>
    <w:rsid w:val="00F55333"/>
    <w:rsid w:val="00F73EC1"/>
    <w:rsid w:val="00F81048"/>
    <w:rsid w:val="00F81D66"/>
    <w:rsid w:val="00F83CAB"/>
    <w:rsid w:val="00F86D79"/>
    <w:rsid w:val="00F9021F"/>
    <w:rsid w:val="00FA0782"/>
    <w:rsid w:val="00FB14FE"/>
    <w:rsid w:val="00FB152E"/>
    <w:rsid w:val="00FB6137"/>
    <w:rsid w:val="00FB688A"/>
    <w:rsid w:val="00FB6DBE"/>
    <w:rsid w:val="00FC0E20"/>
    <w:rsid w:val="00FC7684"/>
    <w:rsid w:val="00FD1216"/>
    <w:rsid w:val="00FD4401"/>
    <w:rsid w:val="00FE1B54"/>
    <w:rsid w:val="00FE6523"/>
    <w:rsid w:val="00FE6C98"/>
    <w:rsid w:val="00FF0BAB"/>
    <w:rsid w:val="00FF1C00"/>
    <w:rsid w:val="00FF7066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q4iawc">
    <w:name w:val="q4iawc"/>
    <w:basedOn w:val="Standardnpsmoodstavce"/>
    <w:qFormat/>
    <w:rsid w:val="00890A50"/>
  </w:style>
  <w:style w:type="character" w:styleId="Hypertextovodkaz">
    <w:name w:val="Hyperlink"/>
    <w:basedOn w:val="Standardnpsmoodstavce"/>
    <w:uiPriority w:val="99"/>
    <w:unhideWhenUsed/>
    <w:rsid w:val="008A3E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12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8A3E12"/>
    <w:rPr>
      <w:color w:val="605E5C"/>
      <w:shd w:val="clear" w:color="auto" w:fill="E1DFDD"/>
    </w:rPr>
  </w:style>
  <w:style w:type="character" w:styleId="Zvraznn">
    <w:name w:val="Emphasis"/>
    <w:basedOn w:val="Standardnpsmoodstavce"/>
    <w:uiPriority w:val="20"/>
    <w:qFormat/>
    <w:rsid w:val="005A0D45"/>
    <w:rPr>
      <w:i/>
      <w:i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C4487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1312F1"/>
  </w:style>
  <w:style w:type="character" w:customStyle="1" w:styleId="ZpatChar">
    <w:name w:val="Zápatí Char"/>
    <w:basedOn w:val="Standardnpsmoodstavce"/>
    <w:link w:val="Zpat"/>
    <w:uiPriority w:val="99"/>
    <w:qFormat/>
    <w:rsid w:val="001312F1"/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7830F2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sid w:val="009E6D88"/>
    <w:rPr>
      <w:color w:val="605E5C"/>
      <w:shd w:val="clear" w:color="auto" w:fill="E1DFDD"/>
    </w:rPr>
  </w:style>
  <w:style w:type="character" w:customStyle="1" w:styleId="rynqvb">
    <w:name w:val="rynqvb"/>
    <w:basedOn w:val="Standardnpsmoodstavce"/>
    <w:qFormat/>
    <w:rsid w:val="00F83DB5"/>
  </w:style>
  <w:style w:type="character" w:customStyle="1" w:styleId="Nevyeenzmnka4">
    <w:name w:val="Nevyřešená zmínka4"/>
    <w:basedOn w:val="Standardnpsmoodstavce"/>
    <w:uiPriority w:val="99"/>
    <w:semiHidden/>
    <w:unhideWhenUsed/>
    <w:qFormat/>
    <w:rsid w:val="00C20709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qFormat/>
    <w:rsid w:val="00262CAE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516D8"/>
    <w:rPr>
      <w:b/>
      <w:bCs/>
    </w:rPr>
  </w:style>
  <w:style w:type="character" w:customStyle="1" w:styleId="Nevyeenzmnka6">
    <w:name w:val="Nevyřešená zmínka6"/>
    <w:basedOn w:val="Standardnpsmoodstavce"/>
    <w:uiPriority w:val="99"/>
    <w:semiHidden/>
    <w:unhideWhenUsed/>
    <w:qFormat/>
    <w:rsid w:val="00284748"/>
    <w:rPr>
      <w:color w:val="605E5C"/>
      <w:shd w:val="clear" w:color="auto" w:fill="E1DFDD"/>
    </w:rPr>
  </w:style>
  <w:style w:type="character" w:customStyle="1" w:styleId="Nevyeenzmnka7">
    <w:name w:val="Nevyřešená zmínka7"/>
    <w:basedOn w:val="Standardnpsmoodstavce"/>
    <w:uiPriority w:val="99"/>
    <w:semiHidden/>
    <w:unhideWhenUsed/>
    <w:qFormat/>
    <w:rsid w:val="00724E79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qFormat/>
    <w:rsid w:val="00D477A2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qFormat/>
    <w:rsid w:val="00E21B48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qFormat/>
    <w:rsid w:val="00E801B1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F561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C44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qFormat/>
    <w:rsid w:val="0081327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-wm-msonormal">
    <w:name w:val="-wm-msonormal"/>
    <w:basedOn w:val="Normln"/>
    <w:qFormat/>
    <w:rsid w:val="00CF67D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bsahrmce">
    <w:name w:val="Obsah rámce"/>
    <w:basedOn w:val="Normln"/>
    <w:qFormat/>
  </w:style>
  <w:style w:type="character" w:customStyle="1" w:styleId="UnresolvedMention">
    <w:name w:val="Unresolved Mention"/>
    <w:basedOn w:val="Standardnpsmoodstavce"/>
    <w:uiPriority w:val="99"/>
    <w:semiHidden/>
    <w:unhideWhenUsed/>
    <w:rsid w:val="007670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98102-9524-488E-B6C1-5D333EE8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25</Pages>
  <Words>3168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21822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 Jaroslav, Mgr.</dc:creator>
  <cp:lastModifiedBy>Dudovi</cp:lastModifiedBy>
  <cp:revision>20</cp:revision>
  <cp:lastPrinted>2024-06-03T16:59:00Z</cp:lastPrinted>
  <dcterms:created xsi:type="dcterms:W3CDTF">2024-06-06T16:35:00Z</dcterms:created>
  <dcterms:modified xsi:type="dcterms:W3CDTF">2024-06-07T19:40:00Z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492c23bfb30de9d3d0a76badc6cbbe91d5ffa9aca1fde406e817679b826315ac</vt:lpwstr>
  </property>
</Properties>
</file>