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903A60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451B7C">
        <w:rPr>
          <w:rFonts w:ascii="Calibri" w:hAnsi="Calibri"/>
          <w:color w:val="1D1D1B"/>
        </w:rPr>
        <w:t xml:space="preserve">V Olomouci </w:t>
      </w:r>
      <w:r w:rsidR="00DA367D">
        <w:rPr>
          <w:rFonts w:ascii="Calibri" w:hAnsi="Calibri"/>
          <w:color w:val="1D1D1B"/>
        </w:rPr>
        <w:t>12</w:t>
      </w:r>
      <w:r w:rsidRPr="00451B7C">
        <w:rPr>
          <w:rFonts w:ascii="Calibri" w:hAnsi="Calibri"/>
          <w:color w:val="1D1D1B"/>
        </w:rPr>
        <w:t>.</w:t>
      </w:r>
      <w:r w:rsidR="00FE20A5">
        <w:rPr>
          <w:rFonts w:ascii="Calibri" w:hAnsi="Calibri"/>
          <w:color w:val="1D1D1B"/>
        </w:rPr>
        <w:t>4</w:t>
      </w:r>
      <w:r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D87E5D">
        <w:rPr>
          <w:rFonts w:cstheme="minorHAnsi"/>
          <w:b/>
          <w:color w:val="1D1D1B"/>
          <w:u w:val="single"/>
        </w:rPr>
        <w:t>4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903A60" w:rsidRPr="00451B7C" w:rsidRDefault="00903A60" w:rsidP="00903A60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903A60" w:rsidRDefault="00903A60" w:rsidP="00903A60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D87E5D">
        <w:rPr>
          <w:rFonts w:cstheme="minorHAnsi"/>
          <w:color w:val="1D1D1B"/>
        </w:rPr>
        <w:t>10</w:t>
      </w:r>
      <w:r w:rsidRPr="00451B7C">
        <w:rPr>
          <w:rFonts w:cstheme="minorHAnsi"/>
          <w:color w:val="1D1D1B"/>
        </w:rPr>
        <w:t>.</w:t>
      </w:r>
      <w:r w:rsidR="00FE20A5">
        <w:rPr>
          <w:rFonts w:cstheme="minorHAnsi"/>
          <w:color w:val="1D1D1B"/>
        </w:rPr>
        <w:t>4</w:t>
      </w:r>
      <w:r w:rsidRPr="00451B7C">
        <w:rPr>
          <w:rFonts w:cstheme="minorHAnsi"/>
          <w:color w:val="1D1D1B"/>
        </w:rPr>
        <w:t>.2024 obdržel následující žádost o vysvětlení zadávací dokumentace.</w:t>
      </w:r>
    </w:p>
    <w:p w:rsidR="00943383" w:rsidRDefault="00943383" w:rsidP="00943383"/>
    <w:p w:rsidR="00993052" w:rsidRPr="00993052" w:rsidRDefault="00943383" w:rsidP="00D87E5D">
      <w:pPr>
        <w:pBdr>
          <w:bottom w:val="single" w:sz="4" w:space="1" w:color="auto"/>
        </w:pBdr>
        <w:jc w:val="both"/>
        <w:rPr>
          <w:b/>
        </w:rPr>
      </w:pPr>
      <w:bookmarkStart w:id="1" w:name="_Hlk163040518"/>
      <w:r w:rsidRPr="00993052">
        <w:rPr>
          <w:b/>
        </w:rPr>
        <w:t xml:space="preserve">Dotaz č. 1) </w:t>
      </w:r>
    </w:p>
    <w:p w:rsidR="00D87E5D" w:rsidRDefault="00D87E5D" w:rsidP="00D87E5D">
      <w:pPr>
        <w:pBdr>
          <w:bottom w:val="single" w:sz="4" w:space="1" w:color="auto"/>
        </w:pBdr>
        <w:jc w:val="both"/>
      </w:pPr>
      <w:r>
        <w:t>1.</w:t>
      </w:r>
      <w:r>
        <w:tab/>
        <w:t xml:space="preserve">Žádáme zadavatele o kontrolu, zda u položky č. 2, 4, </w:t>
      </w:r>
      <w:proofErr w:type="gramStart"/>
      <w:r>
        <w:t>9 ,</w:t>
      </w:r>
      <w:proofErr w:type="gramEnd"/>
      <w:r>
        <w:t xml:space="preserve"> 14 a 17 (svítidla vyšetřovací nástěnná) v dílu D.2.11.a Zdravotnická technologie VV 4199687- Příloha č.3a nejsou duplicitní s položkou č. 35 v dílu D.1.4.J </w:t>
      </w:r>
      <w:proofErr w:type="spellStart"/>
      <w:r>
        <w:t>Mediciální</w:t>
      </w:r>
      <w:proofErr w:type="spellEnd"/>
      <w:r>
        <w:t xml:space="preserve"> plyny. V dílu D.1.4.J </w:t>
      </w:r>
      <w:proofErr w:type="spellStart"/>
      <w:r>
        <w:t>Mediciální</w:t>
      </w:r>
      <w:proofErr w:type="spellEnd"/>
      <w:r>
        <w:t xml:space="preserve"> plyny je uvedeno 23 ks, protože v 1.PP jsou </w:t>
      </w:r>
      <w:proofErr w:type="spellStart"/>
      <w:r>
        <w:t>m.č</w:t>
      </w:r>
      <w:proofErr w:type="spellEnd"/>
      <w:r>
        <w:t xml:space="preserve">. A_P491220 a </w:t>
      </w:r>
      <w:proofErr w:type="spellStart"/>
      <w:r>
        <w:t>m.č</w:t>
      </w:r>
      <w:proofErr w:type="spellEnd"/>
      <w:r>
        <w:t xml:space="preserve">. A_P491240 vedeny jako ambulance a v dílu D.2.11.a Zdravotnická technologie je uvedeno 21 ks, protože v 1.PP je </w:t>
      </w:r>
      <w:proofErr w:type="spellStart"/>
      <w:r>
        <w:t>m.č</w:t>
      </w:r>
      <w:proofErr w:type="spellEnd"/>
      <w:r>
        <w:t xml:space="preserve">. A_P491220 vedena jako ambasador a </w:t>
      </w:r>
      <w:proofErr w:type="spellStart"/>
      <w:r>
        <w:t>m.č</w:t>
      </w:r>
      <w:proofErr w:type="spellEnd"/>
      <w:r>
        <w:t>. A_P491240 je vedena jako psycholog.</w:t>
      </w:r>
    </w:p>
    <w:p w:rsidR="00D87E5D" w:rsidRDefault="00993052" w:rsidP="00D87E5D">
      <w:pPr>
        <w:pBdr>
          <w:bottom w:val="single" w:sz="4" w:space="1" w:color="auto"/>
        </w:pBd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editId="4FCF03DF">
            <wp:simplePos x="0" y="0"/>
            <wp:positionH relativeFrom="column">
              <wp:posOffset>2816327</wp:posOffset>
            </wp:positionH>
            <wp:positionV relativeFrom="paragraph">
              <wp:posOffset>88672</wp:posOffset>
            </wp:positionV>
            <wp:extent cx="2026743" cy="1726388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046" cy="1730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editId="66580F1B">
            <wp:simplePos x="0" y="0"/>
            <wp:positionH relativeFrom="column">
              <wp:posOffset>43866</wp:posOffset>
            </wp:positionH>
            <wp:positionV relativeFrom="paragraph">
              <wp:posOffset>22835</wp:posOffset>
            </wp:positionV>
            <wp:extent cx="2160311" cy="18507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68" cy="1851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D87E5D" w:rsidRDefault="00D87E5D" w:rsidP="00D87E5D">
      <w:pPr>
        <w:pBdr>
          <w:bottom w:val="single" w:sz="4" w:space="1" w:color="auto"/>
        </w:pBdr>
        <w:jc w:val="both"/>
      </w:pPr>
    </w:p>
    <w:p w:rsidR="00943383" w:rsidRPr="00CC30B7" w:rsidRDefault="00943383" w:rsidP="00943383">
      <w:pPr>
        <w:spacing w:after="0"/>
        <w:jc w:val="both"/>
        <w:rPr>
          <w:i/>
          <w:color w:val="FF0000"/>
          <w:u w:val="single"/>
        </w:rPr>
      </w:pPr>
      <w:r w:rsidRPr="00CC30B7">
        <w:rPr>
          <w:i/>
          <w:color w:val="FF0000"/>
          <w:u w:val="single"/>
        </w:rPr>
        <w:t>Odpověď k dotazu č.1:</w:t>
      </w:r>
    </w:p>
    <w:p w:rsidR="00993052" w:rsidRDefault="00993052" w:rsidP="00122948">
      <w:pPr>
        <w:spacing w:line="276" w:lineRule="auto"/>
        <w:jc w:val="both"/>
        <w:rPr>
          <w:rFonts w:ascii="Times New Roman" w:eastAsia="Times New Roman" w:hAnsi="Times New Roman"/>
        </w:rPr>
      </w:pPr>
      <w:bookmarkStart w:id="2" w:name="_Hlk163812539"/>
      <w:r w:rsidRPr="00703896">
        <w:rPr>
          <w:i/>
          <w:iCs/>
          <w:color w:val="FF0000"/>
        </w:rPr>
        <w:t xml:space="preserve">Zadavatel potvrzuje, že se </w:t>
      </w:r>
      <w:r w:rsidRPr="00DD3062">
        <w:rPr>
          <w:i/>
          <w:iCs/>
          <w:color w:val="FF0000"/>
          <w:u w:val="single"/>
        </w:rPr>
        <w:t>jedná o duplicitní položk</w:t>
      </w:r>
      <w:r w:rsidR="00122948">
        <w:rPr>
          <w:i/>
          <w:iCs/>
          <w:color w:val="FF0000"/>
          <w:u w:val="single"/>
        </w:rPr>
        <w:t>y</w:t>
      </w:r>
      <w:r w:rsidRPr="00703896">
        <w:rPr>
          <w:i/>
          <w:iCs/>
          <w:color w:val="FF0000"/>
        </w:rPr>
        <w:t>.</w:t>
      </w:r>
      <w:r w:rsidRPr="0023239A">
        <w:rPr>
          <w:i/>
          <w:iCs/>
          <w:color w:val="FF0000"/>
        </w:rPr>
        <w:t xml:space="preserve"> Položky č. 2, 4, 9, 14 a 17 na listu D.2.11.</w:t>
      </w:r>
      <w:proofErr w:type="gramStart"/>
      <w:r w:rsidRPr="0023239A">
        <w:rPr>
          <w:i/>
          <w:iCs/>
          <w:color w:val="FF0000"/>
        </w:rPr>
        <w:t>a - Zdravotnická</w:t>
      </w:r>
      <w:proofErr w:type="gramEnd"/>
      <w:r w:rsidRPr="0023239A">
        <w:rPr>
          <w:i/>
          <w:iCs/>
          <w:color w:val="FF0000"/>
        </w:rPr>
        <w:t xml:space="preserve"> technologie - pevně spojené </w:t>
      </w:r>
      <w:r>
        <w:rPr>
          <w:i/>
          <w:iCs/>
          <w:color w:val="FF0000"/>
        </w:rPr>
        <w:t xml:space="preserve">budou odstraněny. </w:t>
      </w:r>
      <w:r w:rsidRPr="00703896">
        <w:rPr>
          <w:i/>
          <w:iCs/>
          <w:color w:val="FF0000"/>
        </w:rPr>
        <w:t>Položk</w:t>
      </w:r>
      <w:r>
        <w:rPr>
          <w:i/>
          <w:iCs/>
          <w:color w:val="FF0000"/>
        </w:rPr>
        <w:t>a č. 35</w:t>
      </w:r>
      <w:r w:rsidRPr="00703896">
        <w:rPr>
          <w:i/>
          <w:iCs/>
          <w:color w:val="FF0000"/>
        </w:rPr>
        <w:t xml:space="preserve"> z</w:t>
      </w:r>
      <w:r>
        <w:rPr>
          <w:i/>
          <w:iCs/>
          <w:color w:val="FF0000"/>
        </w:rPr>
        <w:t xml:space="preserve"> listu </w:t>
      </w:r>
      <w:r w:rsidRPr="00252E93">
        <w:rPr>
          <w:i/>
          <w:iCs/>
          <w:color w:val="FF0000"/>
        </w:rPr>
        <w:t>D.1.4.</w:t>
      </w:r>
      <w:proofErr w:type="gramStart"/>
      <w:r w:rsidRPr="00252E93">
        <w:rPr>
          <w:i/>
          <w:iCs/>
          <w:color w:val="FF0000"/>
        </w:rPr>
        <w:t>J - Medicinální</w:t>
      </w:r>
      <w:proofErr w:type="gramEnd"/>
      <w:r w:rsidRPr="00252E93">
        <w:rPr>
          <w:i/>
          <w:iCs/>
          <w:color w:val="FF0000"/>
        </w:rPr>
        <w:t xml:space="preserve"> plyny</w:t>
      </w:r>
      <w:r>
        <w:rPr>
          <w:i/>
          <w:iCs/>
          <w:color w:val="FF0000"/>
        </w:rPr>
        <w:t xml:space="preserve"> bude opravena v počtech kusů na 21</w:t>
      </w:r>
      <w:r w:rsidRPr="0023239A">
        <w:rPr>
          <w:i/>
          <w:iCs/>
          <w:color w:val="FF0000"/>
        </w:rPr>
        <w:t xml:space="preserve"> k</w:t>
      </w:r>
      <w:r>
        <w:rPr>
          <w:i/>
          <w:iCs/>
          <w:color w:val="FF0000"/>
        </w:rPr>
        <w:t>s</w:t>
      </w:r>
      <w:r w:rsidRPr="0023239A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 Technická specifikace vyšetřovacího svítidla je uvedena v příloze</w:t>
      </w:r>
      <w:r w:rsidRPr="00DD3062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TZ výkresové profesní části </w:t>
      </w:r>
      <w:r w:rsidRPr="001349B0">
        <w:rPr>
          <w:i/>
          <w:iCs/>
          <w:color w:val="FF0000"/>
        </w:rPr>
        <w:t>D.1.4.J_MEDIPLYNY</w:t>
      </w:r>
      <w:r>
        <w:rPr>
          <w:i/>
          <w:iCs/>
          <w:color w:val="FF0000"/>
        </w:rPr>
        <w:t>. Pozičně budou svítidla osazena dle výkres</w:t>
      </w:r>
      <w:r w:rsidR="00122948">
        <w:rPr>
          <w:i/>
          <w:iCs/>
          <w:color w:val="FF0000"/>
        </w:rPr>
        <w:t>ů</w:t>
      </w:r>
      <w:r>
        <w:rPr>
          <w:i/>
          <w:iCs/>
          <w:color w:val="FF0000"/>
        </w:rPr>
        <w:t xml:space="preserve"> profesní části </w:t>
      </w:r>
      <w:r w:rsidRPr="00DD3062">
        <w:rPr>
          <w:i/>
          <w:iCs/>
          <w:color w:val="FF0000"/>
        </w:rPr>
        <w:t>D.2.11_ZDRAVOTNICKÁ_TECHNOLOGIE</w:t>
      </w:r>
      <w:r>
        <w:rPr>
          <w:i/>
          <w:iCs/>
          <w:color w:val="FF0000"/>
        </w:rPr>
        <w:t xml:space="preserve">. </w:t>
      </w:r>
      <w:r w:rsidRPr="0023239A">
        <w:rPr>
          <w:i/>
          <w:iCs/>
          <w:color w:val="FF0000"/>
        </w:rPr>
        <w:t>Opravený výkaz výměr</w:t>
      </w:r>
      <w:r w:rsidRPr="0023239A">
        <w:rPr>
          <w:i/>
          <w:color w:val="FF0000"/>
        </w:rPr>
        <w:t xml:space="preserve"> </w:t>
      </w:r>
      <w:proofErr w:type="gramStart"/>
      <w:r w:rsidRPr="0023239A">
        <w:rPr>
          <w:i/>
          <w:color w:val="FF0000"/>
        </w:rPr>
        <w:t>3a</w:t>
      </w:r>
      <w:proofErr w:type="gramEnd"/>
      <w:r w:rsidRPr="0023239A">
        <w:rPr>
          <w:i/>
          <w:color w:val="FF0000"/>
        </w:rPr>
        <w:t xml:space="preserve"> </w:t>
      </w:r>
      <w:r w:rsidRPr="0023239A">
        <w:rPr>
          <w:i/>
          <w:iCs/>
          <w:color w:val="FF0000"/>
        </w:rPr>
        <w:t>je přílohou tohoto vysvětlení.</w:t>
      </w:r>
    </w:p>
    <w:bookmarkEnd w:id="2"/>
    <w:p w:rsidR="00831DE2" w:rsidRDefault="00831DE2" w:rsidP="00993052">
      <w:pPr>
        <w:jc w:val="both"/>
        <w:rPr>
          <w:b/>
        </w:rPr>
      </w:pPr>
    </w:p>
    <w:p w:rsidR="00993052" w:rsidRPr="00993052" w:rsidRDefault="00993052" w:rsidP="00993052">
      <w:pPr>
        <w:jc w:val="both"/>
        <w:rPr>
          <w:b/>
        </w:rPr>
      </w:pPr>
      <w:r w:rsidRPr="00993052">
        <w:rPr>
          <w:b/>
        </w:rPr>
        <w:t xml:space="preserve">Dotaz č. 2) </w:t>
      </w:r>
    </w:p>
    <w:p w:rsidR="00993052" w:rsidRDefault="00993052" w:rsidP="00993052">
      <w:pPr>
        <w:numPr>
          <w:ilvl w:val="0"/>
          <w:numId w:val="20"/>
        </w:numPr>
        <w:tabs>
          <w:tab w:val="left" w:pos="440"/>
        </w:tabs>
        <w:spacing w:after="0" w:line="271" w:lineRule="auto"/>
        <w:ind w:left="440" w:right="80" w:hanging="367"/>
        <w:jc w:val="both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Žádáme zadavatele o doplnění alespoň základních technických parametrů a specifikace prvků v dílu D.2.11.a Zdravotnická technologie VV 4199687- Příloha č.</w:t>
      </w:r>
      <w:proofErr w:type="gramStart"/>
      <w:r>
        <w:rPr>
          <w:rFonts w:ascii="Arial" w:eastAsia="Arial" w:hAnsi="Arial"/>
          <w:sz w:val="21"/>
        </w:rPr>
        <w:t>3a</w:t>
      </w:r>
      <w:proofErr w:type="gramEnd"/>
      <w:r>
        <w:rPr>
          <w:rFonts w:ascii="Arial" w:eastAsia="Arial" w:hAnsi="Arial"/>
          <w:sz w:val="21"/>
        </w:rPr>
        <w:t xml:space="preserve"> (zejména prvky</w:t>
      </w:r>
    </w:p>
    <w:p w:rsidR="00993052" w:rsidRDefault="00993052" w:rsidP="00993052">
      <w:pPr>
        <w:spacing w:line="1" w:lineRule="exact"/>
        <w:rPr>
          <w:rFonts w:ascii="Arial" w:eastAsia="Arial" w:hAnsi="Arial"/>
          <w:sz w:val="21"/>
        </w:rPr>
      </w:pPr>
    </w:p>
    <w:p w:rsidR="00993052" w:rsidRDefault="00993052" w:rsidP="00993052">
      <w:pPr>
        <w:pBdr>
          <w:bottom w:val="single" w:sz="4" w:space="1" w:color="auto"/>
        </w:pBdr>
        <w:spacing w:line="256" w:lineRule="auto"/>
        <w:ind w:left="440" w:right="60"/>
        <w:jc w:val="both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T-9002, TP-1203 a</w:t>
      </w:r>
      <w:r>
        <w:rPr>
          <w:rFonts w:ascii="Arial" w:eastAsia="Arial" w:hAnsi="Arial"/>
          <w:sz w:val="19"/>
        </w:rPr>
        <w:t xml:space="preserve"> DNM.01</w:t>
      </w:r>
      <w:r>
        <w:rPr>
          <w:rFonts w:ascii="Arial" w:eastAsia="Arial" w:hAnsi="Arial"/>
        </w:rPr>
        <w:t xml:space="preserve">, příp. i K-1124 a KP-1124) a zároveň o prověření, zda některé z nich nejsou duplicitně uvedeny v dílu D.1.4.J </w:t>
      </w:r>
      <w:proofErr w:type="spellStart"/>
      <w:r>
        <w:rPr>
          <w:rFonts w:ascii="Arial" w:eastAsia="Arial" w:hAnsi="Arial"/>
        </w:rPr>
        <w:t>Mediciální</w:t>
      </w:r>
      <w:proofErr w:type="spellEnd"/>
      <w:r>
        <w:rPr>
          <w:rFonts w:ascii="Arial" w:eastAsia="Arial" w:hAnsi="Arial"/>
        </w:rPr>
        <w:t xml:space="preserve"> plyny nebo v dílu D.1.4.La Interiér pevný, příp. v rámci vybraných profesí.</w:t>
      </w:r>
      <w:r>
        <w:rPr>
          <w:rFonts w:ascii="Arial" w:eastAsia="Arial" w:hAnsi="Arial"/>
          <w:sz w:val="19"/>
        </w:rPr>
        <w:t xml:space="preserve"> Zároveň upozorňujeme, že prvek DNM.01 dvouramenný nosič monitoru vitálních funkcí – nástěnný není uveden v PD – D.2.11 – 002 Seznam vybavení po místnostech. Žádáme zadavatele o vysvětlení, příp. doplnění nebo úpravu PD, příp. soupisu prací.</w:t>
      </w:r>
    </w:p>
    <w:p w:rsidR="00831DE2" w:rsidRDefault="00831DE2" w:rsidP="00993052">
      <w:pPr>
        <w:spacing w:line="276" w:lineRule="auto"/>
        <w:rPr>
          <w:i/>
          <w:iCs/>
          <w:color w:val="FF0000"/>
        </w:rPr>
      </w:pPr>
    </w:p>
    <w:p w:rsidR="00831DE2" w:rsidRDefault="00831DE2" w:rsidP="00993052">
      <w:pPr>
        <w:spacing w:line="276" w:lineRule="auto"/>
        <w:rPr>
          <w:i/>
          <w:iCs/>
          <w:color w:val="FF0000"/>
        </w:rPr>
      </w:pPr>
    </w:p>
    <w:p w:rsidR="00993052" w:rsidRDefault="00993052" w:rsidP="00831DE2">
      <w:pPr>
        <w:spacing w:line="276" w:lineRule="auto"/>
        <w:jc w:val="both"/>
        <w:rPr>
          <w:i/>
          <w:iCs/>
          <w:color w:val="FF0000"/>
        </w:rPr>
      </w:pPr>
      <w:r w:rsidRPr="00122948">
        <w:rPr>
          <w:i/>
          <w:iCs/>
          <w:color w:val="FF0000"/>
          <w:u w:val="single"/>
        </w:rPr>
        <w:lastRenderedPageBreak/>
        <w:t>Odpověď k dotazu č.2</w:t>
      </w:r>
      <w:r w:rsidRPr="00703896">
        <w:rPr>
          <w:i/>
          <w:iCs/>
          <w:color w:val="FF0000"/>
        </w:rPr>
        <w:t>:</w:t>
      </w:r>
    </w:p>
    <w:p w:rsidR="00993052" w:rsidRDefault="00993052" w:rsidP="00831DE2">
      <w:pPr>
        <w:spacing w:line="276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Zadavatel níže doplňuje</w:t>
      </w:r>
      <w:r w:rsidRPr="00FA3933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 xml:space="preserve">technické </w:t>
      </w:r>
      <w:r w:rsidRPr="00FA3933">
        <w:rPr>
          <w:i/>
          <w:iCs/>
          <w:color w:val="FF0000"/>
        </w:rPr>
        <w:t>specifikac</w:t>
      </w:r>
      <w:r>
        <w:rPr>
          <w:i/>
          <w:iCs/>
          <w:color w:val="FF0000"/>
        </w:rPr>
        <w:t>e</w:t>
      </w:r>
      <w:r w:rsidRPr="00FA3933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k uchazečem uvedeným prv</w:t>
      </w:r>
      <w:r w:rsidRPr="00FA3933">
        <w:rPr>
          <w:i/>
          <w:iCs/>
          <w:color w:val="FF0000"/>
        </w:rPr>
        <w:t>ků</w:t>
      </w:r>
      <w:r>
        <w:rPr>
          <w:i/>
          <w:iCs/>
          <w:color w:val="FF0000"/>
        </w:rPr>
        <w:t>m s kódy</w:t>
      </w:r>
      <w:r w:rsidRPr="00FA3933">
        <w:rPr>
          <w:i/>
          <w:iCs/>
          <w:color w:val="FF0000"/>
        </w:rPr>
        <w:t xml:space="preserve"> T-9002</w:t>
      </w:r>
      <w:r>
        <w:rPr>
          <w:i/>
          <w:iCs/>
          <w:color w:val="FF0000"/>
        </w:rPr>
        <w:t>, TP-1203,</w:t>
      </w:r>
      <w:r w:rsidRPr="001349B0"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K-1124</w:t>
      </w:r>
      <w:r>
        <w:rPr>
          <w:i/>
          <w:iCs/>
          <w:color w:val="FF0000"/>
        </w:rPr>
        <w:t xml:space="preserve"> a </w:t>
      </w:r>
      <w:r w:rsidRPr="00FA3933">
        <w:rPr>
          <w:i/>
          <w:iCs/>
          <w:color w:val="FF0000"/>
        </w:rPr>
        <w:t>K</w:t>
      </w:r>
      <w:r>
        <w:rPr>
          <w:i/>
          <w:iCs/>
          <w:color w:val="FF0000"/>
        </w:rPr>
        <w:t>P</w:t>
      </w:r>
      <w:r w:rsidRPr="00FA3933">
        <w:rPr>
          <w:i/>
          <w:iCs/>
          <w:color w:val="FF0000"/>
        </w:rPr>
        <w:t>-1124</w:t>
      </w:r>
      <w:r>
        <w:rPr>
          <w:i/>
          <w:iCs/>
          <w:color w:val="FF0000"/>
        </w:rPr>
        <w:t xml:space="preserve">. Prvek DNM.01 (dvouramenný nosič monitoru vitálních funkcí) bude osazen jako nástěnný (kotvený do stěny) v místnostech </w:t>
      </w:r>
      <w:bookmarkStart w:id="3" w:name="_Hlk163815977"/>
      <w:r>
        <w:rPr>
          <w:i/>
          <w:iCs/>
          <w:color w:val="FF0000"/>
        </w:rPr>
        <w:t>č. P402030 a P403030</w:t>
      </w:r>
      <w:bookmarkEnd w:id="3"/>
      <w:r>
        <w:rPr>
          <w:i/>
          <w:iCs/>
          <w:color w:val="FF0000"/>
        </w:rPr>
        <w:t xml:space="preserve">. Jeho bližší specifikace je uvedena v příloze TZ výkresové profesní části </w:t>
      </w:r>
      <w:r w:rsidRPr="001349B0">
        <w:rPr>
          <w:i/>
          <w:iCs/>
          <w:color w:val="FF0000"/>
        </w:rPr>
        <w:t>D.1.4.J_MEDIPLYNY</w:t>
      </w:r>
      <w:r>
        <w:rPr>
          <w:i/>
          <w:iCs/>
          <w:color w:val="FF0000"/>
        </w:rPr>
        <w:t>. Zadavatel současně potvrzuje, že žádné z výše uveden</w:t>
      </w:r>
      <w:r w:rsidR="00122948">
        <w:rPr>
          <w:i/>
          <w:iCs/>
          <w:color w:val="FF0000"/>
        </w:rPr>
        <w:t>ých</w:t>
      </w:r>
      <w:r>
        <w:rPr>
          <w:i/>
          <w:iCs/>
          <w:color w:val="FF0000"/>
        </w:rPr>
        <w:t xml:space="preserve"> prvk</w:t>
      </w:r>
      <w:r w:rsidR="00122948">
        <w:rPr>
          <w:i/>
          <w:iCs/>
          <w:color w:val="FF0000"/>
        </w:rPr>
        <w:t>ů</w:t>
      </w:r>
      <w:r>
        <w:rPr>
          <w:i/>
          <w:iCs/>
          <w:color w:val="FF0000"/>
        </w:rPr>
        <w:t xml:space="preserve"> nejsou ve výkazu výměr </w:t>
      </w:r>
      <w:proofErr w:type="gramStart"/>
      <w:r>
        <w:rPr>
          <w:i/>
          <w:iCs/>
          <w:color w:val="FF0000"/>
        </w:rPr>
        <w:t>3a</w:t>
      </w:r>
      <w:proofErr w:type="gramEnd"/>
      <w:r>
        <w:rPr>
          <w:i/>
          <w:iCs/>
          <w:color w:val="FF0000"/>
        </w:rPr>
        <w:t xml:space="preserve"> uvedeny duplicitně.</w:t>
      </w:r>
    </w:p>
    <w:p w:rsidR="00993052" w:rsidRPr="00902222" w:rsidRDefault="00993052" w:rsidP="00831DE2">
      <w:pPr>
        <w:spacing w:before="240" w:after="0" w:line="276" w:lineRule="auto"/>
        <w:jc w:val="both"/>
        <w:rPr>
          <w:i/>
          <w:iCs/>
          <w:color w:val="FF0000"/>
          <w:u w:val="single"/>
        </w:rPr>
      </w:pPr>
      <w:r w:rsidRPr="00902222">
        <w:rPr>
          <w:i/>
          <w:iCs/>
          <w:color w:val="FF0000"/>
          <w:u w:val="single"/>
        </w:rPr>
        <w:t>Technická specifikace prvk</w:t>
      </w:r>
      <w:r w:rsidR="009A715E">
        <w:rPr>
          <w:i/>
          <w:iCs/>
          <w:color w:val="FF0000"/>
          <w:u w:val="single"/>
        </w:rPr>
        <w:t>ů</w:t>
      </w:r>
      <w:r w:rsidRPr="00902222">
        <w:rPr>
          <w:i/>
          <w:iCs/>
          <w:color w:val="FF0000"/>
          <w:u w:val="single"/>
        </w:rPr>
        <w:t>:</w:t>
      </w:r>
    </w:p>
    <w:p w:rsidR="00993052" w:rsidRDefault="00993052" w:rsidP="00831DE2">
      <w:pPr>
        <w:spacing w:before="120" w:after="0" w:line="276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 </w:t>
      </w:r>
      <w:r w:rsidRPr="00B86749">
        <w:rPr>
          <w:b/>
          <w:i/>
          <w:iCs/>
          <w:color w:val="FF0000"/>
        </w:rPr>
        <w:t>T-9002</w:t>
      </w:r>
      <w:r w:rsidRPr="00FA3933">
        <w:rPr>
          <w:i/>
          <w:iCs/>
          <w:color w:val="FF0000"/>
        </w:rPr>
        <w:t xml:space="preserve"> „</w:t>
      </w:r>
      <w:r w:rsidRPr="004932CE">
        <w:rPr>
          <w:b/>
          <w:i/>
          <w:iCs/>
          <w:color w:val="FF0000"/>
        </w:rPr>
        <w:t>Dávkovač dezinfekce pákový</w:t>
      </w:r>
      <w:r w:rsidRPr="00FA3933">
        <w:rPr>
          <w:i/>
          <w:iCs/>
          <w:color w:val="FF0000"/>
        </w:rPr>
        <w:t>“</w:t>
      </w:r>
      <w:r>
        <w:rPr>
          <w:i/>
          <w:iCs/>
          <w:color w:val="FF0000"/>
        </w:rPr>
        <w:t xml:space="preserve"> (viz také průvodní zpráva </w:t>
      </w:r>
      <w:r w:rsidRPr="00B86749">
        <w:rPr>
          <w:i/>
          <w:iCs/>
          <w:color w:val="FF0000"/>
        </w:rPr>
        <w:t>D.1.4.L Interiér</w:t>
      </w:r>
      <w:r>
        <w:rPr>
          <w:i/>
          <w:iCs/>
          <w:color w:val="FF0000"/>
        </w:rPr>
        <w:t xml:space="preserve"> str.47)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-</w:t>
      </w:r>
      <w:r>
        <w:rPr>
          <w:i/>
          <w:iCs/>
          <w:color w:val="FF0000"/>
        </w:rPr>
        <w:tab/>
        <w:t>n</w:t>
      </w:r>
      <w:r w:rsidRPr="00FA3933">
        <w:rPr>
          <w:i/>
          <w:iCs/>
          <w:color w:val="FF0000"/>
        </w:rPr>
        <w:t>erezový nástěnný dávkovač mýdla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</w:r>
      <w:r>
        <w:rPr>
          <w:i/>
          <w:iCs/>
          <w:color w:val="FF0000"/>
        </w:rPr>
        <w:t>p</w:t>
      </w:r>
      <w:r w:rsidRPr="00FA3933">
        <w:rPr>
          <w:i/>
          <w:iCs/>
          <w:color w:val="FF0000"/>
        </w:rPr>
        <w:t>lastová vnitřní nádoba o objemu 1 l</w:t>
      </w:r>
    </w:p>
    <w:p w:rsidR="00993052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</w:r>
      <w:r>
        <w:rPr>
          <w:i/>
          <w:iCs/>
          <w:color w:val="FF0000"/>
        </w:rPr>
        <w:t>p</w:t>
      </w:r>
      <w:r w:rsidRPr="00FA3933">
        <w:rPr>
          <w:i/>
          <w:iCs/>
          <w:color w:val="FF0000"/>
        </w:rPr>
        <w:t>ovrch neraz mat</w:t>
      </w:r>
    </w:p>
    <w:p w:rsidR="009A715E" w:rsidRPr="00FA3933" w:rsidRDefault="009A715E" w:rsidP="009A715E">
      <w:pPr>
        <w:numPr>
          <w:ilvl w:val="0"/>
          <w:numId w:val="21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proofErr w:type="gramStart"/>
      <w:r>
        <w:rPr>
          <w:i/>
          <w:iCs/>
          <w:color w:val="FF0000"/>
        </w:rPr>
        <w:t>m</w:t>
      </w:r>
      <w:r w:rsidRPr="00FA3933">
        <w:rPr>
          <w:i/>
          <w:iCs/>
          <w:color w:val="FF0000"/>
        </w:rPr>
        <w:t xml:space="preserve">ateriál </w:t>
      </w:r>
      <w:r>
        <w:rPr>
          <w:i/>
          <w:iCs/>
          <w:color w:val="FF0000"/>
        </w:rPr>
        <w:t xml:space="preserve">- </w:t>
      </w:r>
      <w:r w:rsidRPr="00FA3933">
        <w:rPr>
          <w:i/>
          <w:iCs/>
          <w:color w:val="FF0000"/>
        </w:rPr>
        <w:t>AISI</w:t>
      </w:r>
      <w:proofErr w:type="gramEnd"/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 xml:space="preserve">304 </w:t>
      </w:r>
    </w:p>
    <w:p w:rsidR="00993052" w:rsidRDefault="00993052" w:rsidP="00831DE2">
      <w:pPr>
        <w:spacing w:before="120" w:after="0" w:line="276" w:lineRule="auto"/>
        <w:jc w:val="both"/>
        <w:rPr>
          <w:b/>
          <w:i/>
          <w:iCs/>
          <w:color w:val="FF0000"/>
        </w:rPr>
      </w:pPr>
    </w:p>
    <w:p w:rsidR="00993052" w:rsidRPr="00FA3933" w:rsidRDefault="00993052" w:rsidP="00831DE2">
      <w:pPr>
        <w:spacing w:before="120" w:after="0" w:line="276" w:lineRule="auto"/>
        <w:jc w:val="both"/>
        <w:rPr>
          <w:i/>
          <w:iCs/>
          <w:color w:val="FF0000"/>
        </w:rPr>
      </w:pPr>
      <w:r w:rsidRPr="00B86749">
        <w:rPr>
          <w:b/>
          <w:i/>
          <w:iCs/>
          <w:color w:val="FF0000"/>
        </w:rPr>
        <w:t>TP-1203</w:t>
      </w:r>
      <w:r w:rsidRPr="00FA3933">
        <w:rPr>
          <w:i/>
          <w:iCs/>
          <w:color w:val="FF0000"/>
        </w:rPr>
        <w:t xml:space="preserve"> „</w:t>
      </w:r>
      <w:r w:rsidRPr="004932CE">
        <w:rPr>
          <w:b/>
          <w:i/>
          <w:iCs/>
          <w:color w:val="FF0000"/>
        </w:rPr>
        <w:t>Komplet umyvadlo s výlevkou</w:t>
      </w:r>
      <w:r>
        <w:rPr>
          <w:i/>
          <w:iCs/>
          <w:color w:val="FF0000"/>
        </w:rPr>
        <w:t xml:space="preserve">“ (viz také průvodní zpráva </w:t>
      </w:r>
      <w:r w:rsidRPr="00B86749">
        <w:rPr>
          <w:i/>
          <w:iCs/>
          <w:color w:val="FF0000"/>
        </w:rPr>
        <w:t>D.1.4.L Interiér</w:t>
      </w:r>
      <w:r>
        <w:rPr>
          <w:i/>
          <w:iCs/>
          <w:color w:val="FF0000"/>
        </w:rPr>
        <w:t xml:space="preserve"> str.</w:t>
      </w:r>
      <w:r w:rsidRPr="00FA3933">
        <w:rPr>
          <w:i/>
          <w:iCs/>
          <w:color w:val="FF0000"/>
        </w:rPr>
        <w:t xml:space="preserve"> 19)</w:t>
      </w:r>
    </w:p>
    <w:p w:rsidR="00993052" w:rsidRDefault="00993052" w:rsidP="00831DE2">
      <w:pPr>
        <w:numPr>
          <w:ilvl w:val="0"/>
          <w:numId w:val="21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s</w:t>
      </w:r>
      <w:r w:rsidRPr="00FA3933">
        <w:rPr>
          <w:i/>
          <w:iCs/>
          <w:color w:val="FF0000"/>
        </w:rPr>
        <w:t>amostatně stojící nerezová kombinovaná výlevka s</w:t>
      </w:r>
      <w:r>
        <w:rPr>
          <w:i/>
          <w:iCs/>
          <w:color w:val="FF0000"/>
        </w:rPr>
        <w:t> </w:t>
      </w:r>
      <w:r w:rsidRPr="00FA3933">
        <w:rPr>
          <w:i/>
          <w:iCs/>
          <w:color w:val="FF0000"/>
        </w:rPr>
        <w:t>umyvadlem</w:t>
      </w:r>
    </w:p>
    <w:p w:rsidR="00993052" w:rsidRDefault="00993052" w:rsidP="00831DE2">
      <w:pPr>
        <w:numPr>
          <w:ilvl w:val="0"/>
          <w:numId w:val="21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rozměr 500 / 650 mm (možná tolerance rozměru 5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%)</w:t>
      </w:r>
    </w:p>
    <w:p w:rsidR="00993052" w:rsidRPr="00FA3933" w:rsidRDefault="00993052" w:rsidP="00831DE2">
      <w:pPr>
        <w:numPr>
          <w:ilvl w:val="0"/>
          <w:numId w:val="21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proofErr w:type="gramStart"/>
      <w:r>
        <w:rPr>
          <w:i/>
          <w:iCs/>
          <w:color w:val="FF0000"/>
        </w:rPr>
        <w:t>m</w:t>
      </w:r>
      <w:r w:rsidRPr="00FA3933">
        <w:rPr>
          <w:i/>
          <w:iCs/>
          <w:color w:val="FF0000"/>
        </w:rPr>
        <w:t xml:space="preserve">ateriál </w:t>
      </w:r>
      <w:r>
        <w:rPr>
          <w:i/>
          <w:iCs/>
          <w:color w:val="FF0000"/>
        </w:rPr>
        <w:t xml:space="preserve">- </w:t>
      </w:r>
      <w:r w:rsidRPr="00FA3933">
        <w:rPr>
          <w:i/>
          <w:iCs/>
          <w:color w:val="FF0000"/>
        </w:rPr>
        <w:t>austenitick</w:t>
      </w:r>
      <w:r>
        <w:rPr>
          <w:i/>
          <w:iCs/>
          <w:color w:val="FF0000"/>
        </w:rPr>
        <w:t>á</w:t>
      </w:r>
      <w:proofErr w:type="gramEnd"/>
      <w:r w:rsidRPr="00FA3933">
        <w:rPr>
          <w:i/>
          <w:iCs/>
          <w:color w:val="FF0000"/>
        </w:rPr>
        <w:t xml:space="preserve"> nerez ocel 18Cr/10Ni jakosti dle ČSN17240,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17241, DIN W.Nr.1.4301, ASTM AISI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 xml:space="preserve">304 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 xml:space="preserve">- </w:t>
      </w:r>
      <w:r>
        <w:rPr>
          <w:i/>
          <w:iCs/>
          <w:color w:val="FF0000"/>
        </w:rPr>
        <w:tab/>
      </w:r>
      <w:r w:rsidRPr="00FA3933">
        <w:rPr>
          <w:i/>
          <w:iCs/>
          <w:color w:val="FF0000"/>
        </w:rPr>
        <w:t>k výlevce baterie s vytahovací sprškou - slouží jako oční spr</w:t>
      </w:r>
      <w:r w:rsidR="00CB61A3">
        <w:rPr>
          <w:i/>
          <w:iCs/>
          <w:color w:val="FF0000"/>
        </w:rPr>
        <w:t>cha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 xml:space="preserve">- </w:t>
      </w:r>
      <w:r>
        <w:rPr>
          <w:i/>
          <w:iCs/>
          <w:color w:val="FF0000"/>
        </w:rPr>
        <w:tab/>
      </w:r>
      <w:r w:rsidRPr="00FA3933">
        <w:rPr>
          <w:i/>
          <w:iCs/>
          <w:color w:val="FF0000"/>
        </w:rPr>
        <w:t>baterie keramická kartuše, magnetický držák spršky</w:t>
      </w:r>
    </w:p>
    <w:p w:rsidR="00993052" w:rsidRDefault="00993052" w:rsidP="00831DE2">
      <w:pPr>
        <w:spacing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 xml:space="preserve">- </w:t>
      </w:r>
      <w:r>
        <w:rPr>
          <w:i/>
          <w:iCs/>
          <w:color w:val="FF0000"/>
        </w:rPr>
        <w:tab/>
      </w:r>
      <w:r w:rsidRPr="00FA3933">
        <w:rPr>
          <w:i/>
          <w:iCs/>
          <w:color w:val="FF0000"/>
        </w:rPr>
        <w:t>napojení na odpad dimenze DN 100</w:t>
      </w:r>
    </w:p>
    <w:p w:rsidR="00993052" w:rsidRDefault="00993052" w:rsidP="00831DE2">
      <w:pPr>
        <w:spacing w:before="120" w:after="0" w:line="276" w:lineRule="auto"/>
        <w:jc w:val="both"/>
        <w:rPr>
          <w:b/>
          <w:i/>
          <w:iCs/>
          <w:color w:val="FF0000"/>
        </w:rPr>
      </w:pPr>
    </w:p>
    <w:p w:rsidR="00993052" w:rsidRPr="00FA3933" w:rsidRDefault="00993052" w:rsidP="00831DE2">
      <w:pPr>
        <w:spacing w:before="120" w:after="0" w:line="276" w:lineRule="auto"/>
        <w:jc w:val="both"/>
        <w:rPr>
          <w:i/>
          <w:iCs/>
          <w:color w:val="FF0000"/>
        </w:rPr>
      </w:pPr>
      <w:r w:rsidRPr="00074DCC">
        <w:rPr>
          <w:b/>
          <w:i/>
          <w:iCs/>
          <w:color w:val="FF0000"/>
        </w:rPr>
        <w:t>K-1124</w:t>
      </w:r>
      <w:r w:rsidRPr="00FA3933">
        <w:rPr>
          <w:i/>
          <w:iCs/>
          <w:color w:val="FF0000"/>
        </w:rPr>
        <w:t xml:space="preserve"> „</w:t>
      </w:r>
      <w:r w:rsidRPr="00074DCC">
        <w:rPr>
          <w:b/>
          <w:i/>
          <w:iCs/>
          <w:color w:val="FF0000"/>
        </w:rPr>
        <w:t xml:space="preserve">Skříňka nástěnná </w:t>
      </w:r>
      <w:r w:rsidR="00CB61A3">
        <w:rPr>
          <w:b/>
          <w:i/>
          <w:iCs/>
          <w:color w:val="FF0000"/>
        </w:rPr>
        <w:t xml:space="preserve">uzavřená </w:t>
      </w:r>
      <w:r w:rsidRPr="00074DCC">
        <w:rPr>
          <w:b/>
          <w:i/>
          <w:iCs/>
          <w:color w:val="FF0000"/>
        </w:rPr>
        <w:t>s jednou policí</w:t>
      </w:r>
      <w:r>
        <w:rPr>
          <w:i/>
          <w:iCs/>
          <w:color w:val="FF0000"/>
        </w:rPr>
        <w:t>“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>celo</w:t>
      </w:r>
      <w:r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>nerezové provedení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>včetně kotevního materiálu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>povrch materiálu musí být upraven tak, aby na něm při čištění nedocházelo k ulpívání čistících materiálů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>hygienicky udržovatelný</w:t>
      </w:r>
    </w:p>
    <w:p w:rsidR="00993052" w:rsidRPr="00FA3933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 xml:space="preserve">dvířka posuvná </w:t>
      </w:r>
      <w:proofErr w:type="gramStart"/>
      <w:r w:rsidRPr="00FA3933">
        <w:rPr>
          <w:i/>
          <w:iCs/>
          <w:color w:val="FF0000"/>
        </w:rPr>
        <w:t>plná - nerezová</w:t>
      </w:r>
      <w:proofErr w:type="gramEnd"/>
      <w:r w:rsidRPr="00FA3933">
        <w:rPr>
          <w:i/>
          <w:iCs/>
          <w:color w:val="FF0000"/>
        </w:rPr>
        <w:t>, uzamykatelná</w:t>
      </w:r>
    </w:p>
    <w:p w:rsidR="00993052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ab/>
        <w:t xml:space="preserve">vnitřní police, </w:t>
      </w:r>
      <w:proofErr w:type="spellStart"/>
      <w:r w:rsidRPr="00FA3933">
        <w:rPr>
          <w:i/>
          <w:iCs/>
          <w:color w:val="FF0000"/>
        </w:rPr>
        <w:t>tl</w:t>
      </w:r>
      <w:proofErr w:type="spellEnd"/>
      <w:r w:rsidRPr="00FA3933">
        <w:rPr>
          <w:i/>
          <w:iCs/>
          <w:color w:val="FF0000"/>
        </w:rPr>
        <w:t>. nerezového plechu 1,5 mm</w:t>
      </w:r>
    </w:p>
    <w:p w:rsidR="00993052" w:rsidRDefault="00993052" w:rsidP="00831DE2">
      <w:pPr>
        <w:spacing w:after="0" w:line="276" w:lineRule="auto"/>
        <w:ind w:left="426" w:hanging="284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-</w:t>
      </w:r>
      <w:r>
        <w:rPr>
          <w:i/>
          <w:iCs/>
          <w:color w:val="FF0000"/>
        </w:rPr>
        <w:tab/>
      </w:r>
      <w:proofErr w:type="gramStart"/>
      <w:r>
        <w:rPr>
          <w:i/>
          <w:iCs/>
          <w:color w:val="FF0000"/>
        </w:rPr>
        <w:t>materiál -</w:t>
      </w:r>
      <w:r w:rsidRPr="00FA3933">
        <w:rPr>
          <w:i/>
          <w:iCs/>
          <w:color w:val="FF0000"/>
        </w:rPr>
        <w:t xml:space="preserve"> </w:t>
      </w:r>
      <w:bookmarkStart w:id="4" w:name="_Hlk163815607"/>
      <w:r w:rsidRPr="00FA3933">
        <w:rPr>
          <w:i/>
          <w:iCs/>
          <w:color w:val="FF0000"/>
        </w:rPr>
        <w:t>austenitick</w:t>
      </w:r>
      <w:r>
        <w:rPr>
          <w:i/>
          <w:iCs/>
          <w:color w:val="FF0000"/>
        </w:rPr>
        <w:t>á</w:t>
      </w:r>
      <w:proofErr w:type="gramEnd"/>
      <w:r w:rsidRPr="00FA3933">
        <w:rPr>
          <w:i/>
          <w:iCs/>
          <w:color w:val="FF0000"/>
        </w:rPr>
        <w:t xml:space="preserve"> nerez ocel 18Cr/10Ni jakosti dle ČSN 17240,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17241, DIN W.Nr.1.4301, ASTM AISI</w:t>
      </w:r>
      <w:r>
        <w:rPr>
          <w:i/>
          <w:iCs/>
          <w:color w:val="FF0000"/>
        </w:rPr>
        <w:t xml:space="preserve"> </w:t>
      </w:r>
      <w:bookmarkEnd w:id="4"/>
      <w:r w:rsidRPr="00FA3933">
        <w:rPr>
          <w:i/>
          <w:iCs/>
          <w:color w:val="FF0000"/>
        </w:rPr>
        <w:t xml:space="preserve">304 </w:t>
      </w:r>
    </w:p>
    <w:p w:rsidR="00095CC4" w:rsidRDefault="00095CC4" w:rsidP="00831DE2">
      <w:pPr>
        <w:pStyle w:val="Odstavecseseznamem"/>
        <w:numPr>
          <w:ilvl w:val="0"/>
          <w:numId w:val="26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viz také referenční nákres níže</w:t>
      </w:r>
    </w:p>
    <w:p w:rsidR="00095CC4" w:rsidRPr="00095CC4" w:rsidRDefault="00095CC4" w:rsidP="00095CC4">
      <w:pPr>
        <w:pStyle w:val="Odstavecseseznamem"/>
        <w:spacing w:after="0" w:line="276" w:lineRule="auto"/>
        <w:ind w:left="426"/>
        <w:rPr>
          <w:i/>
          <w:iCs/>
          <w:color w:val="FF0000"/>
        </w:rPr>
      </w:pPr>
    </w:p>
    <w:p w:rsidR="00993052" w:rsidRDefault="00993052" w:rsidP="00993052">
      <w:pPr>
        <w:spacing w:after="0" w:line="276" w:lineRule="auto"/>
        <w:ind w:left="426" w:hanging="284"/>
        <w:rPr>
          <w:i/>
          <w:iCs/>
          <w:color w:val="FF0000"/>
        </w:rPr>
      </w:pPr>
      <w:r>
        <w:rPr>
          <w:noProof/>
        </w:rPr>
        <w:drawing>
          <wp:inline distT="0" distB="0" distL="0" distR="0" wp14:anchorId="50ADF347" wp14:editId="3A4B79BC">
            <wp:extent cx="2304762" cy="1380952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4762" cy="1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052" w:rsidRDefault="00993052" w:rsidP="00993052">
      <w:pPr>
        <w:spacing w:before="120" w:line="290" w:lineRule="exact"/>
        <w:rPr>
          <w:b/>
          <w:i/>
          <w:iCs/>
          <w:color w:val="FF0000"/>
        </w:rPr>
      </w:pPr>
    </w:p>
    <w:p w:rsidR="00993052" w:rsidRDefault="00993052" w:rsidP="00993052">
      <w:pPr>
        <w:spacing w:before="120" w:line="290" w:lineRule="exact"/>
        <w:rPr>
          <w:b/>
          <w:i/>
          <w:iCs/>
          <w:color w:val="FF0000"/>
        </w:rPr>
      </w:pPr>
    </w:p>
    <w:p w:rsidR="00831DE2" w:rsidRDefault="00831DE2" w:rsidP="00993052">
      <w:pPr>
        <w:spacing w:before="120" w:line="290" w:lineRule="exact"/>
        <w:rPr>
          <w:b/>
          <w:i/>
          <w:iCs/>
          <w:color w:val="FF0000"/>
        </w:rPr>
      </w:pPr>
    </w:p>
    <w:p w:rsidR="00993052" w:rsidRPr="00FA3933" w:rsidRDefault="00993052" w:rsidP="00831DE2">
      <w:pPr>
        <w:spacing w:before="120" w:line="290" w:lineRule="exact"/>
        <w:jc w:val="both"/>
        <w:rPr>
          <w:i/>
          <w:iCs/>
          <w:color w:val="FF0000"/>
        </w:rPr>
      </w:pPr>
      <w:r w:rsidRPr="00894751">
        <w:rPr>
          <w:b/>
          <w:i/>
          <w:iCs/>
          <w:color w:val="FF0000"/>
        </w:rPr>
        <w:lastRenderedPageBreak/>
        <w:t xml:space="preserve">KP-1124 „Stůl mycí s </w:t>
      </w:r>
      <w:proofErr w:type="gramStart"/>
      <w:r w:rsidRPr="00894751">
        <w:rPr>
          <w:b/>
          <w:i/>
          <w:iCs/>
          <w:color w:val="FF0000"/>
        </w:rPr>
        <w:t>1-dřezem</w:t>
      </w:r>
      <w:proofErr w:type="gramEnd"/>
      <w:r w:rsidRPr="00894751">
        <w:rPr>
          <w:b/>
          <w:i/>
          <w:iCs/>
          <w:color w:val="FF0000"/>
        </w:rPr>
        <w:t>, skříňový, zadní límec</w:t>
      </w:r>
      <w:r>
        <w:rPr>
          <w:b/>
          <w:i/>
          <w:iCs/>
          <w:color w:val="FF0000"/>
        </w:rPr>
        <w:t>“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 xml:space="preserve">lisovaný </w:t>
      </w:r>
      <w:proofErr w:type="gramStart"/>
      <w:r w:rsidRPr="00FA3933">
        <w:rPr>
          <w:i/>
          <w:iCs/>
          <w:color w:val="FF0000"/>
        </w:rPr>
        <w:t>1-dřez</w:t>
      </w:r>
      <w:proofErr w:type="gramEnd"/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velikost dřezu min. 600 x 400 x 280 mm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povrch nerezového materiálu musí být upraven tak, aby na něm nedocházelo při čištění k ulpívání čistících materiálů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hygienicky udržovatelný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možnost výškově přenastavit nohy až o 20 mm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zadní límec</w:t>
      </w:r>
      <w:r>
        <w:rPr>
          <w:i/>
          <w:iCs/>
          <w:color w:val="FF0000"/>
        </w:rPr>
        <w:t xml:space="preserve"> (plně integrovaný do desky)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dvířka stolu posuvná, uzamykatelná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>celo</w:t>
      </w:r>
      <w:r w:rsidR="00B36E79">
        <w:rPr>
          <w:i/>
          <w:iCs/>
          <w:color w:val="FF0000"/>
        </w:rPr>
        <w:t>-</w:t>
      </w:r>
      <w:r w:rsidRPr="00FA3933">
        <w:rPr>
          <w:i/>
          <w:iCs/>
          <w:color w:val="FF0000"/>
        </w:rPr>
        <w:t>nerezové provedení, výztuže pracovní plochy nerez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proofErr w:type="spellStart"/>
      <w:r w:rsidRPr="00FA3933">
        <w:rPr>
          <w:i/>
          <w:iCs/>
          <w:color w:val="FF0000"/>
        </w:rPr>
        <w:t>tl</w:t>
      </w:r>
      <w:proofErr w:type="spellEnd"/>
      <w:r w:rsidRPr="00FA3933">
        <w:rPr>
          <w:i/>
          <w:iCs/>
          <w:color w:val="FF0000"/>
        </w:rPr>
        <w:t>. nerezového plechu pracovní desky 1,5 mm</w:t>
      </w:r>
    </w:p>
    <w:p w:rsidR="00993052" w:rsidRPr="00FA3933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 w:rsidRPr="00FA3933">
        <w:rPr>
          <w:i/>
          <w:iCs/>
          <w:color w:val="FF0000"/>
        </w:rPr>
        <w:t xml:space="preserve">rádiusové provedení dřezů, </w:t>
      </w:r>
      <w:proofErr w:type="spellStart"/>
      <w:r w:rsidRPr="00FA3933">
        <w:rPr>
          <w:i/>
          <w:iCs/>
          <w:color w:val="FF0000"/>
        </w:rPr>
        <w:t>vevaření</w:t>
      </w:r>
      <w:proofErr w:type="spellEnd"/>
      <w:r w:rsidRPr="00FA3933">
        <w:rPr>
          <w:i/>
          <w:iCs/>
          <w:color w:val="FF0000"/>
        </w:rPr>
        <w:t xml:space="preserve"> dřezu musí být provedeno s vybroušeným bezespárovým napojením bez vizuální možnosti zjištění místa tohoto napojení</w:t>
      </w:r>
    </w:p>
    <w:p w:rsidR="00993052" w:rsidRPr="003C0F31" w:rsidRDefault="00993052" w:rsidP="00CB61A3">
      <w:pPr>
        <w:numPr>
          <w:ilvl w:val="0"/>
          <w:numId w:val="22"/>
        </w:numPr>
        <w:spacing w:after="0" w:line="276" w:lineRule="auto"/>
        <w:ind w:left="426" w:hanging="284"/>
        <w:jc w:val="both"/>
        <w:rPr>
          <w:rFonts w:ascii="Arial" w:eastAsia="Arial" w:hAnsi="Arial"/>
          <w:sz w:val="21"/>
        </w:rPr>
      </w:pPr>
      <w:proofErr w:type="gramStart"/>
      <w:r>
        <w:rPr>
          <w:i/>
          <w:iCs/>
          <w:color w:val="FF0000"/>
        </w:rPr>
        <w:t>materiál -</w:t>
      </w:r>
      <w:r w:rsidRPr="00FA3933">
        <w:rPr>
          <w:i/>
          <w:iCs/>
          <w:color w:val="FF0000"/>
        </w:rPr>
        <w:t xml:space="preserve"> austenitick</w:t>
      </w:r>
      <w:r>
        <w:rPr>
          <w:i/>
          <w:iCs/>
          <w:color w:val="FF0000"/>
        </w:rPr>
        <w:t>á</w:t>
      </w:r>
      <w:proofErr w:type="gramEnd"/>
      <w:r w:rsidRPr="00FA3933">
        <w:rPr>
          <w:i/>
          <w:iCs/>
          <w:color w:val="FF0000"/>
        </w:rPr>
        <w:t xml:space="preserve"> nerez ocel 18Cr/10Ni jakosti dle ČSN 17240,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17241, DIN W.Nr.1.4301, ASTM AISI</w:t>
      </w:r>
      <w:r>
        <w:rPr>
          <w:i/>
          <w:iCs/>
          <w:color w:val="FF0000"/>
        </w:rPr>
        <w:t xml:space="preserve"> </w:t>
      </w:r>
      <w:r w:rsidRPr="00FA3933">
        <w:rPr>
          <w:i/>
          <w:iCs/>
          <w:color w:val="FF0000"/>
        </w:rPr>
        <w:t>304</w:t>
      </w:r>
    </w:p>
    <w:p w:rsidR="003C0F31" w:rsidRDefault="003C0F31" w:rsidP="00CB61A3">
      <w:pPr>
        <w:pStyle w:val="Odstavecseseznamem"/>
        <w:numPr>
          <w:ilvl w:val="0"/>
          <w:numId w:val="22"/>
        </w:numPr>
        <w:spacing w:after="0" w:line="276" w:lineRule="auto"/>
        <w:ind w:left="426" w:hanging="284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viz také referenční nákres níže</w:t>
      </w:r>
    </w:p>
    <w:p w:rsidR="003C0F31" w:rsidRPr="00894751" w:rsidRDefault="003C0F31" w:rsidP="003C0F31">
      <w:pPr>
        <w:spacing w:after="0" w:line="290" w:lineRule="exact"/>
        <w:ind w:left="426"/>
        <w:rPr>
          <w:rFonts w:ascii="Arial" w:eastAsia="Arial" w:hAnsi="Arial"/>
          <w:sz w:val="21"/>
        </w:rPr>
      </w:pPr>
    </w:p>
    <w:p w:rsidR="00095CC4" w:rsidRDefault="00095CC4" w:rsidP="00943383">
      <w:pPr>
        <w:spacing w:before="120" w:after="0"/>
        <w:jc w:val="both"/>
        <w:rPr>
          <w:b/>
        </w:rPr>
      </w:pPr>
      <w:r>
        <w:rPr>
          <w:noProof/>
        </w:rPr>
        <w:drawing>
          <wp:inline distT="0" distB="0" distL="0" distR="0" wp14:anchorId="3072D0C0" wp14:editId="4CBAC28D">
            <wp:extent cx="1663547" cy="12185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3501" cy="122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E5D" w:rsidRDefault="00D87E5D" w:rsidP="00943383">
      <w:pPr>
        <w:spacing w:before="120" w:after="0"/>
        <w:jc w:val="both"/>
        <w:rPr>
          <w:b/>
        </w:rPr>
      </w:pPr>
    </w:p>
    <w:p w:rsidR="00BD4707" w:rsidRDefault="00BD4707" w:rsidP="00BD4707">
      <w:pPr>
        <w:jc w:val="both"/>
        <w:rPr>
          <w:b/>
        </w:rPr>
      </w:pPr>
      <w:r w:rsidRPr="00993052">
        <w:rPr>
          <w:b/>
        </w:rPr>
        <w:t xml:space="preserve">Dotaz č. </w:t>
      </w:r>
      <w:r>
        <w:rPr>
          <w:b/>
        </w:rPr>
        <w:t>3</w:t>
      </w:r>
      <w:r w:rsidRPr="00993052">
        <w:rPr>
          <w:b/>
        </w:rPr>
        <w:t xml:space="preserve">) </w:t>
      </w:r>
    </w:p>
    <w:p w:rsidR="00BD4707" w:rsidRPr="00BD4707" w:rsidRDefault="00BD4707" w:rsidP="00BD4707">
      <w:pPr>
        <w:pStyle w:val="Odstavecseseznamem"/>
        <w:numPr>
          <w:ilvl w:val="0"/>
          <w:numId w:val="20"/>
        </w:numPr>
        <w:tabs>
          <w:tab w:val="left" w:pos="440"/>
        </w:tabs>
        <w:spacing w:after="0" w:line="251" w:lineRule="auto"/>
        <w:ind w:left="142" w:right="80"/>
        <w:rPr>
          <w:rFonts w:ascii="Arial" w:eastAsia="Arial" w:hAnsi="Arial"/>
        </w:rPr>
      </w:pPr>
      <w:bookmarkStart w:id="5" w:name="_Hlk163819297"/>
      <w:r w:rsidRPr="00BD4707">
        <w:rPr>
          <w:rFonts w:ascii="Arial" w:eastAsia="Arial" w:hAnsi="Arial"/>
        </w:rPr>
        <w:t>Žádáme zadavatele o soulad soupisu prací D.1.1_2 – ASŘ s tabulkou dveří pro jednotlivá podlaží, u níže uvedených položek:</w:t>
      </w:r>
    </w:p>
    <w:p w:rsidR="00BD4707" w:rsidRDefault="00BD4707" w:rsidP="00BD4707">
      <w:pPr>
        <w:tabs>
          <w:tab w:val="left" w:pos="440"/>
        </w:tabs>
        <w:spacing w:line="251" w:lineRule="auto"/>
        <w:ind w:left="440" w:right="80" w:hanging="367"/>
        <w:rPr>
          <w:rFonts w:ascii="Arial" w:eastAsia="Arial" w:hAnsi="Arial"/>
        </w:rPr>
        <w:sectPr w:rsidR="00BD4707">
          <w:pgSz w:w="11900" w:h="16838"/>
          <w:pgMar w:top="1138" w:right="1346" w:bottom="298" w:left="1420" w:header="0" w:footer="0" w:gutter="0"/>
          <w:cols w:space="0" w:equalWidth="0">
            <w:col w:w="9140"/>
          </w:cols>
          <w:docGrid w:linePitch="360"/>
        </w:sectPr>
      </w:pPr>
    </w:p>
    <w:p w:rsidR="00BD4707" w:rsidRDefault="00BD4707" w:rsidP="00BD4707">
      <w:pPr>
        <w:spacing w:line="7" w:lineRule="exact"/>
        <w:rPr>
          <w:rFonts w:ascii="Times New Roman" w:eastAsia="Times New Roman" w:hAnsi="Times New Roman"/>
        </w:rPr>
      </w:pPr>
    </w:p>
    <w:p w:rsidR="00BD4707" w:rsidRDefault="00BD4707" w:rsidP="00BD4707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a.)</w:t>
      </w:r>
    </w:p>
    <w:p w:rsidR="00BD4707" w:rsidRDefault="00BD4707" w:rsidP="00BD4707">
      <w:pPr>
        <w:spacing w:line="0" w:lineRule="atLeast"/>
        <w:ind w:left="80"/>
        <w:rPr>
          <w:rFonts w:ascii="Times New Roman" w:eastAsia="Times New Roman" w:hAnsi="Times New Roman"/>
        </w:rPr>
      </w:pPr>
      <w:r>
        <w:rPr>
          <w:noProof/>
        </w:rPr>
        <w:drawing>
          <wp:inline distT="0" distB="0" distL="0" distR="0" wp14:anchorId="1E96DFB0" wp14:editId="3315ACB1">
            <wp:extent cx="5161032" cy="318770"/>
            <wp:effectExtent l="0" t="0" r="1905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19024" cy="40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707" w:rsidRDefault="00BD4707" w:rsidP="00831DE2">
      <w:pPr>
        <w:pBdr>
          <w:bottom w:val="single" w:sz="4" w:space="1" w:color="auto"/>
        </w:pBdr>
        <w:spacing w:line="0" w:lineRule="atLeast"/>
        <w:ind w:left="80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Ve výpisu dveří danou pozici 91.02P.1 nenacházíme.</w:t>
      </w:r>
    </w:p>
    <w:bookmarkEnd w:id="5"/>
    <w:p w:rsidR="00831DE2" w:rsidRDefault="00831DE2" w:rsidP="00831DE2">
      <w:pPr>
        <w:spacing w:line="257" w:lineRule="exact"/>
        <w:jc w:val="both"/>
        <w:rPr>
          <w:i/>
          <w:iCs/>
          <w:color w:val="FF0000"/>
        </w:rPr>
      </w:pPr>
      <w:r w:rsidRPr="00703896">
        <w:rPr>
          <w:i/>
          <w:iCs/>
          <w:color w:val="FF0000"/>
        </w:rPr>
        <w:t>Odpověď k dotazu č.</w:t>
      </w:r>
      <w:r>
        <w:rPr>
          <w:i/>
          <w:iCs/>
          <w:color w:val="FF0000"/>
        </w:rPr>
        <w:t>3 a)</w:t>
      </w:r>
      <w:r w:rsidRPr="00703896">
        <w:rPr>
          <w:i/>
          <w:iCs/>
          <w:color w:val="FF0000"/>
        </w:rPr>
        <w:t>:</w:t>
      </w:r>
    </w:p>
    <w:p w:rsidR="00831DE2" w:rsidRPr="00703896" w:rsidRDefault="00831DE2" w:rsidP="0026260E">
      <w:pPr>
        <w:spacing w:line="276" w:lineRule="auto"/>
        <w:jc w:val="both"/>
        <w:rPr>
          <w:rFonts w:ascii="Arial" w:hAnsi="Arial"/>
          <w:color w:val="FF0000"/>
        </w:rPr>
      </w:pPr>
      <w:r w:rsidRPr="00703896">
        <w:rPr>
          <w:i/>
          <w:iCs/>
          <w:color w:val="FF0000"/>
        </w:rPr>
        <w:t xml:space="preserve">Zadavatel potvrzuje, že se jedná o </w:t>
      </w:r>
      <w:r>
        <w:rPr>
          <w:i/>
          <w:iCs/>
          <w:color w:val="FF0000"/>
        </w:rPr>
        <w:t xml:space="preserve">neexistující </w:t>
      </w:r>
      <w:r w:rsidRPr="00703896">
        <w:rPr>
          <w:i/>
          <w:iCs/>
          <w:color w:val="FF0000"/>
        </w:rPr>
        <w:t>položku</w:t>
      </w:r>
      <w:r>
        <w:rPr>
          <w:i/>
          <w:iCs/>
          <w:color w:val="FF0000"/>
        </w:rPr>
        <w:t xml:space="preserve"> č. 379 na listu </w:t>
      </w:r>
      <w:r w:rsidRPr="00A825A5">
        <w:rPr>
          <w:i/>
          <w:iCs/>
          <w:color w:val="FF0000"/>
        </w:rPr>
        <w:t>D.1.1_2 - ASŘ a SKŘ</w:t>
      </w:r>
      <w:r>
        <w:rPr>
          <w:i/>
          <w:iCs/>
          <w:color w:val="FF0000"/>
        </w:rPr>
        <w:t xml:space="preserve">, která bude z výkazu výměr odstraněna. </w:t>
      </w:r>
      <w:r w:rsidRPr="00A825A5">
        <w:rPr>
          <w:i/>
          <w:iCs/>
          <w:color w:val="FF0000"/>
        </w:rPr>
        <w:t>Opravený výkaz výměr</w:t>
      </w:r>
      <w:r w:rsidRPr="00160486">
        <w:t xml:space="preserve"> </w:t>
      </w:r>
      <w:r w:rsidRPr="00A825A5">
        <w:rPr>
          <w:i/>
          <w:iCs/>
          <w:color w:val="FF0000"/>
        </w:rPr>
        <w:t>je přílohou tohoto vysvětlení.</w:t>
      </w:r>
    </w:p>
    <w:p w:rsidR="00831DE2" w:rsidRDefault="00831DE2" w:rsidP="00831DE2">
      <w:pPr>
        <w:spacing w:line="0" w:lineRule="atLeast"/>
        <w:ind w:left="80"/>
        <w:rPr>
          <w:rFonts w:ascii="Arial" w:eastAsia="Arial" w:hAnsi="Arial"/>
        </w:rPr>
      </w:pPr>
      <w:r>
        <w:rPr>
          <w:rFonts w:ascii="Arial" w:eastAsia="Arial" w:hAnsi="Arial"/>
        </w:rPr>
        <w:t>b.)</w:t>
      </w: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  <w:r>
        <w:rPr>
          <w:noProof/>
        </w:rPr>
        <w:drawing>
          <wp:inline distT="0" distB="0" distL="0" distR="0" wp14:anchorId="6E1D9555" wp14:editId="5AC18292">
            <wp:extent cx="5093332" cy="239686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02403" cy="34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E2" w:rsidRDefault="00831DE2" w:rsidP="00831DE2">
      <w:pPr>
        <w:pBdr>
          <w:bottom w:val="single" w:sz="4" w:space="1" w:color="auto"/>
        </w:pBdr>
        <w:spacing w:line="252" w:lineRule="auto"/>
        <w:ind w:left="80" w:right="80"/>
        <w:rPr>
          <w:rFonts w:ascii="Arial" w:eastAsia="Arial" w:hAnsi="Arial"/>
        </w:rPr>
      </w:pPr>
      <w:r>
        <w:rPr>
          <w:rFonts w:ascii="Arial" w:eastAsia="Arial" w:hAnsi="Arial"/>
        </w:rPr>
        <w:t>Rozumíme správně, že hliníkové automatické dveře 91.01.1 v položkovém rozpočtu, odpovídají dle výpisu prvků, dveřím s označením 02.01.</w:t>
      </w:r>
    </w:p>
    <w:p w:rsidR="00831DE2" w:rsidRDefault="00831DE2" w:rsidP="00831DE2">
      <w:pPr>
        <w:spacing w:line="257" w:lineRule="exact"/>
        <w:rPr>
          <w:i/>
          <w:iCs/>
          <w:color w:val="FF0000"/>
        </w:rPr>
      </w:pPr>
    </w:p>
    <w:p w:rsidR="00831DE2" w:rsidRDefault="00831DE2" w:rsidP="00831DE2">
      <w:pPr>
        <w:spacing w:line="257" w:lineRule="exact"/>
        <w:rPr>
          <w:i/>
          <w:iCs/>
          <w:color w:val="FF0000"/>
        </w:rPr>
      </w:pPr>
      <w:r w:rsidRPr="00703896">
        <w:rPr>
          <w:i/>
          <w:iCs/>
          <w:color w:val="FF0000"/>
        </w:rPr>
        <w:t>Odpověď k dotazu č.</w:t>
      </w:r>
      <w:r>
        <w:rPr>
          <w:i/>
          <w:iCs/>
          <w:color w:val="FF0000"/>
        </w:rPr>
        <w:t>3 b)</w:t>
      </w:r>
      <w:r w:rsidRPr="00703896">
        <w:rPr>
          <w:i/>
          <w:iCs/>
          <w:color w:val="FF0000"/>
        </w:rPr>
        <w:t>:</w:t>
      </w:r>
    </w:p>
    <w:p w:rsidR="00831DE2" w:rsidRDefault="00831DE2" w:rsidP="0026260E">
      <w:pPr>
        <w:spacing w:line="276" w:lineRule="auto"/>
        <w:jc w:val="both"/>
        <w:rPr>
          <w:i/>
          <w:iCs/>
          <w:color w:val="FF0000"/>
        </w:rPr>
      </w:pPr>
      <w:r w:rsidRPr="00703896">
        <w:rPr>
          <w:i/>
          <w:iCs/>
          <w:color w:val="FF0000"/>
        </w:rPr>
        <w:t>Zadavatel potvrzuje, že se jedná o</w:t>
      </w:r>
      <w:r>
        <w:rPr>
          <w:i/>
          <w:iCs/>
          <w:color w:val="FF0000"/>
        </w:rPr>
        <w:t xml:space="preserve"> chybné označení kódu </w:t>
      </w:r>
      <w:r w:rsidRPr="00703896">
        <w:rPr>
          <w:i/>
          <w:iCs/>
          <w:color w:val="FF0000"/>
        </w:rPr>
        <w:t>položk</w:t>
      </w:r>
      <w:r>
        <w:rPr>
          <w:i/>
          <w:iCs/>
          <w:color w:val="FF0000"/>
        </w:rPr>
        <w:t xml:space="preserve">y č. 452 na listu </w:t>
      </w:r>
      <w:r w:rsidRPr="00A825A5">
        <w:rPr>
          <w:i/>
          <w:iCs/>
          <w:color w:val="FF0000"/>
        </w:rPr>
        <w:t>D.1.1_2 - ASŘ a SKŘ</w:t>
      </w:r>
      <w:r>
        <w:rPr>
          <w:i/>
          <w:iCs/>
          <w:color w:val="FF0000"/>
        </w:rPr>
        <w:t>, který bude ve výkazu opraven na 02.01. Opravený</w:t>
      </w:r>
      <w:r w:rsidRPr="00A825A5">
        <w:rPr>
          <w:i/>
          <w:iCs/>
          <w:color w:val="FF0000"/>
        </w:rPr>
        <w:t xml:space="preserve"> výkaz výměr je přílohou tohoto vysvětlení.</w:t>
      </w:r>
    </w:p>
    <w:p w:rsidR="00831DE2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</w:p>
    <w:p w:rsidR="00831DE2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</w:p>
    <w:p w:rsidR="00831DE2" w:rsidRPr="00703896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  <w:sectPr w:rsidR="00831DE2">
          <w:type w:val="continuous"/>
          <w:pgSz w:w="11900" w:h="16838"/>
          <w:pgMar w:top="1138" w:right="1346" w:bottom="298" w:left="1420" w:header="0" w:footer="0" w:gutter="0"/>
          <w:cols w:num="2" w:space="0" w:equalWidth="0">
            <w:col w:w="8100" w:space="700"/>
            <w:col w:w="340"/>
          </w:cols>
          <w:docGrid w:linePitch="360"/>
        </w:sectPr>
      </w:pPr>
    </w:p>
    <w:p w:rsidR="00C14492" w:rsidRDefault="00C14492" w:rsidP="00C14492">
      <w:pPr>
        <w:jc w:val="both"/>
        <w:rPr>
          <w:b/>
        </w:rPr>
      </w:pPr>
      <w:r w:rsidRPr="00993052">
        <w:rPr>
          <w:b/>
        </w:rPr>
        <w:lastRenderedPageBreak/>
        <w:t xml:space="preserve">Dotaz č. </w:t>
      </w:r>
      <w:r>
        <w:rPr>
          <w:b/>
        </w:rPr>
        <w:t>4</w:t>
      </w:r>
      <w:r w:rsidRPr="00993052">
        <w:rPr>
          <w:b/>
        </w:rPr>
        <w:t xml:space="preserve">) </w:t>
      </w:r>
    </w:p>
    <w:p w:rsidR="00C14492" w:rsidRDefault="00C14492" w:rsidP="00C14492">
      <w:pPr>
        <w:numPr>
          <w:ilvl w:val="0"/>
          <w:numId w:val="29"/>
        </w:numPr>
        <w:pBdr>
          <w:bottom w:val="single" w:sz="4" w:space="1" w:color="auto"/>
        </w:pBdr>
        <w:tabs>
          <w:tab w:val="left" w:pos="440"/>
        </w:tabs>
        <w:spacing w:after="0" w:line="256" w:lineRule="auto"/>
        <w:ind w:left="440" w:right="60" w:hanging="36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Dle dodavatele záchytného systému, dostupná dokumentace neodpovídá a nesplňuje požadavky na systém pro údržbu fasády. Žádáme zadavatele o poskytnutí výkresové dokumentace odpovídající k navrženému systému a zároveň o sdělení, kde, v kterých místech je zapotřebí mít tyto horolezecké body.</w:t>
      </w:r>
    </w:p>
    <w:p w:rsidR="003C0F31" w:rsidRDefault="003C0F31" w:rsidP="00943383">
      <w:pPr>
        <w:spacing w:before="120" w:after="0"/>
        <w:jc w:val="both"/>
        <w:rPr>
          <w:b/>
        </w:rPr>
      </w:pPr>
    </w:p>
    <w:p w:rsidR="00C14492" w:rsidRPr="006D2BE6" w:rsidRDefault="00C14492" w:rsidP="00C14492">
      <w:pPr>
        <w:spacing w:line="257" w:lineRule="exact"/>
        <w:rPr>
          <w:i/>
          <w:iCs/>
          <w:color w:val="FF0000"/>
          <w:u w:val="single"/>
        </w:rPr>
      </w:pPr>
      <w:r w:rsidRPr="006D2BE6">
        <w:rPr>
          <w:i/>
          <w:iCs/>
          <w:color w:val="FF0000"/>
          <w:u w:val="single"/>
        </w:rPr>
        <w:t>Odpověď k dotazu č.4:</w:t>
      </w:r>
    </w:p>
    <w:p w:rsidR="00C14492" w:rsidRDefault="00C14492" w:rsidP="0026260E">
      <w:pPr>
        <w:spacing w:line="276" w:lineRule="auto"/>
        <w:jc w:val="both"/>
        <w:rPr>
          <w:i/>
          <w:iCs/>
          <w:color w:val="FF0000"/>
        </w:rPr>
      </w:pPr>
      <w:r w:rsidRPr="00703896">
        <w:rPr>
          <w:i/>
          <w:iCs/>
          <w:color w:val="FF0000"/>
        </w:rPr>
        <w:t xml:space="preserve">Zadavatel </w:t>
      </w:r>
      <w:r>
        <w:rPr>
          <w:i/>
          <w:iCs/>
          <w:color w:val="FF0000"/>
        </w:rPr>
        <w:t>uvádí, že n</w:t>
      </w:r>
      <w:r w:rsidRPr="00160486">
        <w:rPr>
          <w:i/>
          <w:iCs/>
          <w:color w:val="FF0000"/>
        </w:rPr>
        <w:t xml:space="preserve">avržený systém bude sloužit pouze pro </w:t>
      </w:r>
      <w:r w:rsidRPr="00C14492">
        <w:rPr>
          <w:i/>
          <w:iCs/>
          <w:color w:val="FF0000"/>
          <w:u w:val="single"/>
        </w:rPr>
        <w:t>údržbu střech nad 3.NP a 4.NP</w:t>
      </w:r>
      <w:r>
        <w:rPr>
          <w:i/>
          <w:iCs/>
          <w:color w:val="FF0000"/>
        </w:rPr>
        <w:t xml:space="preserve">. V souvislosti s tím byla položka č. 324 na listu </w:t>
      </w:r>
      <w:r w:rsidRPr="00A825A5">
        <w:rPr>
          <w:i/>
          <w:iCs/>
          <w:color w:val="FF0000"/>
        </w:rPr>
        <w:t>D.1.1_2 - ASŘ a SKŘ</w:t>
      </w:r>
      <w:r>
        <w:rPr>
          <w:i/>
          <w:iCs/>
          <w:color w:val="FF0000"/>
        </w:rPr>
        <w:t xml:space="preserve"> doplněna o příslušný popis a současně byl opraven </w:t>
      </w:r>
      <w:r w:rsidR="00E27E2D">
        <w:rPr>
          <w:i/>
          <w:iCs/>
          <w:color w:val="FF0000"/>
        </w:rPr>
        <w:t>popis zámečnického prvku (ZV13)</w:t>
      </w:r>
      <w:r>
        <w:rPr>
          <w:i/>
          <w:iCs/>
          <w:color w:val="FF0000"/>
        </w:rPr>
        <w:t>.</w:t>
      </w:r>
      <w:r w:rsidRPr="005D606A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Opravený</w:t>
      </w:r>
      <w:r w:rsidRPr="00A825A5">
        <w:rPr>
          <w:i/>
          <w:iCs/>
          <w:color w:val="FF0000"/>
        </w:rPr>
        <w:t xml:space="preserve"> výkaz výměr</w:t>
      </w:r>
      <w:r w:rsidR="00E27E2D">
        <w:rPr>
          <w:i/>
          <w:iCs/>
          <w:color w:val="FF0000"/>
        </w:rPr>
        <w:t xml:space="preserve"> a popis je</w:t>
      </w:r>
      <w:r w:rsidRPr="00A825A5">
        <w:rPr>
          <w:i/>
          <w:iCs/>
          <w:color w:val="FF0000"/>
        </w:rPr>
        <w:t xml:space="preserve"> přílohou tohoto vysvětlení.</w:t>
      </w:r>
    </w:p>
    <w:p w:rsidR="00C14492" w:rsidRDefault="00C14492" w:rsidP="00943383">
      <w:pPr>
        <w:spacing w:before="120" w:after="0"/>
        <w:jc w:val="both"/>
        <w:rPr>
          <w:b/>
        </w:rPr>
      </w:pPr>
    </w:p>
    <w:p w:rsidR="00C14492" w:rsidRDefault="00C14492" w:rsidP="00C14492">
      <w:pPr>
        <w:jc w:val="both"/>
        <w:rPr>
          <w:b/>
        </w:rPr>
      </w:pPr>
      <w:r w:rsidRPr="00993052">
        <w:rPr>
          <w:b/>
        </w:rPr>
        <w:t xml:space="preserve">Dotaz č. </w:t>
      </w:r>
      <w:r>
        <w:rPr>
          <w:b/>
        </w:rPr>
        <w:t>5</w:t>
      </w:r>
      <w:r w:rsidRPr="00993052">
        <w:rPr>
          <w:b/>
        </w:rPr>
        <w:t xml:space="preserve">) </w:t>
      </w:r>
    </w:p>
    <w:p w:rsidR="00C14492" w:rsidRDefault="00C14492" w:rsidP="00C14492">
      <w:pPr>
        <w:numPr>
          <w:ilvl w:val="0"/>
          <w:numId w:val="30"/>
        </w:numPr>
        <w:pBdr>
          <w:bottom w:val="single" w:sz="4" w:space="1" w:color="auto"/>
        </w:pBdr>
        <w:tabs>
          <w:tab w:val="left" w:pos="720"/>
        </w:tabs>
        <w:spacing w:after="0" w:line="251" w:lineRule="auto"/>
        <w:ind w:left="720" w:hanging="367"/>
        <w:rPr>
          <w:rFonts w:ascii="Arial" w:eastAsia="Arial" w:hAnsi="Arial"/>
        </w:rPr>
      </w:pPr>
      <w:r>
        <w:rPr>
          <w:rFonts w:ascii="Arial" w:eastAsia="Arial" w:hAnsi="Arial"/>
        </w:rPr>
        <w:t>Žádáme zadavatele o doplnění měrných jednotek v soupisu prací VON.1 – Vedlejší a ostatní rozpočtové náklady.</w:t>
      </w:r>
    </w:p>
    <w:p w:rsidR="00C14492" w:rsidRDefault="00C14492" w:rsidP="00943383">
      <w:pPr>
        <w:spacing w:before="120" w:after="0"/>
        <w:jc w:val="both"/>
        <w:rPr>
          <w:b/>
        </w:rPr>
      </w:pPr>
    </w:p>
    <w:p w:rsidR="00C14492" w:rsidRPr="006D2BE6" w:rsidRDefault="00C14492" w:rsidP="00C14492">
      <w:pPr>
        <w:spacing w:line="257" w:lineRule="exact"/>
        <w:rPr>
          <w:i/>
          <w:iCs/>
          <w:color w:val="FF0000"/>
          <w:u w:val="single"/>
        </w:rPr>
      </w:pPr>
      <w:r w:rsidRPr="006D2BE6">
        <w:rPr>
          <w:i/>
          <w:iCs/>
          <w:color w:val="FF0000"/>
          <w:u w:val="single"/>
        </w:rPr>
        <w:t>Odpověď k dotazu č.5:</w:t>
      </w:r>
    </w:p>
    <w:p w:rsidR="00C14492" w:rsidRDefault="00C14492" w:rsidP="0026260E">
      <w:pPr>
        <w:spacing w:line="276" w:lineRule="auto"/>
        <w:jc w:val="both"/>
        <w:rPr>
          <w:rFonts w:ascii="Times New Roman" w:eastAsia="Times New Roman" w:hAnsi="Times New Roman"/>
        </w:rPr>
      </w:pPr>
      <w:r w:rsidRPr="00703896">
        <w:rPr>
          <w:i/>
          <w:iCs/>
          <w:color w:val="FF0000"/>
        </w:rPr>
        <w:t xml:space="preserve">Zadavatel potvrzuje, že </w:t>
      </w:r>
      <w:r>
        <w:rPr>
          <w:i/>
          <w:iCs/>
          <w:color w:val="FF0000"/>
        </w:rPr>
        <w:t xml:space="preserve">měrné jednotky na listu </w:t>
      </w:r>
      <w:r w:rsidRPr="00160486">
        <w:rPr>
          <w:i/>
          <w:iCs/>
          <w:color w:val="FF0000"/>
        </w:rPr>
        <w:t>VON.1 - Vedlejší a ostatní rozpočtové náklady</w:t>
      </w:r>
      <w:r>
        <w:rPr>
          <w:i/>
          <w:iCs/>
          <w:color w:val="FF0000"/>
        </w:rPr>
        <w:t xml:space="preserve"> chybí a budou doplněny. </w:t>
      </w:r>
      <w:r w:rsidRPr="00407686">
        <w:rPr>
          <w:i/>
          <w:iCs/>
          <w:color w:val="FF0000"/>
        </w:rPr>
        <w:t xml:space="preserve">Soubor </w:t>
      </w:r>
      <w:r w:rsidR="00101F93">
        <w:rPr>
          <w:i/>
          <w:iCs/>
          <w:color w:val="FF0000"/>
        </w:rPr>
        <w:t xml:space="preserve">nákladů a </w:t>
      </w:r>
      <w:r w:rsidRPr="00407686">
        <w:rPr>
          <w:i/>
          <w:iCs/>
          <w:color w:val="FF0000"/>
        </w:rPr>
        <w:t>opatření musí vždy zahrnovat vše potřebné a související, dle volby každého uchazeče individuálně dle vlastních možností, předpokladů a zkušeností.</w:t>
      </w:r>
    </w:p>
    <w:p w:rsidR="00C14492" w:rsidRDefault="00C14492" w:rsidP="00943383">
      <w:pPr>
        <w:spacing w:before="120" w:after="0"/>
        <w:jc w:val="both"/>
        <w:rPr>
          <w:b/>
        </w:rPr>
      </w:pPr>
    </w:p>
    <w:p w:rsidR="001D291C" w:rsidRDefault="001D291C" w:rsidP="001D291C">
      <w:pPr>
        <w:spacing w:after="0" w:line="240" w:lineRule="auto"/>
        <w:ind w:left="-567"/>
        <w:jc w:val="both"/>
        <w:rPr>
          <w:rFonts w:cstheme="minorHAnsi"/>
          <w:b/>
        </w:rPr>
      </w:pPr>
      <w:r w:rsidRPr="00C01FB1">
        <w:rPr>
          <w:rFonts w:cstheme="minorHAnsi"/>
          <w:b/>
        </w:rPr>
        <w:t xml:space="preserve">Na základě výše uvedeného zadavatel prodlužuje lhůtu pro podání nabídek, a to do </w:t>
      </w:r>
      <w:r>
        <w:rPr>
          <w:rFonts w:cstheme="minorHAnsi"/>
          <w:b/>
        </w:rPr>
        <w:t>13</w:t>
      </w:r>
      <w:r w:rsidRPr="00C01FB1">
        <w:rPr>
          <w:rFonts w:cstheme="minorHAnsi"/>
          <w:b/>
        </w:rPr>
        <w:t>.5.2024 do 10:00.</w:t>
      </w:r>
      <w:r w:rsidRPr="00D878B1">
        <w:rPr>
          <w:rFonts w:cstheme="minorHAnsi"/>
          <w:b/>
        </w:rPr>
        <w:t xml:space="preserve"> </w:t>
      </w:r>
    </w:p>
    <w:p w:rsidR="001D291C" w:rsidRPr="00D878B1" w:rsidRDefault="001D291C" w:rsidP="001D291C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1D291C" w:rsidRPr="005B49E3" w:rsidRDefault="001D291C" w:rsidP="001D291C">
      <w:pPr>
        <w:spacing w:after="0" w:line="240" w:lineRule="auto"/>
        <w:jc w:val="both"/>
        <w:rPr>
          <w:rFonts w:cstheme="minorHAnsi"/>
          <w:b/>
          <w:highlight w:val="yellow"/>
        </w:rPr>
      </w:pPr>
    </w:p>
    <w:p w:rsidR="001D291C" w:rsidRPr="00BD67B5" w:rsidRDefault="001D291C" w:rsidP="001D291C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:rsidR="001D291C" w:rsidRDefault="001D291C" w:rsidP="001D291C">
      <w:pPr>
        <w:spacing w:after="0" w:line="240" w:lineRule="auto"/>
        <w:ind w:left="-567"/>
        <w:jc w:val="both"/>
        <w:rPr>
          <w:rFonts w:cstheme="minorHAnsi"/>
        </w:rPr>
      </w:pPr>
    </w:p>
    <w:p w:rsidR="001D291C" w:rsidRDefault="001D291C" w:rsidP="001D291C">
      <w:pPr>
        <w:spacing w:after="0" w:line="240" w:lineRule="auto"/>
        <w:ind w:left="-567"/>
        <w:jc w:val="both"/>
        <w:rPr>
          <w:rFonts w:cstheme="minorHAnsi"/>
        </w:rPr>
      </w:pPr>
      <w:r w:rsidRPr="00B16DE5">
        <w:rPr>
          <w:rFonts w:cstheme="minorHAnsi"/>
        </w:rPr>
        <w:t xml:space="preserve">Příloha č. </w:t>
      </w:r>
      <w:proofErr w:type="gramStart"/>
      <w:r w:rsidRPr="00B16DE5">
        <w:rPr>
          <w:rFonts w:cstheme="minorHAnsi"/>
        </w:rPr>
        <w:t>3a - výkaz</w:t>
      </w:r>
      <w:proofErr w:type="gramEnd"/>
      <w:r w:rsidRPr="00B16DE5">
        <w:rPr>
          <w:rFonts w:cstheme="minorHAnsi"/>
        </w:rPr>
        <w:t xml:space="preserve"> výměr</w:t>
      </w:r>
      <w:r>
        <w:rPr>
          <w:rFonts w:cstheme="minorHAnsi"/>
        </w:rPr>
        <w:t xml:space="preserve"> (12</w:t>
      </w:r>
      <w:r>
        <w:rPr>
          <w:rFonts w:cstheme="minorHAnsi"/>
        </w:rPr>
        <w:t>0</w:t>
      </w:r>
      <w:r>
        <w:rPr>
          <w:rFonts w:cstheme="minorHAnsi"/>
        </w:rPr>
        <w:t>4</w:t>
      </w:r>
      <w:r>
        <w:rPr>
          <w:rFonts w:cstheme="minorHAnsi"/>
        </w:rPr>
        <w:t>24)</w:t>
      </w:r>
    </w:p>
    <w:p w:rsidR="001D291C" w:rsidRDefault="001D291C" w:rsidP="001D291C">
      <w:pPr>
        <w:spacing w:after="0" w:line="240" w:lineRule="auto"/>
        <w:ind w:left="-567"/>
        <w:jc w:val="both"/>
        <w:rPr>
          <w:rFonts w:cstheme="minorHAnsi"/>
        </w:rPr>
      </w:pPr>
      <w:r w:rsidRPr="00B16DE5">
        <w:rPr>
          <w:rFonts w:cstheme="minorHAnsi"/>
        </w:rPr>
        <w:t xml:space="preserve">Příloha č. </w:t>
      </w:r>
      <w:proofErr w:type="gramStart"/>
      <w:r w:rsidRPr="00B16DE5">
        <w:rPr>
          <w:rFonts w:cstheme="minorHAnsi"/>
        </w:rPr>
        <w:t>3</w:t>
      </w:r>
      <w:r>
        <w:rPr>
          <w:rFonts w:cstheme="minorHAnsi"/>
        </w:rPr>
        <w:t>b</w:t>
      </w:r>
      <w:r w:rsidRPr="00B16DE5">
        <w:rPr>
          <w:rFonts w:cstheme="minorHAnsi"/>
        </w:rPr>
        <w:t xml:space="preserve"> - výkaz</w:t>
      </w:r>
      <w:proofErr w:type="gramEnd"/>
      <w:r w:rsidRPr="00B16DE5">
        <w:rPr>
          <w:rFonts w:cstheme="minorHAnsi"/>
        </w:rPr>
        <w:t xml:space="preserve"> výměr</w:t>
      </w:r>
      <w:r>
        <w:rPr>
          <w:rFonts w:cstheme="minorHAnsi"/>
        </w:rPr>
        <w:t xml:space="preserve"> (</w:t>
      </w:r>
      <w:r>
        <w:rPr>
          <w:rFonts w:cstheme="minorHAnsi"/>
        </w:rPr>
        <w:t>12</w:t>
      </w:r>
      <w:r>
        <w:rPr>
          <w:rFonts w:cstheme="minorHAnsi"/>
        </w:rPr>
        <w:t>0</w:t>
      </w:r>
      <w:r>
        <w:rPr>
          <w:rFonts w:cstheme="minorHAnsi"/>
        </w:rPr>
        <w:t>4</w:t>
      </w:r>
      <w:r>
        <w:rPr>
          <w:rFonts w:cstheme="minorHAnsi"/>
        </w:rPr>
        <w:t>24)</w:t>
      </w:r>
    </w:p>
    <w:p w:rsidR="00593C2B" w:rsidRPr="001D291C" w:rsidRDefault="001D291C" w:rsidP="001D291C">
      <w:pPr>
        <w:spacing w:after="0" w:line="240" w:lineRule="auto"/>
        <w:ind w:left="-567"/>
        <w:jc w:val="both"/>
        <w:rPr>
          <w:rFonts w:cstheme="minorHAnsi"/>
        </w:rPr>
      </w:pPr>
      <w:bookmarkStart w:id="6" w:name="_GoBack"/>
      <w:bookmarkEnd w:id="6"/>
      <w:r w:rsidRPr="001D291C">
        <w:rPr>
          <w:rFonts w:cstheme="minorHAnsi"/>
        </w:rPr>
        <w:t>Zámečnické_vyrobky_6</w:t>
      </w:r>
    </w:p>
    <w:p w:rsidR="00101F93" w:rsidRPr="0057231D" w:rsidRDefault="00101F93" w:rsidP="00943383">
      <w:pPr>
        <w:spacing w:before="120" w:after="0"/>
        <w:jc w:val="both"/>
        <w:rPr>
          <w:b/>
        </w:rPr>
      </w:pPr>
    </w:p>
    <w:bookmarkEnd w:id="1"/>
    <w:p w:rsidR="00FE20A5" w:rsidRPr="00097BF6" w:rsidRDefault="00FE20A5" w:rsidP="00097BF6"/>
    <w:p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1"/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0"/>
  </w:num>
  <w:num w:numId="16">
    <w:abstractNumId w:val="1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7"/>
  </w:num>
  <w:num w:numId="22">
    <w:abstractNumId w:val="12"/>
  </w:num>
  <w:num w:numId="23">
    <w:abstractNumId w:val="5"/>
  </w:num>
  <w:num w:numId="24">
    <w:abstractNumId w:val="15"/>
  </w:num>
  <w:num w:numId="25">
    <w:abstractNumId w:val="25"/>
  </w:num>
  <w:num w:numId="26">
    <w:abstractNumId w:val="4"/>
  </w:num>
  <w:num w:numId="27">
    <w:abstractNumId w:val="22"/>
  </w:num>
  <w:num w:numId="28">
    <w:abstractNumId w:val="20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7E4F"/>
    <w:rsid w:val="0007380D"/>
    <w:rsid w:val="00092847"/>
    <w:rsid w:val="00095CC4"/>
    <w:rsid w:val="00097BF6"/>
    <w:rsid w:val="000A231A"/>
    <w:rsid w:val="000C2B94"/>
    <w:rsid w:val="000F63A8"/>
    <w:rsid w:val="00101F93"/>
    <w:rsid w:val="001113C3"/>
    <w:rsid w:val="00122458"/>
    <w:rsid w:val="00122948"/>
    <w:rsid w:val="00137D8B"/>
    <w:rsid w:val="00142D40"/>
    <w:rsid w:val="00145C25"/>
    <w:rsid w:val="001518E8"/>
    <w:rsid w:val="001B6FBA"/>
    <w:rsid w:val="001C49E1"/>
    <w:rsid w:val="001D291C"/>
    <w:rsid w:val="001D5FCD"/>
    <w:rsid w:val="001E4DA3"/>
    <w:rsid w:val="00211B5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323F7B"/>
    <w:rsid w:val="0032742D"/>
    <w:rsid w:val="00340233"/>
    <w:rsid w:val="003811A8"/>
    <w:rsid w:val="0039369F"/>
    <w:rsid w:val="00395682"/>
    <w:rsid w:val="003A04B2"/>
    <w:rsid w:val="003C0F31"/>
    <w:rsid w:val="003C6B88"/>
    <w:rsid w:val="003D1416"/>
    <w:rsid w:val="003D54BE"/>
    <w:rsid w:val="00403212"/>
    <w:rsid w:val="00420EEE"/>
    <w:rsid w:val="004306EF"/>
    <w:rsid w:val="00435B34"/>
    <w:rsid w:val="00451B7C"/>
    <w:rsid w:val="004745C6"/>
    <w:rsid w:val="00476488"/>
    <w:rsid w:val="004926D9"/>
    <w:rsid w:val="00513310"/>
    <w:rsid w:val="005167C1"/>
    <w:rsid w:val="00530765"/>
    <w:rsid w:val="005312B3"/>
    <w:rsid w:val="00533469"/>
    <w:rsid w:val="0057231D"/>
    <w:rsid w:val="00593C2B"/>
    <w:rsid w:val="005A1002"/>
    <w:rsid w:val="005B7FC4"/>
    <w:rsid w:val="005E2F50"/>
    <w:rsid w:val="00611A16"/>
    <w:rsid w:val="006742D3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549B8"/>
    <w:rsid w:val="00790291"/>
    <w:rsid w:val="007975C0"/>
    <w:rsid w:val="007C1443"/>
    <w:rsid w:val="007D37E9"/>
    <w:rsid w:val="007D4309"/>
    <w:rsid w:val="007E0149"/>
    <w:rsid w:val="007F76E1"/>
    <w:rsid w:val="0082193B"/>
    <w:rsid w:val="00827341"/>
    <w:rsid w:val="00831DE2"/>
    <w:rsid w:val="0083589D"/>
    <w:rsid w:val="00846D8E"/>
    <w:rsid w:val="00847A2A"/>
    <w:rsid w:val="00862B29"/>
    <w:rsid w:val="00896BFF"/>
    <w:rsid w:val="008B4BA4"/>
    <w:rsid w:val="008B6E95"/>
    <w:rsid w:val="008C46C5"/>
    <w:rsid w:val="008D7AC1"/>
    <w:rsid w:val="008E365A"/>
    <w:rsid w:val="008F37AE"/>
    <w:rsid w:val="00903A60"/>
    <w:rsid w:val="00915012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A165A7"/>
    <w:rsid w:val="00A20A06"/>
    <w:rsid w:val="00A2300F"/>
    <w:rsid w:val="00A357DB"/>
    <w:rsid w:val="00AB0D02"/>
    <w:rsid w:val="00AB2493"/>
    <w:rsid w:val="00AB68D3"/>
    <w:rsid w:val="00AC61A7"/>
    <w:rsid w:val="00B1175A"/>
    <w:rsid w:val="00B31AA0"/>
    <w:rsid w:val="00B338AF"/>
    <w:rsid w:val="00B36E79"/>
    <w:rsid w:val="00B47D22"/>
    <w:rsid w:val="00B5098A"/>
    <w:rsid w:val="00B52E88"/>
    <w:rsid w:val="00B85D3B"/>
    <w:rsid w:val="00B93A48"/>
    <w:rsid w:val="00BA1BC7"/>
    <w:rsid w:val="00BA2DCB"/>
    <w:rsid w:val="00BA4979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86DD5"/>
    <w:rsid w:val="00CA2ACD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68BF"/>
    <w:rsid w:val="00CF74A1"/>
    <w:rsid w:val="00D044EE"/>
    <w:rsid w:val="00D07B94"/>
    <w:rsid w:val="00D1483C"/>
    <w:rsid w:val="00D279FF"/>
    <w:rsid w:val="00D32132"/>
    <w:rsid w:val="00D72997"/>
    <w:rsid w:val="00D87E5D"/>
    <w:rsid w:val="00DA367D"/>
    <w:rsid w:val="00DD0296"/>
    <w:rsid w:val="00DD02C9"/>
    <w:rsid w:val="00DF4687"/>
    <w:rsid w:val="00DF5C8D"/>
    <w:rsid w:val="00E27E2D"/>
    <w:rsid w:val="00E559AE"/>
    <w:rsid w:val="00E74C79"/>
    <w:rsid w:val="00E85181"/>
    <w:rsid w:val="00EB689B"/>
    <w:rsid w:val="00EC7A11"/>
    <w:rsid w:val="00EE6CE3"/>
    <w:rsid w:val="00EF1EEB"/>
    <w:rsid w:val="00F86453"/>
    <w:rsid w:val="00F917DA"/>
    <w:rsid w:val="00F96C9A"/>
    <w:rsid w:val="00F97BAE"/>
    <w:rsid w:val="00FB651A"/>
    <w:rsid w:val="00FC3035"/>
    <w:rsid w:val="00FD261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509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EBC8F-7A51-4B7B-8BB9-F6BE41CF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934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56</cp:revision>
  <cp:lastPrinted>2024-04-04T08:01:00Z</cp:lastPrinted>
  <dcterms:created xsi:type="dcterms:W3CDTF">2024-03-26T12:15:00Z</dcterms:created>
  <dcterms:modified xsi:type="dcterms:W3CDTF">2024-04-12T12:57:00Z</dcterms:modified>
</cp:coreProperties>
</file>