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60" w:rsidRPr="00451B7C" w:rsidRDefault="007708D7" w:rsidP="00903A60">
      <w:pPr>
        <w:spacing w:after="120" w:line="240" w:lineRule="auto"/>
        <w:ind w:left="-567"/>
        <w:rPr>
          <w:rFonts w:ascii="Calibri" w:hAnsi="Calibri"/>
          <w:color w:val="1D1D1B"/>
        </w:rPr>
      </w:pPr>
      <w:bookmarkStart w:id="0" w:name="_Hlk157418717"/>
      <w:bookmarkEnd w:id="0"/>
      <w:r>
        <w:rPr>
          <w:rFonts w:ascii="Calibri" w:hAnsi="Calibri"/>
          <w:color w:val="1D1D1B"/>
        </w:rPr>
        <w:t xml:space="preserve"> </w:t>
      </w:r>
      <w:r w:rsidR="00903A60" w:rsidRPr="00451B7C">
        <w:rPr>
          <w:rFonts w:ascii="Calibri" w:hAnsi="Calibri"/>
          <w:color w:val="1D1D1B"/>
        </w:rPr>
        <w:t xml:space="preserve">V Olomouci </w:t>
      </w:r>
      <w:r w:rsidR="00672C00">
        <w:rPr>
          <w:rFonts w:ascii="Calibri" w:hAnsi="Calibri"/>
          <w:color w:val="1D1D1B"/>
        </w:rPr>
        <w:t>2</w:t>
      </w:r>
      <w:r w:rsidR="0048784D">
        <w:rPr>
          <w:rFonts w:ascii="Calibri" w:hAnsi="Calibri"/>
          <w:color w:val="1D1D1B"/>
        </w:rPr>
        <w:t>5</w:t>
      </w:r>
      <w:r w:rsidR="00903A60" w:rsidRPr="00451B7C">
        <w:rPr>
          <w:rFonts w:ascii="Calibri" w:hAnsi="Calibri"/>
          <w:color w:val="1D1D1B"/>
        </w:rPr>
        <w:t>.</w:t>
      </w:r>
      <w:r w:rsidR="00FE20A5">
        <w:rPr>
          <w:rFonts w:ascii="Calibri" w:hAnsi="Calibri"/>
          <w:color w:val="1D1D1B"/>
        </w:rPr>
        <w:t>4</w:t>
      </w:r>
      <w:r w:rsidR="00903A60" w:rsidRPr="00451B7C">
        <w:rPr>
          <w:rFonts w:ascii="Calibri" w:hAnsi="Calibri"/>
          <w:color w:val="1D1D1B"/>
        </w:rPr>
        <w:t>.2024</w:t>
      </w:r>
    </w:p>
    <w:p w:rsidR="00903A60" w:rsidRPr="00451B7C" w:rsidRDefault="00903A60" w:rsidP="00903A60">
      <w:pPr>
        <w:spacing w:after="0" w:line="240" w:lineRule="auto"/>
        <w:ind w:left="-567"/>
        <w:rPr>
          <w:rFonts w:ascii="Calibri" w:hAnsi="Calibri"/>
          <w:color w:val="1D1D1B"/>
        </w:rPr>
      </w:pP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Zadavatel:</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Fakultní nemocnice Olomouc</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Zdravotníků 248/7</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779 00 Olomouc</w:t>
      </w:r>
    </w:p>
    <w:p w:rsidR="00903A60" w:rsidRPr="00451B7C" w:rsidRDefault="00903A60" w:rsidP="00903A60">
      <w:pPr>
        <w:spacing w:after="120" w:line="240" w:lineRule="auto"/>
        <w:ind w:left="-567"/>
        <w:jc w:val="both"/>
        <w:rPr>
          <w:rFonts w:ascii="Calibri" w:hAnsi="Calibri"/>
          <w:b/>
          <w:color w:val="1D1D1B"/>
        </w:rPr>
      </w:pPr>
    </w:p>
    <w:p w:rsidR="00C14492" w:rsidRDefault="00903A60" w:rsidP="00127647">
      <w:pPr>
        <w:spacing w:after="0" w:line="240" w:lineRule="auto"/>
        <w:ind w:left="-567"/>
        <w:jc w:val="both"/>
        <w:rPr>
          <w:rFonts w:cstheme="minorHAnsi"/>
          <w:b/>
          <w:color w:val="1D1D1B"/>
          <w:u w:val="single"/>
        </w:rPr>
      </w:pPr>
      <w:r w:rsidRPr="00451B7C">
        <w:rPr>
          <w:rFonts w:cstheme="minorHAnsi"/>
          <w:b/>
          <w:color w:val="1D1D1B"/>
          <w:u w:val="single"/>
        </w:rPr>
        <w:t>Vysvětlení zadávací dokumentace č.</w:t>
      </w:r>
      <w:r w:rsidRPr="00777920">
        <w:rPr>
          <w:rFonts w:cstheme="minorHAnsi"/>
          <w:b/>
          <w:u w:val="single"/>
        </w:rPr>
        <w:t xml:space="preserve"> </w:t>
      </w:r>
      <w:r w:rsidR="005F16D7" w:rsidRPr="00777920">
        <w:rPr>
          <w:rFonts w:cstheme="minorHAnsi"/>
          <w:b/>
          <w:u w:val="single"/>
        </w:rPr>
        <w:t>6</w:t>
      </w:r>
      <w:r w:rsidRPr="00777920">
        <w:rPr>
          <w:rFonts w:cstheme="minorHAnsi"/>
          <w:b/>
          <w:u w:val="single"/>
        </w:rPr>
        <w:t xml:space="preserve"> </w:t>
      </w:r>
      <w:r w:rsidRPr="00451B7C">
        <w:rPr>
          <w:rFonts w:cstheme="minorHAnsi"/>
          <w:b/>
          <w:color w:val="1D1D1B"/>
          <w:u w:val="single"/>
        </w:rPr>
        <w:t>k veřejné zakázce s názvem „</w:t>
      </w:r>
      <w:r w:rsidRPr="00451B7C">
        <w:rPr>
          <w:rFonts w:cstheme="minorHAnsi"/>
          <w:b/>
          <w:u w:val="single"/>
        </w:rPr>
        <w:t>NOVOSTAVBA BUDOVY P4</w:t>
      </w:r>
      <w:r w:rsidRPr="00451B7C">
        <w:rPr>
          <w:rFonts w:cstheme="minorHAnsi"/>
          <w:b/>
          <w:color w:val="1D1D1B"/>
          <w:u w:val="single"/>
        </w:rPr>
        <w:t>“</w:t>
      </w:r>
      <w:bookmarkStart w:id="1" w:name="_Hlk163040518"/>
    </w:p>
    <w:p w:rsidR="00127647" w:rsidRDefault="00127647" w:rsidP="00127647">
      <w:pPr>
        <w:spacing w:after="0" w:line="240" w:lineRule="auto"/>
        <w:ind w:left="-567"/>
        <w:jc w:val="both"/>
        <w:rPr>
          <w:rFonts w:cstheme="minorHAnsi"/>
          <w:b/>
          <w:color w:val="1D1D1B"/>
          <w:u w:val="single"/>
        </w:rPr>
      </w:pPr>
    </w:p>
    <w:p w:rsidR="00127647" w:rsidRPr="00127647" w:rsidRDefault="00127647" w:rsidP="00127647">
      <w:pPr>
        <w:spacing w:after="0" w:line="240" w:lineRule="auto"/>
        <w:ind w:left="-567"/>
        <w:jc w:val="both"/>
        <w:rPr>
          <w:rFonts w:cstheme="minorHAnsi"/>
          <w:color w:val="1D1D1B"/>
        </w:rPr>
      </w:pPr>
      <w:r w:rsidRPr="00127647">
        <w:rPr>
          <w:rFonts w:cstheme="minorHAnsi"/>
          <w:color w:val="1D1D1B"/>
        </w:rPr>
        <w:t>Zadavatel provedl následující změny v zadávacích podmínkách a na základě toho upravil zadávací dokumentaci.</w:t>
      </w:r>
    </w:p>
    <w:p w:rsidR="00127647" w:rsidRDefault="00127647" w:rsidP="00127647">
      <w:pPr>
        <w:spacing w:after="0" w:line="240" w:lineRule="auto"/>
        <w:ind w:left="-567"/>
        <w:jc w:val="both"/>
        <w:rPr>
          <w:rFonts w:cstheme="minorHAnsi"/>
          <w:b/>
          <w:color w:val="1D1D1B"/>
          <w:u w:val="single"/>
        </w:rPr>
      </w:pPr>
    </w:p>
    <w:p w:rsidR="00127647" w:rsidRDefault="00127647" w:rsidP="00127647">
      <w:pPr>
        <w:spacing w:after="0" w:line="240" w:lineRule="auto"/>
        <w:ind w:left="-567"/>
        <w:jc w:val="both"/>
        <w:rPr>
          <w:rFonts w:cstheme="minorHAnsi"/>
          <w:b/>
          <w:color w:val="1D1D1B"/>
          <w:u w:val="single"/>
        </w:rPr>
      </w:pPr>
      <w:r>
        <w:rPr>
          <w:rFonts w:cstheme="minorHAnsi"/>
          <w:b/>
          <w:color w:val="1D1D1B"/>
          <w:u w:val="single"/>
        </w:rPr>
        <w:t>Kvalifikace</w:t>
      </w:r>
    </w:p>
    <w:p w:rsidR="00127647" w:rsidRDefault="00127647" w:rsidP="00127647">
      <w:pPr>
        <w:spacing w:after="0" w:line="240" w:lineRule="auto"/>
        <w:ind w:left="-567"/>
        <w:jc w:val="both"/>
        <w:rPr>
          <w:rFonts w:cstheme="minorHAnsi"/>
          <w:b/>
          <w:color w:val="1D1D1B"/>
          <w:u w:val="single"/>
        </w:rPr>
      </w:pPr>
    </w:p>
    <w:p w:rsidR="00127647" w:rsidRDefault="00127647" w:rsidP="00127647">
      <w:pPr>
        <w:spacing w:after="0" w:line="240" w:lineRule="auto"/>
        <w:ind w:left="-567"/>
        <w:jc w:val="both"/>
        <w:rPr>
          <w:rFonts w:cstheme="minorHAnsi"/>
          <w:b/>
          <w:color w:val="1D1D1B"/>
          <w:u w:val="single"/>
        </w:rPr>
      </w:pPr>
      <w:r>
        <w:rPr>
          <w:rFonts w:cstheme="minorHAnsi"/>
          <w:b/>
          <w:color w:val="1D1D1B"/>
          <w:u w:val="single"/>
        </w:rPr>
        <w:t>Zadavatel upravil podmínky technické kvalifikace následovně:</w:t>
      </w:r>
    </w:p>
    <w:p w:rsidR="00127647" w:rsidRDefault="00127647" w:rsidP="00127647">
      <w:pPr>
        <w:spacing w:after="0" w:line="240" w:lineRule="auto"/>
        <w:jc w:val="both"/>
        <w:rPr>
          <w:rFonts w:cstheme="minorHAnsi"/>
          <w:b/>
          <w:color w:val="1D1D1B"/>
          <w:u w:val="single"/>
        </w:rPr>
      </w:pPr>
    </w:p>
    <w:p w:rsidR="00777920" w:rsidRPr="009F0FBD" w:rsidRDefault="00777920" w:rsidP="00777920">
      <w:pPr>
        <w:spacing w:before="120" w:after="0"/>
        <w:jc w:val="both"/>
        <w:rPr>
          <w:rFonts w:cs="Calibri"/>
          <w:b/>
          <w:color w:val="000000"/>
        </w:rPr>
      </w:pPr>
      <w:bookmarkStart w:id="2" w:name="_Hlk164751681"/>
      <w:r>
        <w:rPr>
          <w:rFonts w:cs="Calibri"/>
          <w:b/>
          <w:color w:val="000000"/>
        </w:rPr>
        <w:t>12</w:t>
      </w:r>
      <w:r w:rsidRPr="009F0FBD">
        <w:rPr>
          <w:rFonts w:cs="Calibri"/>
          <w:b/>
          <w:color w:val="000000"/>
        </w:rPr>
        <w:t xml:space="preserve">.3. </w:t>
      </w:r>
      <w:r w:rsidRPr="009F0FBD">
        <w:rPr>
          <w:b/>
        </w:rPr>
        <w:t xml:space="preserve">Technická </w:t>
      </w:r>
      <w:r>
        <w:rPr>
          <w:b/>
        </w:rPr>
        <w:t>kvalifikace</w:t>
      </w:r>
    </w:p>
    <w:p w:rsidR="00777920" w:rsidRPr="009F0FBD" w:rsidRDefault="00777920" w:rsidP="00777920">
      <w:pPr>
        <w:spacing w:after="0"/>
        <w:jc w:val="both"/>
      </w:pPr>
      <w:r w:rsidRPr="009F0FBD">
        <w:t>Splnění technických kvalifikačních kritérií prokáže dodavatel, který:</w:t>
      </w:r>
    </w:p>
    <w:p w:rsidR="00777920" w:rsidRPr="009F0FBD" w:rsidRDefault="00777920" w:rsidP="00777920">
      <w:pPr>
        <w:spacing w:after="0" w:line="276" w:lineRule="auto"/>
        <w:jc w:val="both"/>
      </w:pPr>
    </w:p>
    <w:p w:rsidR="00777920" w:rsidRPr="00777920" w:rsidRDefault="00777920" w:rsidP="00777920">
      <w:pPr>
        <w:widowControl w:val="0"/>
        <w:spacing w:line="276" w:lineRule="auto"/>
        <w:jc w:val="both"/>
      </w:pPr>
      <w:r w:rsidRPr="00777920">
        <w:rPr>
          <w:b/>
        </w:rPr>
        <w:t>Dle § 79 odst. 2 písm. a)</w:t>
      </w:r>
      <w:r w:rsidRPr="00777920">
        <w:t xml:space="preserve"> ZZVZ předloží seznam významných stavebních prací poskytnutých za posledních 8 let před zahájením zadávacího řízení</w:t>
      </w:r>
      <w:r w:rsidRPr="00777920">
        <w:rPr>
          <w:b/>
        </w:rPr>
        <w:t xml:space="preserve">, </w:t>
      </w:r>
      <w:r w:rsidRPr="00777920">
        <w:t>a to včetně osvědčení objednatele o řádném poskytnutí a dokončení těchto prací:</w:t>
      </w:r>
    </w:p>
    <w:p w:rsidR="00777920" w:rsidRPr="00777920" w:rsidRDefault="00777920" w:rsidP="00777920">
      <w:pPr>
        <w:widowControl w:val="0"/>
        <w:spacing w:line="276" w:lineRule="auto"/>
        <w:jc w:val="both"/>
      </w:pPr>
      <w:r w:rsidRPr="00777920">
        <w:t>Z předloženého seznamu významných stavebních prací a jeho příloh musí vyplývat, že dodavatel v posledních 8 letech před zahájením zadávacího řízení realizoval tyto stavební práce:</w:t>
      </w:r>
    </w:p>
    <w:p w:rsidR="00777920" w:rsidRPr="00777920" w:rsidRDefault="00777920" w:rsidP="00777920">
      <w:pPr>
        <w:pStyle w:val="Odstavecseseznamem"/>
        <w:numPr>
          <w:ilvl w:val="0"/>
          <w:numId w:val="35"/>
        </w:numPr>
        <w:spacing w:before="240" w:after="0" w:line="360" w:lineRule="auto"/>
        <w:ind w:left="426" w:hanging="426"/>
        <w:jc w:val="both"/>
        <w:rPr>
          <w:rFonts w:cstheme="minorHAnsi"/>
        </w:rPr>
      </w:pPr>
      <w:r w:rsidRPr="00777920">
        <w:rPr>
          <w:rFonts w:cstheme="minorHAnsi"/>
        </w:rPr>
        <w:t xml:space="preserve">Minimálně dvě (2) dokončené realizace stavebních zakázek, jejichž předmětem byla novostavba, rekonstrukce nebo přístavba objektu určeného pro zdravotnictví dle platné klasifikace staveb CZ–CC </w:t>
      </w:r>
      <w:r w:rsidRPr="00777920">
        <w:rPr>
          <w:rFonts w:eastAsia="Calibri" w:cstheme="minorHAnsi"/>
        </w:rPr>
        <w:t>1264 (Budovy pro zdravotnictví)</w:t>
      </w:r>
      <w:r w:rsidRPr="00777920">
        <w:rPr>
          <w:rFonts w:cstheme="minorHAnsi"/>
        </w:rPr>
        <w:t xml:space="preserve">, s minimálními finančními náklady ve výši 100 mil. Kč bez DPH </w:t>
      </w:r>
      <w:bookmarkStart w:id="3" w:name="_Hlk153362063"/>
      <w:r w:rsidRPr="00777920">
        <w:rPr>
          <w:rFonts w:cstheme="minorHAnsi"/>
        </w:rPr>
        <w:t>za každou realizaci.</w:t>
      </w:r>
      <w:bookmarkEnd w:id="3"/>
    </w:p>
    <w:p w:rsidR="00777920" w:rsidRPr="00777920" w:rsidRDefault="00777920" w:rsidP="00777920">
      <w:pPr>
        <w:pStyle w:val="Odstavecseseznamem"/>
        <w:numPr>
          <w:ilvl w:val="0"/>
          <w:numId w:val="35"/>
        </w:numPr>
        <w:spacing w:before="240" w:after="0" w:line="360" w:lineRule="auto"/>
        <w:ind w:left="425" w:hanging="425"/>
        <w:contextualSpacing w:val="0"/>
        <w:jc w:val="both"/>
        <w:rPr>
          <w:rFonts w:cstheme="minorHAnsi"/>
        </w:rPr>
      </w:pPr>
      <w:r w:rsidRPr="00777920">
        <w:rPr>
          <w:rFonts w:cstheme="minorHAnsi"/>
        </w:rPr>
        <w:t xml:space="preserve">Minimálně jedna dokončená realizace stavební zakázky, jejíž součástí předmětu plnění bylo vybudování denního stacionáře s osazeným vzduchotechnickým potrubím s integrovanými HEPA filtry a vybaveným minimálně 10 ks elektricky polohovatelnými lůžky nebo křesly, na kterých je podávána cytostatická léčba. Mohlo se jednat i o rekonstrukci či modernizaci stávajících prostor, avšak tyto prostory musely následně splňovat výše uvedené požadavky na vybavení prostoru stacionáře. </w:t>
      </w:r>
    </w:p>
    <w:p w:rsidR="00777920" w:rsidRPr="00777920" w:rsidRDefault="00777920" w:rsidP="00777920">
      <w:pPr>
        <w:pStyle w:val="Odstavecseseznamem"/>
        <w:numPr>
          <w:ilvl w:val="0"/>
          <w:numId w:val="35"/>
        </w:numPr>
        <w:spacing w:before="240" w:after="0" w:line="360" w:lineRule="auto"/>
        <w:ind w:left="425" w:hanging="425"/>
        <w:contextualSpacing w:val="0"/>
        <w:jc w:val="both"/>
        <w:rPr>
          <w:rFonts w:cstheme="minorHAnsi"/>
        </w:rPr>
      </w:pPr>
      <w:r w:rsidRPr="00777920">
        <w:rPr>
          <w:rFonts w:cstheme="minorHAnsi"/>
        </w:rPr>
        <w:t xml:space="preserve">Minimálně jedna (1) dokončená realizace stavební zakázky, jejíž předmětem byla novostavba nebo rekonstrukce objektu dle platné klasifikace staveb CZ-CC SEKCE 1 (Budovy), kde součástí předmětu díla bylo provedení stropní konstrukce z ocelových spřažených nosníků DELTA v kombinaci s dutinovými panely SPIROLL, tvořící stropní </w:t>
      </w:r>
      <w:proofErr w:type="spellStart"/>
      <w:r w:rsidRPr="00777920">
        <w:rPr>
          <w:rFonts w:cstheme="minorHAnsi"/>
        </w:rPr>
        <w:t>bezprůvlakový</w:t>
      </w:r>
      <w:proofErr w:type="spellEnd"/>
      <w:r w:rsidRPr="00777920">
        <w:rPr>
          <w:rFonts w:cstheme="minorHAnsi"/>
        </w:rPr>
        <w:t xml:space="preserve"> systém. Minimální celková realizovaná délka DELTA spřažených nosníků je 400 m.</w:t>
      </w:r>
    </w:p>
    <w:p w:rsidR="00777920" w:rsidRPr="00777920" w:rsidRDefault="00777920" w:rsidP="00777920">
      <w:pPr>
        <w:pStyle w:val="Odstavecseseznamem"/>
        <w:numPr>
          <w:ilvl w:val="0"/>
          <w:numId w:val="35"/>
        </w:numPr>
        <w:spacing w:before="240" w:after="0" w:line="360" w:lineRule="auto"/>
        <w:ind w:left="426" w:hanging="426"/>
        <w:jc w:val="both"/>
        <w:rPr>
          <w:rFonts w:cstheme="minorHAnsi"/>
        </w:rPr>
      </w:pPr>
      <w:r w:rsidRPr="00777920">
        <w:rPr>
          <w:rFonts w:cstheme="minorHAnsi"/>
        </w:rPr>
        <w:lastRenderedPageBreak/>
        <w:t xml:space="preserve">Minimálně jedna (1) dokončená realizace stavební zakázky dle platné klasifikace staveb </w:t>
      </w:r>
      <w:bookmarkStart w:id="4" w:name="_Hlk153362033"/>
      <w:r w:rsidRPr="00777920">
        <w:rPr>
          <w:rFonts w:cstheme="minorHAnsi"/>
        </w:rPr>
        <w:t xml:space="preserve">CZ-CC 12 </w:t>
      </w:r>
      <w:bookmarkEnd w:id="4"/>
      <w:r w:rsidRPr="00777920">
        <w:rPr>
          <w:rFonts w:cstheme="minorHAnsi"/>
        </w:rPr>
        <w:t>(Budovy nebytové), ve finančním objemu min. 100 mil. Kč bez DPH, která byla realizována jako energeticky úsporná klasifikační třídy „A“.</w:t>
      </w:r>
    </w:p>
    <w:p w:rsidR="00777920" w:rsidRPr="00777920" w:rsidRDefault="00777920" w:rsidP="00777920">
      <w:pPr>
        <w:pStyle w:val="Odstavecseseznamem"/>
        <w:jc w:val="both"/>
        <w:rPr>
          <w:rFonts w:cstheme="minorHAnsi"/>
        </w:rPr>
      </w:pPr>
    </w:p>
    <w:p w:rsidR="00777920" w:rsidRPr="00777920" w:rsidRDefault="00777920" w:rsidP="00777920">
      <w:pPr>
        <w:pStyle w:val="Odstavecseseznamem"/>
        <w:numPr>
          <w:ilvl w:val="0"/>
          <w:numId w:val="35"/>
        </w:numPr>
        <w:spacing w:before="240" w:after="0" w:line="360" w:lineRule="auto"/>
        <w:ind w:left="426" w:hanging="426"/>
        <w:jc w:val="both"/>
        <w:rPr>
          <w:rFonts w:cstheme="minorHAnsi"/>
        </w:rPr>
      </w:pPr>
      <w:bookmarkStart w:id="5" w:name="_Hlk158714400"/>
      <w:r w:rsidRPr="00777920">
        <w:rPr>
          <w:rFonts w:cstheme="minorHAnsi"/>
        </w:rPr>
        <w:t>Minimálně jedna (1) dokončená realizace stavební zakázky dle platné klasifikace staveb CZ-CC 12 (Budovy nebytové), ve finančním objemu min. 100 mil. Kč bez DPH, která byla certifikována jednou z níže uvedených metod a jejich požadovaných úrovních:</w:t>
      </w:r>
    </w:p>
    <w:bookmarkEnd w:id="5"/>
    <w:p w:rsidR="00777920" w:rsidRPr="00777920" w:rsidRDefault="00777920" w:rsidP="00777920">
      <w:pPr>
        <w:pStyle w:val="Odstavecseseznamem"/>
        <w:spacing w:before="240" w:line="360" w:lineRule="auto"/>
        <w:ind w:left="426"/>
        <w:jc w:val="both"/>
        <w:rPr>
          <w:rFonts w:cstheme="minorHAnsi"/>
          <w:u w:val="single"/>
        </w:rPr>
      </w:pPr>
      <w:r w:rsidRPr="00777920">
        <w:rPr>
          <w:rFonts w:cstheme="minorHAnsi"/>
          <w:u w:val="single"/>
        </w:rPr>
        <w:t>Způsob prokázání splnění kvalifikačního předpokladu písm. e) - metody certifikace:</w:t>
      </w:r>
    </w:p>
    <w:p w:rsidR="00777920" w:rsidRPr="00777920" w:rsidRDefault="00777920" w:rsidP="00777920">
      <w:pPr>
        <w:pStyle w:val="Odstavecseseznamem"/>
        <w:numPr>
          <w:ilvl w:val="0"/>
          <w:numId w:val="36"/>
        </w:numPr>
        <w:spacing w:before="240" w:after="0" w:line="360" w:lineRule="auto"/>
        <w:ind w:left="425" w:hanging="357"/>
        <w:contextualSpacing w:val="0"/>
        <w:jc w:val="both"/>
        <w:rPr>
          <w:rFonts w:cstheme="minorHAnsi"/>
          <w:b/>
        </w:rPr>
      </w:pPr>
      <w:r w:rsidRPr="00777920">
        <w:rPr>
          <w:rFonts w:cstheme="minorHAnsi"/>
          <w:b/>
        </w:rPr>
        <w:t>BREEAM (</w:t>
      </w:r>
      <w:proofErr w:type="spellStart"/>
      <w:r w:rsidRPr="00777920">
        <w:rPr>
          <w:rFonts w:cstheme="minorHAnsi"/>
          <w:b/>
        </w:rPr>
        <w:t>Building</w:t>
      </w:r>
      <w:proofErr w:type="spellEnd"/>
      <w:r w:rsidRPr="00777920">
        <w:rPr>
          <w:rFonts w:cstheme="minorHAnsi"/>
          <w:b/>
        </w:rPr>
        <w:t xml:space="preserve"> </w:t>
      </w:r>
      <w:proofErr w:type="spellStart"/>
      <w:r w:rsidRPr="00777920">
        <w:rPr>
          <w:rFonts w:cstheme="minorHAnsi"/>
          <w:b/>
        </w:rPr>
        <w:t>Research</w:t>
      </w:r>
      <w:proofErr w:type="spellEnd"/>
      <w:r w:rsidRPr="00777920">
        <w:rPr>
          <w:rFonts w:cstheme="minorHAnsi"/>
          <w:b/>
        </w:rPr>
        <w:t xml:space="preserve"> Establishment </w:t>
      </w:r>
      <w:proofErr w:type="spellStart"/>
      <w:r w:rsidRPr="00777920">
        <w:rPr>
          <w:rFonts w:cstheme="minorHAnsi"/>
          <w:b/>
        </w:rPr>
        <w:t>Environmental</w:t>
      </w:r>
      <w:proofErr w:type="spellEnd"/>
      <w:r w:rsidRPr="00777920">
        <w:rPr>
          <w:rFonts w:cstheme="minorHAnsi"/>
          <w:b/>
        </w:rPr>
        <w:t xml:space="preserve"> </w:t>
      </w:r>
      <w:proofErr w:type="spellStart"/>
      <w:r w:rsidRPr="00777920">
        <w:rPr>
          <w:rFonts w:cstheme="minorHAnsi"/>
          <w:b/>
        </w:rPr>
        <w:t>Assessment</w:t>
      </w:r>
      <w:proofErr w:type="spellEnd"/>
      <w:r w:rsidRPr="00777920">
        <w:rPr>
          <w:rFonts w:cstheme="minorHAnsi"/>
          <w:b/>
        </w:rPr>
        <w:t xml:space="preserve"> </w:t>
      </w:r>
      <w:proofErr w:type="spellStart"/>
      <w:r w:rsidRPr="00777920">
        <w:rPr>
          <w:rFonts w:cstheme="minorHAnsi"/>
          <w:b/>
        </w:rPr>
        <w:t>Method</w:t>
      </w:r>
      <w:proofErr w:type="spellEnd"/>
      <w:r w:rsidRPr="00777920">
        <w:rPr>
          <w:rFonts w:cstheme="minorHAnsi"/>
          <w:b/>
        </w:rPr>
        <w:t>)</w:t>
      </w:r>
    </w:p>
    <w:p w:rsidR="00777920" w:rsidRPr="00777920" w:rsidRDefault="00777920" w:rsidP="00777920">
      <w:pPr>
        <w:pStyle w:val="Odstavecseseznamem"/>
        <w:spacing w:before="240" w:line="360" w:lineRule="auto"/>
        <w:ind w:left="426"/>
        <w:jc w:val="both"/>
        <w:rPr>
          <w:rFonts w:cstheme="minorHAnsi"/>
        </w:rPr>
      </w:pPr>
      <w:r w:rsidRPr="00777920">
        <w:rPr>
          <w:rFonts w:cstheme="minorHAnsi"/>
        </w:rPr>
        <w:t xml:space="preserve">- BREEAM International New </w:t>
      </w:r>
      <w:proofErr w:type="spellStart"/>
      <w:r w:rsidRPr="00777920">
        <w:rPr>
          <w:rFonts w:cstheme="minorHAnsi"/>
        </w:rPr>
        <w:t>Construction</w:t>
      </w:r>
      <w:proofErr w:type="spellEnd"/>
      <w:r w:rsidRPr="00777920">
        <w:rPr>
          <w:rFonts w:cstheme="minorHAnsi"/>
        </w:rPr>
        <w:t xml:space="preserve"> (BINC)</w:t>
      </w:r>
    </w:p>
    <w:p w:rsidR="00777920" w:rsidRPr="00777920" w:rsidRDefault="00777920" w:rsidP="00777920">
      <w:pPr>
        <w:pStyle w:val="Odstavecseseznamem"/>
        <w:spacing w:before="240" w:line="360" w:lineRule="auto"/>
        <w:ind w:left="426"/>
        <w:jc w:val="both"/>
        <w:rPr>
          <w:rFonts w:cstheme="minorHAnsi"/>
        </w:rPr>
      </w:pPr>
      <w:r w:rsidRPr="00777920">
        <w:rPr>
          <w:rFonts w:cstheme="minorHAnsi"/>
        </w:rPr>
        <w:t>- BREEAM In-Use (BIU)</w:t>
      </w:r>
    </w:p>
    <w:p w:rsidR="00777920" w:rsidRPr="00777920" w:rsidRDefault="00777920" w:rsidP="00777920">
      <w:pPr>
        <w:pStyle w:val="Odstavecseseznamem"/>
        <w:spacing w:before="240" w:line="360" w:lineRule="auto"/>
        <w:ind w:left="709"/>
        <w:jc w:val="both"/>
        <w:rPr>
          <w:rFonts w:cstheme="minorHAnsi"/>
        </w:rPr>
      </w:pPr>
      <w:r w:rsidRPr="00777920">
        <w:rPr>
          <w:rFonts w:cstheme="minorHAnsi"/>
        </w:rPr>
        <w:t>•</w:t>
      </w:r>
      <w:r w:rsidRPr="00777920">
        <w:rPr>
          <w:rFonts w:cstheme="minorHAnsi"/>
        </w:rPr>
        <w:tab/>
      </w:r>
      <w:proofErr w:type="spellStart"/>
      <w:r w:rsidRPr="00777920">
        <w:rPr>
          <w:rFonts w:cstheme="minorHAnsi"/>
        </w:rPr>
        <w:t>Excellent</w:t>
      </w:r>
      <w:proofErr w:type="spellEnd"/>
      <w:r w:rsidRPr="00777920">
        <w:rPr>
          <w:rFonts w:cstheme="minorHAnsi"/>
        </w:rPr>
        <w:t xml:space="preserve"> ≥ 70 %</w:t>
      </w:r>
    </w:p>
    <w:p w:rsidR="00777920" w:rsidRPr="00777920" w:rsidRDefault="00777920" w:rsidP="00777920">
      <w:pPr>
        <w:pStyle w:val="Odstavecseseznamem"/>
        <w:spacing w:before="240" w:line="360" w:lineRule="auto"/>
        <w:ind w:left="709"/>
        <w:jc w:val="both"/>
        <w:rPr>
          <w:rFonts w:cstheme="minorHAnsi"/>
        </w:rPr>
      </w:pPr>
      <w:r w:rsidRPr="00777920">
        <w:rPr>
          <w:rFonts w:cstheme="minorHAnsi"/>
        </w:rPr>
        <w:t>•</w:t>
      </w:r>
      <w:r w:rsidRPr="00777920">
        <w:rPr>
          <w:rFonts w:cstheme="minorHAnsi"/>
        </w:rPr>
        <w:tab/>
      </w:r>
      <w:proofErr w:type="spellStart"/>
      <w:r w:rsidRPr="00777920">
        <w:rPr>
          <w:rFonts w:cstheme="minorHAnsi"/>
        </w:rPr>
        <w:t>Outstanding</w:t>
      </w:r>
      <w:proofErr w:type="spellEnd"/>
      <w:r w:rsidRPr="00777920">
        <w:rPr>
          <w:rFonts w:cstheme="minorHAnsi"/>
        </w:rPr>
        <w:t xml:space="preserve"> ≥ 85 %</w:t>
      </w:r>
    </w:p>
    <w:p w:rsidR="00777920" w:rsidRPr="00777920" w:rsidRDefault="00777920" w:rsidP="00777920">
      <w:pPr>
        <w:pStyle w:val="Odstavecseseznamem"/>
        <w:numPr>
          <w:ilvl w:val="0"/>
          <w:numId w:val="36"/>
        </w:numPr>
        <w:spacing w:before="120" w:after="0" w:line="360" w:lineRule="auto"/>
        <w:ind w:left="425" w:hanging="357"/>
        <w:contextualSpacing w:val="0"/>
        <w:jc w:val="both"/>
        <w:rPr>
          <w:rFonts w:cstheme="minorHAnsi"/>
          <w:b/>
        </w:rPr>
      </w:pPr>
      <w:r w:rsidRPr="00777920">
        <w:rPr>
          <w:rFonts w:cstheme="minorHAnsi"/>
          <w:b/>
        </w:rPr>
        <w:t>LEED (</w:t>
      </w:r>
      <w:proofErr w:type="spellStart"/>
      <w:r w:rsidRPr="00777920">
        <w:rPr>
          <w:rFonts w:cstheme="minorHAnsi"/>
          <w:b/>
        </w:rPr>
        <w:t>Leadership</w:t>
      </w:r>
      <w:proofErr w:type="spellEnd"/>
      <w:r w:rsidRPr="00777920">
        <w:rPr>
          <w:rFonts w:cstheme="minorHAnsi"/>
          <w:b/>
        </w:rPr>
        <w:t xml:space="preserve"> in </w:t>
      </w:r>
      <w:proofErr w:type="spellStart"/>
      <w:r w:rsidRPr="00777920">
        <w:rPr>
          <w:rFonts w:cstheme="minorHAnsi"/>
          <w:b/>
        </w:rPr>
        <w:t>Energy</w:t>
      </w:r>
      <w:proofErr w:type="spellEnd"/>
      <w:r w:rsidRPr="00777920">
        <w:rPr>
          <w:rFonts w:cstheme="minorHAnsi"/>
          <w:b/>
        </w:rPr>
        <w:t xml:space="preserve"> and </w:t>
      </w:r>
      <w:proofErr w:type="spellStart"/>
      <w:r w:rsidRPr="00777920">
        <w:rPr>
          <w:rFonts w:cstheme="minorHAnsi"/>
          <w:b/>
        </w:rPr>
        <w:t>Environmental</w:t>
      </w:r>
      <w:proofErr w:type="spellEnd"/>
      <w:r w:rsidRPr="00777920">
        <w:rPr>
          <w:rFonts w:cstheme="minorHAnsi"/>
          <w:b/>
        </w:rPr>
        <w:t xml:space="preserve"> Design)</w:t>
      </w:r>
    </w:p>
    <w:p w:rsidR="00777920" w:rsidRPr="00777920" w:rsidRDefault="00777920" w:rsidP="00777920">
      <w:pPr>
        <w:pStyle w:val="Odstavecseseznamem"/>
        <w:spacing w:before="240" w:line="360" w:lineRule="auto"/>
        <w:ind w:left="851"/>
        <w:jc w:val="both"/>
        <w:rPr>
          <w:rFonts w:cstheme="minorHAnsi"/>
        </w:rPr>
      </w:pPr>
      <w:r w:rsidRPr="00777920">
        <w:rPr>
          <w:rFonts w:cstheme="minorHAnsi"/>
        </w:rPr>
        <w:t>•</w:t>
      </w:r>
      <w:r w:rsidRPr="00777920">
        <w:rPr>
          <w:rFonts w:cstheme="minorHAnsi"/>
        </w:rPr>
        <w:tab/>
        <w:t>Gold (60–79 bodů)</w:t>
      </w:r>
    </w:p>
    <w:p w:rsidR="00777920" w:rsidRPr="00777920" w:rsidRDefault="00777920" w:rsidP="00777920">
      <w:pPr>
        <w:pStyle w:val="Odstavecseseznamem"/>
        <w:spacing w:before="240" w:line="360" w:lineRule="auto"/>
        <w:ind w:left="851"/>
        <w:jc w:val="both"/>
        <w:rPr>
          <w:rFonts w:cstheme="minorHAnsi"/>
        </w:rPr>
      </w:pPr>
      <w:r w:rsidRPr="00777920">
        <w:rPr>
          <w:rFonts w:cstheme="minorHAnsi"/>
        </w:rPr>
        <w:t>•</w:t>
      </w:r>
      <w:r w:rsidRPr="00777920">
        <w:rPr>
          <w:rFonts w:cstheme="minorHAnsi"/>
        </w:rPr>
        <w:tab/>
      </w:r>
      <w:proofErr w:type="spellStart"/>
      <w:r w:rsidRPr="00777920">
        <w:rPr>
          <w:rFonts w:cstheme="minorHAnsi"/>
        </w:rPr>
        <w:t>Platinum</w:t>
      </w:r>
      <w:proofErr w:type="spellEnd"/>
      <w:r w:rsidRPr="00777920">
        <w:rPr>
          <w:rFonts w:cstheme="minorHAnsi"/>
        </w:rPr>
        <w:t xml:space="preserve"> (80 a více bodů)</w:t>
      </w:r>
    </w:p>
    <w:p w:rsidR="00777920" w:rsidRPr="00777920" w:rsidRDefault="00777920" w:rsidP="00777920">
      <w:pPr>
        <w:pStyle w:val="Odstavecseseznamem"/>
        <w:numPr>
          <w:ilvl w:val="0"/>
          <w:numId w:val="36"/>
        </w:numPr>
        <w:spacing w:before="120" w:after="0" w:line="360" w:lineRule="auto"/>
        <w:ind w:left="425" w:hanging="357"/>
        <w:contextualSpacing w:val="0"/>
        <w:jc w:val="both"/>
        <w:rPr>
          <w:rFonts w:cstheme="minorHAnsi"/>
          <w:b/>
        </w:rPr>
      </w:pPr>
      <w:proofErr w:type="spellStart"/>
      <w:r w:rsidRPr="00777920">
        <w:rPr>
          <w:rFonts w:cstheme="minorHAnsi"/>
          <w:b/>
        </w:rPr>
        <w:t>SBToolCZ</w:t>
      </w:r>
      <w:proofErr w:type="spellEnd"/>
    </w:p>
    <w:p w:rsidR="00777920" w:rsidRPr="00777920" w:rsidRDefault="00777920" w:rsidP="00777920">
      <w:pPr>
        <w:pStyle w:val="Odstavecseseznamem"/>
        <w:spacing w:before="240" w:line="360" w:lineRule="auto"/>
        <w:ind w:left="709"/>
        <w:jc w:val="both"/>
        <w:rPr>
          <w:rFonts w:cstheme="minorHAnsi"/>
        </w:rPr>
      </w:pPr>
      <w:r w:rsidRPr="00777920">
        <w:rPr>
          <w:rFonts w:cstheme="minorHAnsi"/>
        </w:rPr>
        <w:t>•</w:t>
      </w:r>
      <w:r w:rsidRPr="00777920">
        <w:rPr>
          <w:rFonts w:cstheme="minorHAnsi"/>
        </w:rPr>
        <w:tab/>
        <w:t>Stříbrný (6,0–7,9 bodů)</w:t>
      </w:r>
    </w:p>
    <w:p w:rsidR="00777920" w:rsidRPr="00777920" w:rsidRDefault="00777920" w:rsidP="00777920">
      <w:pPr>
        <w:pStyle w:val="Odstavecseseznamem"/>
        <w:spacing w:before="240" w:line="360" w:lineRule="auto"/>
        <w:ind w:left="709"/>
        <w:jc w:val="both"/>
        <w:rPr>
          <w:rFonts w:cstheme="minorHAnsi"/>
        </w:rPr>
      </w:pPr>
      <w:r w:rsidRPr="00777920">
        <w:rPr>
          <w:rFonts w:cstheme="minorHAnsi"/>
        </w:rPr>
        <w:t>•</w:t>
      </w:r>
      <w:r w:rsidRPr="00777920">
        <w:rPr>
          <w:rFonts w:cstheme="minorHAnsi"/>
        </w:rPr>
        <w:tab/>
        <w:t>Zlatý (8,0–10,0)</w:t>
      </w:r>
    </w:p>
    <w:p w:rsidR="00777920" w:rsidRPr="00777920" w:rsidRDefault="00777920" w:rsidP="00777920">
      <w:pPr>
        <w:widowControl w:val="0"/>
        <w:spacing w:line="276" w:lineRule="auto"/>
        <w:ind w:firstLine="708"/>
        <w:jc w:val="both"/>
        <w:rPr>
          <w:rFonts w:ascii="Calibri" w:hAnsi="Calibri" w:cs="Calibri"/>
        </w:rPr>
      </w:pPr>
      <w:r w:rsidRPr="00777920">
        <w:rPr>
          <w:rFonts w:ascii="Calibri" w:hAnsi="Calibri" w:cs="Calibri"/>
        </w:rPr>
        <w:t xml:space="preserve">Výše uvedená kritéria na referenční stavby mohou být plněna současně i v rámci jedné zakázky, která splňuje dané požadavky a obsahuje výše požadovaná plnění. Lze tedy předložit referenční zakázku jejíž součástí bylo plnění dle písm. a) a současně dle písm. b), c), d) nebo e) tj. například zakázku splňující podmínky dle písm. a) a současně dle písm. b) nebo zakázku splňující podmínky dle písm. a) a současně dle písm. c) nebo d) popř. v obdobných kombinacích. </w:t>
      </w:r>
      <w:r w:rsidRPr="00777920">
        <w:rPr>
          <w:rFonts w:ascii="Calibri" w:hAnsi="Calibri" w:cs="Calibri"/>
          <w:u w:val="single"/>
        </w:rPr>
        <w:t xml:space="preserve">Dodavatel však musí předložit vždy minimálně dvě (2) referenční zakázky, které plní požadavky dle písm. a). </w:t>
      </w:r>
      <w:r w:rsidRPr="00777920">
        <w:rPr>
          <w:rFonts w:ascii="Calibri" w:hAnsi="Calibri" w:cs="Calibri"/>
        </w:rPr>
        <w:t>Další zakázky, respektive požadované plnění, dle písm. b), c), d) nebo e) lze předložit jako součást zakázek dle písm. a) nebo i samostatnými zakázkami.</w:t>
      </w:r>
    </w:p>
    <w:p w:rsidR="00777920" w:rsidRPr="00777920" w:rsidRDefault="00777920" w:rsidP="00777920">
      <w:pPr>
        <w:widowControl w:val="0"/>
        <w:spacing w:after="0" w:line="276" w:lineRule="auto"/>
        <w:ind w:firstLine="708"/>
        <w:jc w:val="both"/>
        <w:rPr>
          <w:rFonts w:cs="Calibri"/>
        </w:rPr>
      </w:pPr>
      <w:r w:rsidRPr="00777920">
        <w:rPr>
          <w:rFonts w:cs="Calibri"/>
        </w:rPr>
        <w:t>Dodavatel prokáže splnění tohoto kvalifikačního předpokladu předložením seznamu významných stavebních prací formou čestného prohlášení podepsaného osobou oprávněnou jednat za dodavatele (dodavatel povinně využije vzor čestného prohlášení, který je uvedený v příloze č. 6 této zadávací dokumentace) a doložením osvědčení objednatelů o řádném plnění dle předchozího textu, z nichž bude patrné splnění shora vymezených podmínek a splnění minimální úrovně těchto kvalifikačních předpokladů (dále jen „osvědčení“); tato osvědčení musí dále obsahovat cenu, dobu a místo provádění stavebních prací a musí obsahovat údaj o tom, zda byly tyto stavební práce provedeny řádně a odborně. Jestliže relevantní informace prokazující požadavky zadavatele nebudou vyplývat z osvědčení objednatelů, je dodavatel povinen prokázat je jinými relevantními doklady – např. částí smlouvy o dílo, výňatkem z rozpočtu, dodatečným potvrzením objednatele vztahujícímu se ke konkrétnímu požadavku (např. emailem).</w:t>
      </w:r>
    </w:p>
    <w:p w:rsidR="00777920" w:rsidRPr="00777920" w:rsidRDefault="00777920" w:rsidP="00777920">
      <w:pPr>
        <w:widowControl w:val="0"/>
        <w:spacing w:line="276" w:lineRule="auto"/>
        <w:jc w:val="both"/>
      </w:pPr>
      <w:r w:rsidRPr="00777920">
        <w:rPr>
          <w:b/>
        </w:rPr>
        <w:lastRenderedPageBreak/>
        <w:t>Dle § 79 odst. 2 písm. c) a d)</w:t>
      </w:r>
      <w:r w:rsidRPr="00777920">
        <w:t xml:space="preserve"> ZZVZ předloží seznam techniků, kteří se budou podílet na plnění veřejné zakázky v níže uvedených pozicích a doloží jejich osvědčení o odborné kvalifikaci dodavatele:</w:t>
      </w:r>
    </w:p>
    <w:p w:rsidR="00777920" w:rsidRPr="00777920" w:rsidRDefault="00777920" w:rsidP="00777920">
      <w:pPr>
        <w:pStyle w:val="Bezmezer"/>
        <w:widowControl w:val="0"/>
        <w:spacing w:line="276" w:lineRule="auto"/>
        <w:jc w:val="both"/>
        <w:rPr>
          <w:rFonts w:asciiTheme="minorHAnsi" w:hAnsiTheme="minorHAnsi"/>
        </w:rPr>
      </w:pPr>
    </w:p>
    <w:p w:rsidR="00777920" w:rsidRPr="00777920" w:rsidRDefault="00777920" w:rsidP="00777920">
      <w:pPr>
        <w:pStyle w:val="Odstavecseseznamem"/>
        <w:numPr>
          <w:ilvl w:val="0"/>
          <w:numId w:val="33"/>
        </w:numPr>
        <w:spacing w:line="276" w:lineRule="auto"/>
        <w:jc w:val="both"/>
        <w:rPr>
          <w:rFonts w:cstheme="minorHAnsi"/>
          <w:u w:val="single"/>
        </w:rPr>
      </w:pPr>
      <w:r w:rsidRPr="00777920">
        <w:rPr>
          <w:rFonts w:cstheme="minorHAnsi"/>
          <w:u w:val="single"/>
        </w:rPr>
        <w:t>Vedoucí projektu</w:t>
      </w:r>
    </w:p>
    <w:p w:rsidR="00777920" w:rsidRPr="00777920" w:rsidRDefault="00777920" w:rsidP="00777920">
      <w:pPr>
        <w:pStyle w:val="Odstavecseseznamem"/>
        <w:numPr>
          <w:ilvl w:val="0"/>
          <w:numId w:val="31"/>
        </w:numPr>
        <w:spacing w:after="60" w:line="276" w:lineRule="auto"/>
        <w:jc w:val="both"/>
        <w:rPr>
          <w:rFonts w:eastAsia="Calibri" w:cstheme="minorHAnsi"/>
        </w:rPr>
      </w:pPr>
      <w:r w:rsidRPr="00777920">
        <w:rPr>
          <w:rFonts w:eastAsia="Calibri" w:cstheme="minorHAnsi"/>
        </w:rPr>
        <w:t xml:space="preserve">autorizovaný inženýr, technik nebo stavitel v oboru pozemní stavby (IP00, TP00, SP00) podle zákona č. 360/1992 Sb., </w:t>
      </w:r>
    </w:p>
    <w:p w:rsidR="00777920" w:rsidRPr="00777920" w:rsidRDefault="00777920" w:rsidP="00777920">
      <w:pPr>
        <w:pStyle w:val="Odstavecseseznamem"/>
        <w:numPr>
          <w:ilvl w:val="0"/>
          <w:numId w:val="31"/>
        </w:numPr>
        <w:spacing w:after="60" w:line="276" w:lineRule="auto"/>
        <w:jc w:val="both"/>
        <w:rPr>
          <w:rFonts w:eastAsia="Calibri" w:cstheme="minorHAnsi"/>
        </w:rPr>
      </w:pPr>
      <w:r w:rsidRPr="00777920">
        <w:rPr>
          <w:rFonts w:eastAsia="Calibri" w:cstheme="minorHAnsi"/>
        </w:rPr>
        <w:t>min. deset (10) let praxe při řízení realizace projektů pozemních staveb,</w:t>
      </w:r>
    </w:p>
    <w:p w:rsidR="00777920" w:rsidRPr="00777920" w:rsidRDefault="00777920" w:rsidP="00777920">
      <w:pPr>
        <w:pStyle w:val="Odstavecseseznamem"/>
        <w:numPr>
          <w:ilvl w:val="0"/>
          <w:numId w:val="31"/>
        </w:numPr>
        <w:spacing w:after="60" w:line="276" w:lineRule="auto"/>
        <w:jc w:val="both"/>
        <w:rPr>
          <w:rFonts w:eastAsia="Calibri" w:cstheme="minorHAnsi"/>
        </w:rPr>
      </w:pPr>
      <w:r w:rsidRPr="00777920">
        <w:rPr>
          <w:rFonts w:eastAsia="Calibri" w:cstheme="minorHAnsi"/>
        </w:rPr>
        <w:t>účast v obdobné funkci minimálně na dvou (2) dokončených realizacích stavebních zakázek, jejichž předmětem byla novostavba nebo přístavba objektu určeného pro zdravotnictví dle platné klasifikace staveb CZ–CC 1264 (Budovy pro zdravotnictví), s minimálními finančními náklady ve výši 100 mil. Kč bez DPH za každou realizaci.</w:t>
      </w:r>
    </w:p>
    <w:p w:rsidR="00777920" w:rsidRPr="00777920" w:rsidRDefault="00777920" w:rsidP="00777920">
      <w:pPr>
        <w:pStyle w:val="Odstavecseseznamem"/>
        <w:spacing w:after="60" w:line="276" w:lineRule="auto"/>
        <w:jc w:val="both"/>
        <w:rPr>
          <w:rFonts w:eastAsia="Calibri" w:cstheme="minorHAnsi"/>
        </w:rPr>
      </w:pPr>
    </w:p>
    <w:p w:rsidR="00777920" w:rsidRPr="00777920" w:rsidRDefault="00777920" w:rsidP="00777920">
      <w:pPr>
        <w:pStyle w:val="Odstavecseseznamem"/>
        <w:numPr>
          <w:ilvl w:val="0"/>
          <w:numId w:val="33"/>
        </w:numPr>
        <w:spacing w:line="276" w:lineRule="auto"/>
        <w:jc w:val="both"/>
        <w:rPr>
          <w:rFonts w:cstheme="minorHAnsi"/>
          <w:u w:val="single"/>
        </w:rPr>
      </w:pPr>
      <w:r w:rsidRPr="00777920">
        <w:rPr>
          <w:rFonts w:cstheme="minorHAnsi"/>
          <w:u w:val="single"/>
        </w:rPr>
        <w:t>Hlavní stavbyvedoucí</w:t>
      </w:r>
    </w:p>
    <w:p w:rsidR="00777920" w:rsidRPr="00777920" w:rsidRDefault="00777920" w:rsidP="00777920">
      <w:pPr>
        <w:pStyle w:val="Odstavecseseznamem"/>
        <w:numPr>
          <w:ilvl w:val="0"/>
          <w:numId w:val="37"/>
        </w:numPr>
        <w:spacing w:after="60" w:line="276" w:lineRule="auto"/>
        <w:jc w:val="both"/>
        <w:rPr>
          <w:rFonts w:eastAsia="Calibri" w:cstheme="minorHAnsi"/>
        </w:rPr>
      </w:pPr>
      <w:r w:rsidRPr="00777920">
        <w:rPr>
          <w:rFonts w:eastAsia="Calibri" w:cstheme="minorHAnsi"/>
        </w:rPr>
        <w:t>autorizovaný inženýr, technik nebo stavitel v oboru pozemní stavby (IP00, TP00 nebo SP00) podle zákona č. 360/1992 Sb.,</w:t>
      </w:r>
    </w:p>
    <w:p w:rsidR="00777920" w:rsidRPr="00777920" w:rsidRDefault="00777920" w:rsidP="00777920">
      <w:pPr>
        <w:pStyle w:val="Odstavecseseznamem"/>
        <w:numPr>
          <w:ilvl w:val="0"/>
          <w:numId w:val="37"/>
        </w:numPr>
        <w:spacing w:after="60" w:line="276" w:lineRule="auto"/>
        <w:jc w:val="both"/>
        <w:rPr>
          <w:rFonts w:eastAsia="Calibri" w:cstheme="minorHAnsi"/>
        </w:rPr>
      </w:pPr>
      <w:r w:rsidRPr="00777920">
        <w:rPr>
          <w:rFonts w:eastAsia="Calibri" w:cstheme="minorHAnsi"/>
        </w:rPr>
        <w:t>min. pět (5) let praxe s realizací pozemních staveb,</w:t>
      </w:r>
    </w:p>
    <w:p w:rsidR="00777920" w:rsidRPr="00777920" w:rsidRDefault="00777920" w:rsidP="00777920">
      <w:pPr>
        <w:pStyle w:val="Odstavecseseznamem"/>
        <w:numPr>
          <w:ilvl w:val="0"/>
          <w:numId w:val="37"/>
        </w:numPr>
        <w:spacing w:after="60" w:line="276" w:lineRule="auto"/>
        <w:jc w:val="both"/>
        <w:rPr>
          <w:rFonts w:eastAsia="Calibri" w:cstheme="minorHAnsi"/>
        </w:rPr>
      </w:pPr>
      <w:r w:rsidRPr="00777920">
        <w:rPr>
          <w:rFonts w:eastAsia="Calibri" w:cstheme="minorHAnsi"/>
        </w:rPr>
        <w:t>účast v obdobné funkci minimálně na dvou (2) dokončených realizacích stavebních zakázek, jejichž předmětem byla novostavba nebo přístavba objektu určeného pro zdravotnictví dle platné klasifikace staveb CZ–CC 1264 (Budovy pro zdravotnictví), s minimálními finančními náklady ve výši   50 mil. Kč bez DPH za každou realizaci.</w:t>
      </w:r>
    </w:p>
    <w:p w:rsidR="00777920" w:rsidRPr="00777920" w:rsidRDefault="00777920" w:rsidP="00777920">
      <w:pPr>
        <w:pStyle w:val="Odstavecseseznamem"/>
        <w:spacing w:line="276" w:lineRule="auto"/>
        <w:ind w:left="1440"/>
        <w:jc w:val="both"/>
        <w:rPr>
          <w:rFonts w:cstheme="minorHAnsi"/>
        </w:rPr>
      </w:pPr>
    </w:p>
    <w:p w:rsidR="00777920" w:rsidRPr="00777920" w:rsidRDefault="00777920" w:rsidP="00777920">
      <w:pPr>
        <w:pStyle w:val="Odstavecseseznamem"/>
        <w:numPr>
          <w:ilvl w:val="0"/>
          <w:numId w:val="33"/>
        </w:numPr>
        <w:spacing w:line="276" w:lineRule="auto"/>
        <w:jc w:val="both"/>
        <w:rPr>
          <w:rFonts w:cstheme="minorHAnsi"/>
          <w:u w:val="single"/>
        </w:rPr>
      </w:pPr>
      <w:r w:rsidRPr="00777920">
        <w:rPr>
          <w:rFonts w:cstheme="minorHAnsi"/>
          <w:u w:val="single"/>
        </w:rPr>
        <w:t>Specialista – energetik</w:t>
      </w:r>
    </w:p>
    <w:p w:rsidR="00777920" w:rsidRPr="00777920" w:rsidRDefault="00777920" w:rsidP="00777920">
      <w:pPr>
        <w:pStyle w:val="Odstavecseseznamem"/>
        <w:numPr>
          <w:ilvl w:val="0"/>
          <w:numId w:val="38"/>
        </w:numPr>
        <w:spacing w:after="60" w:line="276" w:lineRule="auto"/>
        <w:jc w:val="both"/>
        <w:rPr>
          <w:rFonts w:cstheme="minorHAnsi"/>
        </w:rPr>
      </w:pPr>
      <w:r w:rsidRPr="00777920">
        <w:rPr>
          <w:rFonts w:cstheme="minorHAnsi"/>
        </w:rPr>
        <w:t>min. pět (5) let praxe s realizací pozemních staveb,</w:t>
      </w:r>
    </w:p>
    <w:p w:rsidR="00777920" w:rsidRPr="00777920" w:rsidRDefault="00777920" w:rsidP="00777920">
      <w:pPr>
        <w:pStyle w:val="Odstavecseseznamem"/>
        <w:numPr>
          <w:ilvl w:val="0"/>
          <w:numId w:val="38"/>
        </w:numPr>
        <w:spacing w:after="60" w:line="276" w:lineRule="auto"/>
        <w:jc w:val="both"/>
        <w:rPr>
          <w:rFonts w:cstheme="minorHAnsi"/>
        </w:rPr>
      </w:pPr>
      <w:r w:rsidRPr="00777920">
        <w:rPr>
          <w:rFonts w:cstheme="minorHAnsi"/>
        </w:rPr>
        <w:t>účast v obdobné funkci na minimálně jedné (1) dokončené realizaci stavebního objektu dle platné klasifikace staveb CZ-CC 12 (Budovy nebytové), ve finančním objemu min. 100 mil. Kč bez DPH, která byla realizována jako energeticky úsporná klasifikační třídy „A“.</w:t>
      </w:r>
    </w:p>
    <w:p w:rsidR="00777920" w:rsidRPr="00777920" w:rsidRDefault="00777920" w:rsidP="00777920">
      <w:pPr>
        <w:pStyle w:val="Odstavecseseznamem"/>
        <w:spacing w:line="276" w:lineRule="auto"/>
        <w:ind w:left="786"/>
        <w:jc w:val="both"/>
        <w:rPr>
          <w:rFonts w:cstheme="minorHAnsi"/>
        </w:rPr>
      </w:pPr>
    </w:p>
    <w:p w:rsidR="00777920" w:rsidRPr="00777920" w:rsidRDefault="00777920" w:rsidP="00777920">
      <w:pPr>
        <w:pStyle w:val="Odstavecseseznamem"/>
        <w:numPr>
          <w:ilvl w:val="0"/>
          <w:numId w:val="33"/>
        </w:numPr>
        <w:spacing w:line="276" w:lineRule="auto"/>
        <w:jc w:val="both"/>
        <w:rPr>
          <w:rFonts w:cstheme="minorHAnsi"/>
          <w:u w:val="single"/>
        </w:rPr>
      </w:pPr>
      <w:r w:rsidRPr="00777920">
        <w:rPr>
          <w:rFonts w:cstheme="minorHAnsi"/>
          <w:u w:val="single"/>
        </w:rPr>
        <w:t>Specialista – statik</w:t>
      </w:r>
    </w:p>
    <w:p w:rsidR="00777920" w:rsidRPr="00777920" w:rsidRDefault="00777920" w:rsidP="00777920">
      <w:pPr>
        <w:pStyle w:val="Odstavecseseznamem"/>
        <w:numPr>
          <w:ilvl w:val="0"/>
          <w:numId w:val="34"/>
        </w:numPr>
        <w:spacing w:line="276" w:lineRule="auto"/>
        <w:jc w:val="both"/>
        <w:rPr>
          <w:rFonts w:cstheme="minorHAnsi"/>
        </w:rPr>
      </w:pPr>
      <w:r w:rsidRPr="00777920">
        <w:rPr>
          <w:rFonts w:cstheme="minorHAnsi"/>
        </w:rPr>
        <w:t xml:space="preserve">Autorizace pro obor statika a dynamika staveb (IS00) </w:t>
      </w:r>
      <w:r w:rsidRPr="00777920">
        <w:rPr>
          <w:rFonts w:eastAsia="DINCE-Medium" w:cstheme="minorHAnsi"/>
        </w:rPr>
        <w:t>podle zákona č. 360/1992 Sb.</w:t>
      </w:r>
    </w:p>
    <w:p w:rsidR="00777920" w:rsidRPr="00777920" w:rsidRDefault="00777920" w:rsidP="00777920">
      <w:pPr>
        <w:pStyle w:val="Odstavecseseznamem"/>
        <w:numPr>
          <w:ilvl w:val="0"/>
          <w:numId w:val="34"/>
        </w:numPr>
        <w:spacing w:line="276" w:lineRule="auto"/>
        <w:jc w:val="both"/>
        <w:rPr>
          <w:rFonts w:cstheme="minorHAnsi"/>
        </w:rPr>
      </w:pPr>
      <w:r w:rsidRPr="00777920">
        <w:t>Účast v obdobné funkci min. na 1 zakázce</w:t>
      </w:r>
      <w:r w:rsidRPr="00777920">
        <w:rPr>
          <w:rFonts w:cstheme="minorHAnsi"/>
        </w:rPr>
        <w:t xml:space="preserve"> – výstavba nebo rekonstrukce stavebního objektu dle platné klasifikace staveb CZ-CC SEKCE 1 (Budovy), ve finančním objemu minimálně 50 mil. Kč bez DPH. </w:t>
      </w:r>
    </w:p>
    <w:p w:rsidR="00777920" w:rsidRPr="005F16D7" w:rsidRDefault="00777920" w:rsidP="00777920">
      <w:pPr>
        <w:pStyle w:val="Odstavecseseznamem"/>
        <w:spacing w:line="276" w:lineRule="auto"/>
        <w:jc w:val="both"/>
        <w:rPr>
          <w:rFonts w:cstheme="minorHAnsi"/>
        </w:rPr>
      </w:pPr>
    </w:p>
    <w:p w:rsidR="00777920" w:rsidRPr="005F16D7" w:rsidRDefault="00777920" w:rsidP="00777920">
      <w:pPr>
        <w:pStyle w:val="Odstavecseseznamem"/>
        <w:numPr>
          <w:ilvl w:val="0"/>
          <w:numId w:val="33"/>
        </w:numPr>
        <w:spacing w:line="276" w:lineRule="auto"/>
        <w:jc w:val="both"/>
        <w:rPr>
          <w:rFonts w:cstheme="minorHAnsi"/>
          <w:u w:val="single"/>
        </w:rPr>
      </w:pPr>
      <w:r w:rsidRPr="005F16D7">
        <w:rPr>
          <w:rFonts w:cstheme="minorHAnsi"/>
          <w:u w:val="single"/>
        </w:rPr>
        <w:t>Specialista – TZB</w:t>
      </w:r>
    </w:p>
    <w:p w:rsidR="00777920" w:rsidRPr="005F16D7" w:rsidRDefault="00777920" w:rsidP="00777920">
      <w:pPr>
        <w:pStyle w:val="Odstavecseseznamem"/>
        <w:numPr>
          <w:ilvl w:val="0"/>
          <w:numId w:val="39"/>
        </w:numPr>
        <w:spacing w:after="60" w:line="276" w:lineRule="auto"/>
        <w:jc w:val="both"/>
        <w:rPr>
          <w:rFonts w:cstheme="minorHAnsi"/>
        </w:rPr>
      </w:pPr>
      <w:r w:rsidRPr="005F16D7">
        <w:rPr>
          <w:rFonts w:cstheme="minorHAnsi"/>
        </w:rPr>
        <w:t>autorizovaný inženýr nebo technik v oboru technika prostředí staveb nebo technologická zařízení staveb (IE00 nebo IT00, TT00) podle zákona č. 360/1992 Sb.,</w:t>
      </w:r>
    </w:p>
    <w:p w:rsidR="00777920" w:rsidRPr="005F16D7" w:rsidRDefault="00777920" w:rsidP="00777920">
      <w:pPr>
        <w:pStyle w:val="Odstavecseseznamem"/>
        <w:numPr>
          <w:ilvl w:val="0"/>
          <w:numId w:val="39"/>
        </w:numPr>
        <w:spacing w:after="60" w:line="276" w:lineRule="auto"/>
        <w:jc w:val="both"/>
        <w:rPr>
          <w:rFonts w:cstheme="minorHAnsi"/>
        </w:rPr>
      </w:pPr>
      <w:r w:rsidRPr="005F16D7">
        <w:rPr>
          <w:rFonts w:cstheme="minorHAnsi"/>
        </w:rPr>
        <w:t>min. pět (5) let praxe s realizací pozemních staveb,</w:t>
      </w:r>
    </w:p>
    <w:p w:rsidR="00777920" w:rsidRPr="005F16D7" w:rsidRDefault="00777920" w:rsidP="00777920">
      <w:pPr>
        <w:pStyle w:val="Odstavecseseznamem"/>
        <w:numPr>
          <w:ilvl w:val="0"/>
          <w:numId w:val="39"/>
        </w:numPr>
        <w:spacing w:after="60" w:line="276" w:lineRule="auto"/>
        <w:jc w:val="both"/>
        <w:rPr>
          <w:rFonts w:cstheme="minorHAnsi"/>
        </w:rPr>
      </w:pPr>
      <w:r w:rsidRPr="005F16D7">
        <w:rPr>
          <w:rFonts w:cstheme="minorHAnsi"/>
        </w:rPr>
        <w:t>účast v obdobné funkci min. na jedné (1) dokončené realizaci stavebního objektu určeného pro zdravotnictví dle platné klasifikace staveb CZ–CC 1264 (Budovy pro zdravotnictví), s minimálními finančními náklady ve výši 50 mil. Kč bez DPH.</w:t>
      </w:r>
    </w:p>
    <w:p w:rsidR="00777920" w:rsidRDefault="00777920" w:rsidP="00777920">
      <w:pPr>
        <w:pStyle w:val="Odstavecseseznamem"/>
        <w:spacing w:line="276" w:lineRule="auto"/>
        <w:ind w:left="786"/>
        <w:jc w:val="both"/>
        <w:rPr>
          <w:rFonts w:cstheme="minorHAnsi"/>
        </w:rPr>
      </w:pPr>
    </w:p>
    <w:p w:rsidR="00C249C1" w:rsidRDefault="00C249C1" w:rsidP="00C249C1">
      <w:pPr>
        <w:widowControl w:val="0"/>
        <w:spacing w:line="276" w:lineRule="auto"/>
        <w:jc w:val="both"/>
        <w:rPr>
          <w:rFonts w:ascii="Calibri" w:hAnsi="Calibri"/>
        </w:rPr>
      </w:pPr>
      <w:r>
        <w:rPr>
          <w:rFonts w:ascii="Calibri" w:hAnsi="Calibri"/>
        </w:rPr>
        <w:t xml:space="preserve">U referenčních staveb jednotlivých členů realizačního týmu bude zadavatel pro posuzování splnění podmínek aplikovat relevantní postupy uvedené v § 79 ZZVZ vztahující se ke stavebním </w:t>
      </w:r>
      <w:proofErr w:type="spellStart"/>
      <w:r>
        <w:rPr>
          <w:rFonts w:ascii="Calibri" w:hAnsi="Calibri"/>
        </w:rPr>
        <w:t>pracem</w:t>
      </w:r>
      <w:proofErr w:type="spellEnd"/>
      <w:r>
        <w:rPr>
          <w:rFonts w:ascii="Calibri" w:hAnsi="Calibri"/>
        </w:rPr>
        <w:t xml:space="preserve">. </w:t>
      </w:r>
    </w:p>
    <w:p w:rsidR="00C249C1" w:rsidRDefault="00C249C1" w:rsidP="00777920">
      <w:pPr>
        <w:widowControl w:val="0"/>
        <w:spacing w:line="276" w:lineRule="auto"/>
        <w:jc w:val="both"/>
        <w:rPr>
          <w:rFonts w:ascii="Calibri" w:hAnsi="Calibri"/>
        </w:rPr>
      </w:pPr>
    </w:p>
    <w:p w:rsidR="00777920" w:rsidRPr="009F0FBD" w:rsidRDefault="00777920" w:rsidP="00777920">
      <w:pPr>
        <w:widowControl w:val="0"/>
        <w:spacing w:line="276" w:lineRule="auto"/>
        <w:jc w:val="both"/>
        <w:rPr>
          <w:rFonts w:ascii="Calibri" w:hAnsi="Calibri"/>
        </w:rPr>
      </w:pPr>
      <w:r w:rsidRPr="009F0FBD">
        <w:rPr>
          <w:rFonts w:ascii="Calibri" w:hAnsi="Calibri"/>
        </w:rPr>
        <w:t>Dodavatel prokáže tento technický kvalifikační předpoklad, pokud předloží níže uvedené doklady prokazující splnění výše uvedených požadavků zadavatele:</w:t>
      </w:r>
    </w:p>
    <w:p w:rsidR="00777920" w:rsidRPr="009F0FBD" w:rsidRDefault="00777920" w:rsidP="00777920">
      <w:pPr>
        <w:pStyle w:val="Odstavecseseznamem"/>
        <w:widowControl w:val="0"/>
        <w:numPr>
          <w:ilvl w:val="0"/>
          <w:numId w:val="32"/>
        </w:numPr>
        <w:spacing w:after="60" w:line="276" w:lineRule="auto"/>
        <w:jc w:val="both"/>
        <w:rPr>
          <w:rFonts w:ascii="Calibri" w:hAnsi="Calibri"/>
        </w:rPr>
      </w:pPr>
      <w:r w:rsidRPr="009F0FBD">
        <w:rPr>
          <w:rFonts w:ascii="Calibri" w:hAnsi="Calibri"/>
          <w:b/>
        </w:rPr>
        <w:t xml:space="preserve">Čestné prohlášení se seznamem techniků, kteří se budou podílet na plnění veřejné zakázky v minimálním výše uvedeném složení, </w:t>
      </w:r>
      <w:r w:rsidRPr="009F0FBD">
        <w:rPr>
          <w:rFonts w:ascii="Calibri" w:hAnsi="Calibri"/>
        </w:rPr>
        <w:t>včetně uvedení, zda se jedná o zaměstnance dodavatele či osoby v jiném vztahu k dodavateli. Dodavatel povinně použije přílohu č. 5 této zadávací dokumentace (Příloha č.</w:t>
      </w:r>
      <w:r>
        <w:rPr>
          <w:rFonts w:ascii="Calibri" w:hAnsi="Calibri"/>
        </w:rPr>
        <w:t xml:space="preserve"> 5</w:t>
      </w:r>
      <w:r w:rsidRPr="009F0FBD">
        <w:rPr>
          <w:rFonts w:ascii="Calibri" w:hAnsi="Calibri"/>
        </w:rPr>
        <w:t xml:space="preserve"> – Čestné prohlášení realizačního týmu)</w:t>
      </w:r>
    </w:p>
    <w:p w:rsidR="0081761D" w:rsidRDefault="00777920" w:rsidP="0081761D">
      <w:pPr>
        <w:pStyle w:val="Odstavecseseznamem"/>
        <w:widowControl w:val="0"/>
        <w:numPr>
          <w:ilvl w:val="0"/>
          <w:numId w:val="32"/>
        </w:numPr>
        <w:spacing w:after="60" w:line="276" w:lineRule="auto"/>
        <w:jc w:val="both"/>
        <w:rPr>
          <w:rFonts w:ascii="Calibri" w:hAnsi="Calibri"/>
        </w:rPr>
      </w:pPr>
      <w:r w:rsidRPr="009F0FBD">
        <w:rPr>
          <w:rFonts w:ascii="Calibri" w:hAnsi="Calibri"/>
          <w:b/>
        </w:rPr>
        <w:t>Doklad</w:t>
      </w:r>
      <w:r>
        <w:rPr>
          <w:rFonts w:ascii="Calibri" w:hAnsi="Calibri"/>
          <w:b/>
        </w:rPr>
        <w:t>y</w:t>
      </w:r>
      <w:r w:rsidRPr="009F0FBD">
        <w:rPr>
          <w:rFonts w:ascii="Calibri" w:hAnsi="Calibri"/>
          <w:b/>
        </w:rPr>
        <w:t xml:space="preserve"> o odborné kvalifikaci osob</w:t>
      </w:r>
      <w:r w:rsidRPr="009F0FBD">
        <w:rPr>
          <w:rFonts w:ascii="Calibri" w:hAnsi="Calibri"/>
        </w:rPr>
        <w:t xml:space="preserve"> (certifikáty, oprávnění, autorizace</w:t>
      </w:r>
      <w:r>
        <w:rPr>
          <w:rFonts w:ascii="Calibri" w:hAnsi="Calibri"/>
        </w:rPr>
        <w:t xml:space="preserve"> apod.</w:t>
      </w:r>
      <w:r w:rsidRPr="009F0FBD">
        <w:rPr>
          <w:rFonts w:ascii="Calibri" w:hAnsi="Calibri"/>
        </w:rPr>
        <w:t>).</w:t>
      </w:r>
      <w:bookmarkEnd w:id="2"/>
    </w:p>
    <w:p w:rsidR="0081761D" w:rsidRDefault="0081761D" w:rsidP="0081761D">
      <w:pPr>
        <w:widowControl w:val="0"/>
        <w:spacing w:after="60" w:line="276" w:lineRule="auto"/>
        <w:jc w:val="both"/>
        <w:rPr>
          <w:rFonts w:ascii="Calibri" w:hAnsi="Calibri"/>
        </w:rPr>
      </w:pPr>
    </w:p>
    <w:p w:rsidR="0081761D" w:rsidRPr="0081761D" w:rsidRDefault="0081761D" w:rsidP="0081761D">
      <w:pPr>
        <w:widowControl w:val="0"/>
        <w:spacing w:after="60" w:line="276" w:lineRule="auto"/>
        <w:jc w:val="both"/>
        <w:rPr>
          <w:rFonts w:ascii="Calibri" w:hAnsi="Calibri"/>
        </w:rPr>
      </w:pPr>
    </w:p>
    <w:p w:rsidR="0081761D" w:rsidRPr="0081761D" w:rsidRDefault="0081761D" w:rsidP="00744F8E">
      <w:pPr>
        <w:spacing w:before="240" w:after="0" w:line="276" w:lineRule="auto"/>
        <w:ind w:left="-567"/>
        <w:jc w:val="both"/>
        <w:rPr>
          <w:rFonts w:cstheme="minorHAnsi"/>
          <w:b/>
          <w:u w:val="single"/>
        </w:rPr>
      </w:pPr>
      <w:bookmarkStart w:id="6" w:name="_Hlk164754276"/>
      <w:r w:rsidRPr="0081761D">
        <w:rPr>
          <w:rFonts w:cstheme="minorHAnsi"/>
          <w:b/>
          <w:u w:val="single"/>
        </w:rPr>
        <w:t>Projektová dokumentace a výkaz výměr</w:t>
      </w:r>
    </w:p>
    <w:p w:rsidR="00127647" w:rsidRPr="00777920" w:rsidRDefault="00777920" w:rsidP="00744F8E">
      <w:pPr>
        <w:spacing w:before="240" w:after="0" w:line="276" w:lineRule="auto"/>
        <w:ind w:left="-567"/>
        <w:jc w:val="both"/>
        <w:rPr>
          <w:rFonts w:cstheme="minorHAnsi"/>
        </w:rPr>
      </w:pPr>
      <w:r>
        <w:rPr>
          <w:rFonts w:cstheme="minorHAnsi"/>
        </w:rPr>
        <w:t>Zadavatel dále provedl změny</w:t>
      </w:r>
      <w:r w:rsidR="00CA5252" w:rsidRPr="00777920">
        <w:rPr>
          <w:rFonts w:cstheme="minorHAnsi"/>
        </w:rPr>
        <w:t xml:space="preserve"> </w:t>
      </w:r>
      <w:r w:rsidR="00546CA6">
        <w:rPr>
          <w:rFonts w:cstheme="minorHAnsi"/>
        </w:rPr>
        <w:t xml:space="preserve">v ZD a </w:t>
      </w:r>
      <w:r w:rsidR="00CA5252" w:rsidRPr="00777920">
        <w:rPr>
          <w:rFonts w:cstheme="minorHAnsi"/>
        </w:rPr>
        <w:t>odstranil konkrétní</w:t>
      </w:r>
      <w:r w:rsidR="00A10FCD" w:rsidRPr="00777920">
        <w:rPr>
          <w:rFonts w:cstheme="minorHAnsi"/>
        </w:rPr>
        <w:t xml:space="preserve"> názvy „BEAM“ </w:t>
      </w:r>
      <w:r w:rsidR="00CA5252" w:rsidRPr="00777920">
        <w:rPr>
          <w:rFonts w:cstheme="minorHAnsi"/>
        </w:rPr>
        <w:t>odkaz</w:t>
      </w:r>
      <w:r w:rsidR="00A10FCD" w:rsidRPr="00777920">
        <w:rPr>
          <w:rFonts w:cstheme="minorHAnsi"/>
        </w:rPr>
        <w:t>ující</w:t>
      </w:r>
      <w:r w:rsidR="00744F8E" w:rsidRPr="00777920">
        <w:rPr>
          <w:rFonts w:cstheme="minorHAnsi"/>
        </w:rPr>
        <w:t xml:space="preserve"> </w:t>
      </w:r>
      <w:r w:rsidR="00CA5252" w:rsidRPr="00777920">
        <w:rPr>
          <w:rFonts w:cstheme="minorHAnsi"/>
        </w:rPr>
        <w:t>na ochranou známku</w:t>
      </w:r>
      <w:r w:rsidR="00A8563B" w:rsidRPr="00777920">
        <w:rPr>
          <w:rFonts w:cstheme="minorHAnsi"/>
        </w:rPr>
        <w:t xml:space="preserve"> typového</w:t>
      </w:r>
      <w:r w:rsidR="00CA5252" w:rsidRPr="00777920">
        <w:rPr>
          <w:rFonts w:cstheme="minorHAnsi"/>
        </w:rPr>
        <w:t xml:space="preserve"> výrobku</w:t>
      </w:r>
      <w:r w:rsidR="00A8563B" w:rsidRPr="00777920">
        <w:rPr>
          <w:rFonts w:cstheme="minorHAnsi"/>
        </w:rPr>
        <w:t xml:space="preserve"> svařovaného ocelového nosníku </w:t>
      </w:r>
      <w:r w:rsidR="00A8563B" w:rsidRPr="00777920">
        <w:rPr>
          <w:b/>
          <w:bCs/>
        </w:rPr>
        <w:t>DELTA-BEAM</w:t>
      </w:r>
      <w:r w:rsidR="00A8563B" w:rsidRPr="00777920">
        <w:rPr>
          <w:b/>
          <w:bCs/>
          <w:sz w:val="24"/>
          <w:szCs w:val="24"/>
          <w:vertAlign w:val="superscript"/>
        </w:rPr>
        <w:t>®</w:t>
      </w:r>
      <w:r w:rsidR="00A8563B" w:rsidRPr="00777920">
        <w:rPr>
          <w:sz w:val="24"/>
          <w:szCs w:val="24"/>
        </w:rPr>
        <w:t xml:space="preserve"> </w:t>
      </w:r>
      <w:r w:rsidR="00AD61BE" w:rsidRPr="00777920">
        <w:t xml:space="preserve">včetně jména </w:t>
      </w:r>
      <w:r w:rsidR="00A8563B" w:rsidRPr="00777920">
        <w:t xml:space="preserve">konkrétního výrobce </w:t>
      </w:r>
      <w:proofErr w:type="spellStart"/>
      <w:r w:rsidR="00AD61BE" w:rsidRPr="00777920">
        <w:rPr>
          <w:b/>
        </w:rPr>
        <w:t>Peikko</w:t>
      </w:r>
      <w:proofErr w:type="spellEnd"/>
      <w:r w:rsidR="00AD61BE" w:rsidRPr="00777920">
        <w:rPr>
          <w:b/>
          <w:bCs/>
          <w:sz w:val="24"/>
          <w:szCs w:val="24"/>
          <w:vertAlign w:val="superscript"/>
        </w:rPr>
        <w:t>®</w:t>
      </w:r>
      <w:r w:rsidR="0062445A">
        <w:t xml:space="preserve">, </w:t>
      </w:r>
      <w:r w:rsidR="00A8563B" w:rsidRPr="00777920">
        <w:t xml:space="preserve">a to </w:t>
      </w:r>
      <w:r w:rsidR="00054EFF" w:rsidRPr="00777920">
        <w:t>v</w:t>
      </w:r>
      <w:r w:rsidR="00A8563B" w:rsidRPr="00777920">
        <w:t> níže uvedených dokume</w:t>
      </w:r>
      <w:r w:rsidR="00054EFF" w:rsidRPr="00777920">
        <w:t>ntech</w:t>
      </w:r>
      <w:r w:rsidR="00A8563B" w:rsidRPr="00777920">
        <w:t>:</w:t>
      </w:r>
    </w:p>
    <w:p w:rsidR="00F16D62" w:rsidRPr="00777920" w:rsidRDefault="00A8563B" w:rsidP="00672C00">
      <w:pPr>
        <w:pStyle w:val="Odstavecseseznamem"/>
        <w:numPr>
          <w:ilvl w:val="0"/>
          <w:numId w:val="40"/>
        </w:numPr>
        <w:spacing w:before="120" w:after="0" w:line="276" w:lineRule="auto"/>
        <w:ind w:left="765" w:hanging="357"/>
        <w:contextualSpacing w:val="0"/>
        <w:jc w:val="both"/>
        <w:rPr>
          <w:i/>
          <w:iCs/>
        </w:rPr>
      </w:pPr>
      <w:r w:rsidRPr="00777920">
        <w:rPr>
          <w:i/>
          <w:iCs/>
        </w:rPr>
        <w:t>S</w:t>
      </w:r>
      <w:r w:rsidR="00C82C5C" w:rsidRPr="00777920">
        <w:rPr>
          <w:i/>
          <w:iCs/>
        </w:rPr>
        <w:t>ouhrnná technická zpráva (A_B_PRŮVODNÍ A SOUHRNNÁ ZPRÁVA)</w:t>
      </w:r>
    </w:p>
    <w:p w:rsidR="00F16D62" w:rsidRPr="00777920" w:rsidRDefault="00F16D62" w:rsidP="00672C00">
      <w:pPr>
        <w:pStyle w:val="Odstavecseseznamem"/>
        <w:numPr>
          <w:ilvl w:val="0"/>
          <w:numId w:val="40"/>
        </w:numPr>
        <w:spacing w:after="0" w:line="276" w:lineRule="auto"/>
        <w:contextualSpacing w:val="0"/>
        <w:jc w:val="both"/>
        <w:rPr>
          <w:rFonts w:eastAsia="Times New Roman"/>
          <w:i/>
          <w:iCs/>
        </w:rPr>
      </w:pPr>
      <w:r w:rsidRPr="00777920">
        <w:rPr>
          <w:rFonts w:eastAsia="Times New Roman"/>
          <w:i/>
          <w:iCs/>
        </w:rPr>
        <w:t xml:space="preserve">Technická zpráva </w:t>
      </w:r>
      <w:r w:rsidR="00C82C5C" w:rsidRPr="00777920">
        <w:rPr>
          <w:rFonts w:eastAsia="Times New Roman"/>
          <w:i/>
          <w:iCs/>
        </w:rPr>
        <w:t>(D.1.1_STAVEBNÍ_ČÁST)</w:t>
      </w:r>
    </w:p>
    <w:p w:rsidR="00F16D62" w:rsidRPr="00777920" w:rsidRDefault="00F16D62" w:rsidP="00672C00">
      <w:pPr>
        <w:pStyle w:val="Odstavecseseznamem"/>
        <w:numPr>
          <w:ilvl w:val="0"/>
          <w:numId w:val="40"/>
        </w:numPr>
        <w:spacing w:after="0" w:line="276" w:lineRule="auto"/>
        <w:contextualSpacing w:val="0"/>
        <w:jc w:val="both"/>
        <w:rPr>
          <w:rFonts w:eastAsia="Times New Roman"/>
          <w:i/>
          <w:iCs/>
        </w:rPr>
      </w:pPr>
      <w:r w:rsidRPr="00777920">
        <w:rPr>
          <w:rFonts w:eastAsia="Times New Roman"/>
          <w:i/>
          <w:iCs/>
        </w:rPr>
        <w:t>Technická zpráva konstrukční části</w:t>
      </w:r>
      <w:r w:rsidR="00C82C5C" w:rsidRPr="00777920">
        <w:rPr>
          <w:rFonts w:eastAsia="Times New Roman"/>
          <w:i/>
          <w:iCs/>
        </w:rPr>
        <w:t xml:space="preserve"> (D.1.2_KONSTRUČNÍ_ČÁST)</w:t>
      </w:r>
    </w:p>
    <w:p w:rsidR="00A8563B" w:rsidRPr="00777920" w:rsidRDefault="00F16D62" w:rsidP="00672C00">
      <w:pPr>
        <w:pStyle w:val="Odstavecseseznamem"/>
        <w:numPr>
          <w:ilvl w:val="0"/>
          <w:numId w:val="40"/>
        </w:numPr>
        <w:spacing w:after="0" w:line="276" w:lineRule="auto"/>
        <w:contextualSpacing w:val="0"/>
        <w:jc w:val="both"/>
        <w:rPr>
          <w:rFonts w:eastAsia="Times New Roman"/>
          <w:i/>
          <w:iCs/>
        </w:rPr>
      </w:pPr>
      <w:r w:rsidRPr="00777920">
        <w:rPr>
          <w:rFonts w:eastAsia="Times New Roman"/>
          <w:i/>
          <w:iCs/>
        </w:rPr>
        <w:t>Statický posudek</w:t>
      </w:r>
      <w:r w:rsidR="00C82C5C" w:rsidRPr="00777920">
        <w:rPr>
          <w:rFonts w:eastAsia="Times New Roman"/>
          <w:i/>
          <w:iCs/>
        </w:rPr>
        <w:t xml:space="preserve"> (D.1.2_KONSTRUČNÍ_ČÁST)</w:t>
      </w:r>
    </w:p>
    <w:p w:rsidR="00A8563B" w:rsidRPr="00777920" w:rsidRDefault="00CA5252" w:rsidP="00672C00">
      <w:pPr>
        <w:spacing w:before="120" w:after="0" w:line="276" w:lineRule="auto"/>
        <w:ind w:left="-567"/>
        <w:jc w:val="both"/>
        <w:rPr>
          <w:rFonts w:cstheme="minorHAnsi"/>
        </w:rPr>
      </w:pPr>
      <w:bookmarkStart w:id="7" w:name="_Hlk164749000"/>
      <w:r w:rsidRPr="00777920">
        <w:rPr>
          <w:rFonts w:cstheme="minorHAnsi"/>
        </w:rPr>
        <w:t>Zadavatel dále uvádí, že v případě použití odkaz</w:t>
      </w:r>
      <w:r w:rsidR="00A8563B" w:rsidRPr="00777920">
        <w:rPr>
          <w:rFonts w:cstheme="minorHAnsi"/>
        </w:rPr>
        <w:t>ů</w:t>
      </w:r>
      <w:r w:rsidRPr="00777920">
        <w:rPr>
          <w:rFonts w:cstheme="minorHAnsi"/>
        </w:rPr>
        <w:t xml:space="preserve"> na</w:t>
      </w:r>
      <w:r w:rsidR="00A8563B" w:rsidRPr="00777920">
        <w:rPr>
          <w:rFonts w:cstheme="minorHAnsi"/>
        </w:rPr>
        <w:t xml:space="preserve"> </w:t>
      </w:r>
      <w:r w:rsidRPr="00777920">
        <w:rPr>
          <w:rFonts w:cstheme="minorHAnsi"/>
        </w:rPr>
        <w:t>konkrétní výrobek (výrobce) nebo</w:t>
      </w:r>
      <w:r w:rsidR="00A8563B" w:rsidRPr="00777920">
        <w:rPr>
          <w:rFonts w:cstheme="minorHAnsi"/>
        </w:rPr>
        <w:t xml:space="preserve"> </w:t>
      </w:r>
      <w:r w:rsidRPr="00777920">
        <w:rPr>
          <w:rFonts w:cstheme="minorHAnsi"/>
        </w:rPr>
        <w:t xml:space="preserve">dodavatele v zadávací dokumentaci, zadavatel postupuje ve smyslu § 89 odst. </w:t>
      </w:r>
      <w:r w:rsidR="00546CA6">
        <w:rPr>
          <w:rFonts w:cstheme="minorHAnsi"/>
        </w:rPr>
        <w:t>6</w:t>
      </w:r>
      <w:r w:rsidRPr="00777920">
        <w:rPr>
          <w:rFonts w:cstheme="minorHAnsi"/>
        </w:rPr>
        <w:t xml:space="preserve"> ZZVZ. tzn. v případě odkazu na určité dodavatele nebo výrobky mají dodavatelé možnost nabídnout rovnocenné technické řešení. Uvedení konkrétních výrobků nebo dodavatelů v ZD zadavatel používá v souladu se ZZVZ, a to z důvodu, aby nebylo pochybnosti o technických parametrech a užití stavebních prvků pro správný způsob provedení </w:t>
      </w:r>
      <w:proofErr w:type="spellStart"/>
      <w:r w:rsidRPr="00777920">
        <w:rPr>
          <w:rFonts w:cstheme="minorHAnsi"/>
        </w:rPr>
        <w:t>technicko-konstrukčního</w:t>
      </w:r>
      <w:proofErr w:type="spellEnd"/>
      <w:r w:rsidRPr="00777920">
        <w:rPr>
          <w:rFonts w:cstheme="minorHAnsi"/>
        </w:rPr>
        <w:t xml:space="preserve"> řešení stavby.</w:t>
      </w:r>
    </w:p>
    <w:bookmarkEnd w:id="7"/>
    <w:bookmarkEnd w:id="6"/>
    <w:p w:rsidR="00A8563B" w:rsidRDefault="00A8563B" w:rsidP="005E57B5">
      <w:pPr>
        <w:spacing w:before="240" w:after="0" w:line="276" w:lineRule="auto"/>
        <w:ind w:left="-567"/>
        <w:jc w:val="both"/>
      </w:pPr>
      <w:r w:rsidRPr="00777920">
        <w:t>Zadavatel</w:t>
      </w:r>
      <w:r w:rsidR="005F16D7" w:rsidRPr="00777920">
        <w:t xml:space="preserve"> v rámci tohoto vysvětlení</w:t>
      </w:r>
      <w:r w:rsidRPr="00777920">
        <w:t xml:space="preserve"> rovněž </w:t>
      </w:r>
      <w:r w:rsidR="003C03BE">
        <w:t>doplňuje</w:t>
      </w:r>
      <w:r w:rsidRPr="00777920">
        <w:t xml:space="preserve"> novou část PD</w:t>
      </w:r>
      <w:r w:rsidR="00691FB7">
        <w:t>,</w:t>
      </w:r>
      <w:r w:rsidRPr="00777920">
        <w:t xml:space="preserve"> </w:t>
      </w:r>
      <w:r w:rsidR="003C03BE">
        <w:t>konkrétně</w:t>
      </w:r>
      <w:r w:rsidRPr="00777920">
        <w:t xml:space="preserve"> profesní část pasivních rozvodů pro vnitřní pokrytí signálem GSM - D.1.4.N_GSM</w:t>
      </w:r>
      <w:r w:rsidR="00744F8E" w:rsidRPr="00777920">
        <w:t xml:space="preserve"> a s</w:t>
      </w:r>
      <w:r w:rsidRPr="00777920">
        <w:t xml:space="preserve">oučasně s tím také </w:t>
      </w:r>
      <w:r w:rsidR="00744F8E" w:rsidRPr="00777920">
        <w:t>upravenou</w:t>
      </w:r>
      <w:r w:rsidR="005F16D7" w:rsidRPr="00777920">
        <w:t xml:space="preserve"> příloh</w:t>
      </w:r>
      <w:r w:rsidR="00744F8E" w:rsidRPr="00777920">
        <w:t>u</w:t>
      </w:r>
      <w:r w:rsidR="005F16D7" w:rsidRPr="00777920">
        <w:t xml:space="preserve"> </w:t>
      </w:r>
      <w:r w:rsidR="00744F8E" w:rsidRPr="00777920">
        <w:t>č.</w:t>
      </w:r>
      <w:r w:rsidR="005F16D7" w:rsidRPr="00777920">
        <w:t>3</w:t>
      </w:r>
      <w:r w:rsidR="00744F8E" w:rsidRPr="00777920">
        <w:t xml:space="preserve"> </w:t>
      </w:r>
      <w:r w:rsidR="005F16D7" w:rsidRPr="00777920">
        <w:t>-</w:t>
      </w:r>
      <w:r w:rsidR="00744F8E" w:rsidRPr="00777920">
        <w:t xml:space="preserve"> V</w:t>
      </w:r>
      <w:r w:rsidRPr="00777920">
        <w:t xml:space="preserve">ýkaz </w:t>
      </w:r>
      <w:r w:rsidR="00744F8E" w:rsidRPr="00777920">
        <w:t>v</w:t>
      </w:r>
      <w:r w:rsidRPr="00777920">
        <w:t xml:space="preserve">ýměr </w:t>
      </w:r>
      <w:proofErr w:type="gramStart"/>
      <w:r w:rsidRPr="00777920">
        <w:t>3a</w:t>
      </w:r>
      <w:proofErr w:type="gramEnd"/>
      <w:r w:rsidRPr="00777920">
        <w:t>.</w:t>
      </w:r>
    </w:p>
    <w:p w:rsidR="0048784D" w:rsidRDefault="0048784D" w:rsidP="005E57B5">
      <w:pPr>
        <w:spacing w:before="240" w:after="0" w:line="276" w:lineRule="auto"/>
        <w:ind w:left="-567"/>
        <w:jc w:val="both"/>
      </w:pPr>
    </w:p>
    <w:p w:rsidR="0048784D" w:rsidRDefault="0048784D" w:rsidP="005E57B5">
      <w:pPr>
        <w:spacing w:before="240" w:after="0" w:line="276" w:lineRule="auto"/>
        <w:ind w:left="-567"/>
        <w:jc w:val="both"/>
        <w:rPr>
          <w:b/>
        </w:rPr>
      </w:pPr>
      <w:r w:rsidRPr="0048784D">
        <w:rPr>
          <w:b/>
        </w:rPr>
        <w:t>Zadavatel dne 23.4.2024 dále obdržel následující žádost o vysvětlení ZD</w:t>
      </w:r>
    </w:p>
    <w:p w:rsidR="0048784D" w:rsidRDefault="0048784D" w:rsidP="005E57B5">
      <w:pPr>
        <w:spacing w:before="240" w:after="0" w:line="276" w:lineRule="auto"/>
        <w:ind w:left="-567"/>
        <w:jc w:val="both"/>
        <w:rPr>
          <w:b/>
        </w:rPr>
      </w:pPr>
    </w:p>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r w:rsidRPr="00D85784">
        <w:rPr>
          <w:rFonts w:ascii="Arial" w:eastAsia="Times New Roman" w:hAnsi="Arial" w:cs="Arial"/>
          <w:b/>
          <w:bCs/>
          <w:color w:val="444444"/>
          <w:kern w:val="36"/>
          <w:sz w:val="24"/>
          <w:szCs w:val="24"/>
          <w:u w:val="single"/>
          <w:lang w:eastAsia="cs-CZ"/>
        </w:rPr>
        <w:t>Dotaz</w:t>
      </w:r>
      <w:r>
        <w:rPr>
          <w:rFonts w:ascii="Arial" w:eastAsia="Times New Roman" w:hAnsi="Arial" w:cs="Arial"/>
          <w:b/>
          <w:bCs/>
          <w:color w:val="444444"/>
          <w:kern w:val="36"/>
          <w:sz w:val="24"/>
          <w:szCs w:val="24"/>
          <w:u w:val="single"/>
          <w:lang w:eastAsia="cs-CZ"/>
        </w:rPr>
        <w:t xml:space="preserve"> č.1</w:t>
      </w:r>
    </w:p>
    <w:p w:rsidR="0048784D" w:rsidRDefault="0048784D" w:rsidP="0048784D">
      <w:pPr>
        <w:pBdr>
          <w:bottom w:val="single" w:sz="4" w:space="1" w:color="auto"/>
        </w:pBdr>
        <w:spacing w:after="0" w:line="240" w:lineRule="auto"/>
        <w:jc w:val="both"/>
        <w:rPr>
          <w:rFonts w:ascii="Arial" w:hAnsi="Arial" w:cs="Arial"/>
          <w:bCs/>
        </w:rPr>
      </w:pPr>
      <w:r w:rsidRPr="005B0F59">
        <w:rPr>
          <w:rFonts w:ascii="Arial" w:hAnsi="Arial" w:cs="Arial"/>
          <w:bCs/>
        </w:rPr>
        <w:t xml:space="preserve">Žádáme </w:t>
      </w:r>
      <w:r>
        <w:rPr>
          <w:rFonts w:ascii="Arial" w:hAnsi="Arial" w:cs="Arial"/>
          <w:bCs/>
        </w:rPr>
        <w:t xml:space="preserve">zadavatele </w:t>
      </w:r>
      <w:r w:rsidRPr="005B0F59">
        <w:rPr>
          <w:rFonts w:ascii="Arial" w:hAnsi="Arial" w:cs="Arial"/>
          <w:bCs/>
        </w:rPr>
        <w:t xml:space="preserve">o vysvětlení rozdílu mezi datem dokončení provádění díla dle </w:t>
      </w:r>
      <w:bookmarkStart w:id="8" w:name="_Hlk164840163"/>
      <w:r w:rsidRPr="005B0F59">
        <w:rPr>
          <w:rFonts w:ascii="Arial" w:hAnsi="Arial" w:cs="Arial"/>
          <w:bCs/>
        </w:rPr>
        <w:t xml:space="preserve">čl. IV., odst. 5 </w:t>
      </w:r>
      <w:bookmarkEnd w:id="8"/>
      <w:r w:rsidRPr="005B0F59">
        <w:rPr>
          <w:rFonts w:ascii="Arial" w:hAnsi="Arial" w:cs="Arial"/>
          <w:bCs/>
        </w:rPr>
        <w:t>smlouvy (lhůta 450 dní) a datem dokončení a předání díla dle čl. XVI. Smlouvy (lhůta 510 dní), viz čl. V. odst. 1. smlouvy.</w:t>
      </w:r>
    </w:p>
    <w:p w:rsidR="0048784D" w:rsidRPr="005A5448" w:rsidRDefault="0048784D" w:rsidP="0048784D">
      <w:pPr>
        <w:spacing w:before="120" w:after="0" w:line="257" w:lineRule="exact"/>
        <w:rPr>
          <w:rFonts w:cs="Calibri"/>
          <w:i/>
          <w:iCs/>
          <w:color w:val="FF0000"/>
        </w:rPr>
      </w:pPr>
      <w:r w:rsidRPr="005A5448">
        <w:rPr>
          <w:rFonts w:cs="Calibri"/>
          <w:i/>
          <w:iCs/>
          <w:color w:val="FF0000"/>
        </w:rPr>
        <w:t>Odpověď k dotazu č.1:</w:t>
      </w:r>
    </w:p>
    <w:p w:rsidR="0048784D" w:rsidRDefault="0048784D" w:rsidP="0048784D">
      <w:pPr>
        <w:spacing w:before="120" w:after="0" w:line="240" w:lineRule="auto"/>
        <w:jc w:val="both"/>
        <w:rPr>
          <w:rFonts w:cs="Calibri"/>
          <w:bCs/>
          <w:i/>
          <w:color w:val="FF0000"/>
        </w:rPr>
      </w:pPr>
      <w:bookmarkStart w:id="9" w:name="_Hlk164840119"/>
      <w:r>
        <w:rPr>
          <w:rFonts w:cs="Calibri"/>
          <w:bCs/>
          <w:i/>
          <w:color w:val="FF0000"/>
        </w:rPr>
        <w:t>Zadavatel</w:t>
      </w:r>
      <w:r w:rsidRPr="00396CC0">
        <w:rPr>
          <w:rFonts w:cs="Calibri"/>
          <w:bCs/>
          <w:i/>
          <w:color w:val="FF0000"/>
        </w:rPr>
        <w:t xml:space="preserve"> </w:t>
      </w:r>
      <w:r>
        <w:rPr>
          <w:rFonts w:cs="Calibri"/>
          <w:bCs/>
          <w:i/>
          <w:color w:val="FF0000"/>
        </w:rPr>
        <w:t xml:space="preserve">v souvislosti s tímto dotazem </w:t>
      </w:r>
      <w:r w:rsidRPr="00F76E44">
        <w:rPr>
          <w:rFonts w:cs="Calibri"/>
          <w:bCs/>
          <w:i/>
          <w:color w:val="FF0000"/>
          <w:u w:val="single"/>
        </w:rPr>
        <w:t>upravuje formulaci lhůty dokončení a předání díla</w:t>
      </w:r>
      <w:r>
        <w:rPr>
          <w:rFonts w:cs="Calibri"/>
          <w:bCs/>
          <w:i/>
          <w:color w:val="FF0000"/>
        </w:rPr>
        <w:t xml:space="preserve"> uvedenou v čl. V., odst. 1 Smlouvy o dílo, která je současně přílohou tohoto vysvětlení.</w:t>
      </w:r>
      <w:bookmarkEnd w:id="9"/>
    </w:p>
    <w:p w:rsidR="0048784D" w:rsidRDefault="0048784D" w:rsidP="0048784D">
      <w:pPr>
        <w:spacing w:before="120" w:after="0" w:line="240" w:lineRule="auto"/>
        <w:jc w:val="both"/>
        <w:rPr>
          <w:rFonts w:ascii="Arial" w:hAnsi="Arial" w:cs="Arial"/>
          <w:bCs/>
        </w:rPr>
      </w:pPr>
    </w:p>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r w:rsidRPr="00D85784">
        <w:rPr>
          <w:rFonts w:ascii="Arial" w:eastAsia="Times New Roman" w:hAnsi="Arial" w:cs="Arial"/>
          <w:b/>
          <w:bCs/>
          <w:color w:val="444444"/>
          <w:kern w:val="36"/>
          <w:sz w:val="24"/>
          <w:szCs w:val="24"/>
          <w:u w:val="single"/>
          <w:lang w:eastAsia="cs-CZ"/>
        </w:rPr>
        <w:t>Dotaz</w:t>
      </w:r>
      <w:r>
        <w:rPr>
          <w:rFonts w:ascii="Arial" w:eastAsia="Times New Roman" w:hAnsi="Arial" w:cs="Arial"/>
          <w:b/>
          <w:bCs/>
          <w:color w:val="444444"/>
          <w:kern w:val="36"/>
          <w:sz w:val="24"/>
          <w:szCs w:val="24"/>
          <w:u w:val="single"/>
          <w:lang w:eastAsia="cs-CZ"/>
        </w:rPr>
        <w:t xml:space="preserve"> č.2</w:t>
      </w:r>
    </w:p>
    <w:p w:rsidR="0048784D" w:rsidRDefault="0048784D" w:rsidP="0048784D">
      <w:pPr>
        <w:pBdr>
          <w:bottom w:val="single" w:sz="4" w:space="1" w:color="auto"/>
        </w:pBdr>
        <w:spacing w:after="0" w:line="240" w:lineRule="auto"/>
        <w:jc w:val="both"/>
        <w:rPr>
          <w:rFonts w:ascii="Arial" w:hAnsi="Arial" w:cs="Arial"/>
          <w:bCs/>
        </w:rPr>
      </w:pPr>
      <w:r w:rsidRPr="00D7582A">
        <w:rPr>
          <w:rFonts w:ascii="Arial" w:hAnsi="Arial" w:cs="Arial"/>
          <w:bCs/>
        </w:rPr>
        <w:t xml:space="preserve">Žádáme </w:t>
      </w:r>
      <w:r>
        <w:rPr>
          <w:rFonts w:ascii="Arial" w:hAnsi="Arial" w:cs="Arial"/>
          <w:bCs/>
        </w:rPr>
        <w:t xml:space="preserve">zadavatele </w:t>
      </w:r>
      <w:r w:rsidRPr="00D7582A">
        <w:rPr>
          <w:rFonts w:ascii="Arial" w:hAnsi="Arial" w:cs="Arial"/>
          <w:bCs/>
        </w:rPr>
        <w:t>o objasnění, proč zadavatel nerespektuje zákonné ujednání § 2628 OZ? Mimo jiné v čl. V. odst. 1. smlouvy je vyloučen zákonný postup při převzetí díla. Zákonodárce měl velmi dobré důvody při zakotvení povinnosti objednatele k převzetí díla i v případě, že dílo vykazuje drobné vady či nedodělky, které nebrání užívání díla. Objednatel není krácen na svých právech, neboť může dílo užívat, přičemž zhotovitel je pod hrozbou sankcí vystaven povinnosti vady či nedodělky odstranit. Stavební dílo je komplexní a složité dílo, u kterého je velmi komplikované a téměř nemožné, aby bylo provedení absolutně bez vad. Proto uvedená a zákonem aprobovaná povinnost na straně objednatele k převzetí díla i v případě výskytu drobných vad či nedodělků. Upraví tak zadavatel výše uvedené články smlouvy tím způsobem, aby byla zakotvena povinnost (nikoli pouze možnost) objednatele k převzetí díla s drobnými vadami či nedodělky, respektive připuštěna zákonná úprava § 2628 občanského zákoníku?</w:t>
      </w:r>
    </w:p>
    <w:p w:rsidR="0048784D" w:rsidRDefault="0048784D" w:rsidP="0048784D">
      <w:pPr>
        <w:spacing w:before="120" w:after="0" w:line="257" w:lineRule="exact"/>
        <w:rPr>
          <w:rFonts w:cs="Calibri"/>
          <w:i/>
          <w:iCs/>
          <w:color w:val="FF0000"/>
        </w:rPr>
      </w:pPr>
    </w:p>
    <w:p w:rsidR="0048784D" w:rsidRPr="00752070" w:rsidRDefault="0048784D" w:rsidP="0048784D">
      <w:pPr>
        <w:spacing w:before="120" w:after="0" w:line="257" w:lineRule="exact"/>
        <w:rPr>
          <w:rFonts w:cs="Calibri"/>
          <w:i/>
          <w:iCs/>
          <w:color w:val="FF0000"/>
        </w:rPr>
      </w:pPr>
      <w:r w:rsidRPr="00752070">
        <w:rPr>
          <w:rFonts w:cs="Calibri"/>
          <w:i/>
          <w:iCs/>
          <w:color w:val="FF0000"/>
        </w:rPr>
        <w:t>Odpověď k dotazu č.</w:t>
      </w:r>
      <w:r>
        <w:rPr>
          <w:rFonts w:cs="Calibri"/>
          <w:i/>
          <w:iCs/>
          <w:color w:val="FF0000"/>
        </w:rPr>
        <w:t>2</w:t>
      </w:r>
      <w:r w:rsidRPr="00752070">
        <w:rPr>
          <w:rFonts w:cs="Calibri"/>
          <w:i/>
          <w:iCs/>
          <w:color w:val="FF0000"/>
        </w:rPr>
        <w:t>:</w:t>
      </w:r>
    </w:p>
    <w:p w:rsidR="0048784D" w:rsidRDefault="0048784D" w:rsidP="0048784D">
      <w:pPr>
        <w:shd w:val="clear" w:color="auto" w:fill="FFFFFF"/>
        <w:spacing w:before="120" w:after="0" w:line="240" w:lineRule="auto"/>
        <w:jc w:val="both"/>
        <w:outlineLvl w:val="0"/>
        <w:rPr>
          <w:rFonts w:cs="Calibri"/>
          <w:bCs/>
          <w:i/>
          <w:color w:val="FF0000"/>
        </w:rPr>
      </w:pPr>
      <w:r w:rsidRPr="0064345C">
        <w:rPr>
          <w:rFonts w:cs="Calibri"/>
          <w:bCs/>
          <w:i/>
          <w:color w:val="FF0000"/>
        </w:rPr>
        <w:t xml:space="preserve">Zadavatel rozhodně </w:t>
      </w:r>
      <w:r w:rsidRPr="0064345C">
        <w:rPr>
          <w:rFonts w:cs="Calibri"/>
          <w:bCs/>
          <w:i/>
          <w:color w:val="FF0000"/>
          <w:u w:val="single"/>
        </w:rPr>
        <w:t>nevylučuje převzetí předmětu plnění</w:t>
      </w:r>
      <w:r>
        <w:rPr>
          <w:rFonts w:cs="Calibri"/>
          <w:bCs/>
          <w:i/>
          <w:color w:val="FF0000"/>
          <w:u w:val="single"/>
        </w:rPr>
        <w:t xml:space="preserve"> s </w:t>
      </w:r>
      <w:r w:rsidRPr="0064345C">
        <w:rPr>
          <w:rFonts w:cs="Calibri"/>
          <w:bCs/>
          <w:i/>
          <w:color w:val="FF0000"/>
          <w:u w:val="single"/>
        </w:rPr>
        <w:t>vad</w:t>
      </w:r>
      <w:r>
        <w:rPr>
          <w:rFonts w:cs="Calibri"/>
          <w:bCs/>
          <w:i/>
          <w:color w:val="FF0000"/>
          <w:u w:val="single"/>
        </w:rPr>
        <w:t>ami</w:t>
      </w:r>
      <w:r w:rsidRPr="0064345C">
        <w:rPr>
          <w:rFonts w:cs="Calibri"/>
          <w:bCs/>
          <w:i/>
          <w:color w:val="FF0000"/>
          <w:u w:val="single"/>
        </w:rPr>
        <w:t xml:space="preserve"> a nedodělk</w:t>
      </w:r>
      <w:r>
        <w:rPr>
          <w:rFonts w:cs="Calibri"/>
          <w:bCs/>
          <w:i/>
          <w:color w:val="FF0000"/>
          <w:u w:val="single"/>
        </w:rPr>
        <w:t>y</w:t>
      </w:r>
      <w:r w:rsidRPr="0064345C">
        <w:rPr>
          <w:rFonts w:cs="Calibri"/>
          <w:bCs/>
          <w:i/>
          <w:color w:val="FF0000"/>
          <w:u w:val="single"/>
        </w:rPr>
        <w:t xml:space="preserve"> nebránící užívání</w:t>
      </w:r>
      <w:r w:rsidRPr="0064345C">
        <w:rPr>
          <w:rFonts w:cs="Calibri"/>
          <w:bCs/>
          <w:i/>
          <w:color w:val="FF0000"/>
        </w:rPr>
        <w:t xml:space="preserve">. V čl. XVI. odst. 1 smlouvy o dílo je výslovně uvedeno: „Dílo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technologií a stavu místa provedení díla. Objednatel může </w:t>
      </w:r>
      <w:r w:rsidRPr="0064345C">
        <w:rPr>
          <w:rFonts w:cs="Calibri"/>
          <w:bCs/>
          <w:i/>
          <w:color w:val="FF0000"/>
          <w:u w:val="single"/>
        </w:rPr>
        <w:t>převzít dílo s vadami nebránícími užívání</w:t>
      </w:r>
      <w:r>
        <w:rPr>
          <w:rFonts w:cs="Calibri"/>
          <w:bCs/>
          <w:i/>
          <w:color w:val="FF0000"/>
        </w:rPr>
        <w:t>“</w:t>
      </w:r>
      <w:r w:rsidRPr="0064345C">
        <w:rPr>
          <w:rFonts w:cs="Calibri"/>
          <w:bCs/>
          <w:i/>
          <w:color w:val="FF0000"/>
        </w:rPr>
        <w:t>. Zadavatel</w:t>
      </w:r>
      <w:r>
        <w:rPr>
          <w:rFonts w:cs="Calibri"/>
          <w:bCs/>
          <w:i/>
          <w:color w:val="FF0000"/>
        </w:rPr>
        <w:t xml:space="preserve"> </w:t>
      </w:r>
      <w:r w:rsidRPr="0064345C">
        <w:rPr>
          <w:rFonts w:cs="Calibri"/>
          <w:bCs/>
          <w:i/>
          <w:color w:val="FF0000"/>
        </w:rPr>
        <w:t xml:space="preserve">ze zkušeností </w:t>
      </w:r>
      <w:r>
        <w:rPr>
          <w:rFonts w:cs="Calibri"/>
          <w:bCs/>
          <w:i/>
          <w:color w:val="FF0000"/>
        </w:rPr>
        <w:t xml:space="preserve">z předešlých realizovaných zakázek </w:t>
      </w:r>
      <w:r w:rsidRPr="0064345C">
        <w:rPr>
          <w:rFonts w:cs="Calibri"/>
          <w:bCs/>
          <w:i/>
          <w:color w:val="FF0000"/>
        </w:rPr>
        <w:t xml:space="preserve">může </w:t>
      </w:r>
      <w:r>
        <w:rPr>
          <w:rFonts w:cs="Calibri"/>
          <w:bCs/>
          <w:i/>
          <w:color w:val="FF0000"/>
        </w:rPr>
        <w:t xml:space="preserve">závazně </w:t>
      </w:r>
      <w:r w:rsidRPr="0064345C">
        <w:rPr>
          <w:rFonts w:cs="Calibri"/>
          <w:bCs/>
          <w:i/>
          <w:color w:val="FF0000"/>
        </w:rPr>
        <w:t>prohlásit, že svých práv nezneužívá</w:t>
      </w:r>
      <w:r>
        <w:rPr>
          <w:rFonts w:cs="Calibri"/>
          <w:bCs/>
          <w:i/>
          <w:color w:val="FF0000"/>
        </w:rPr>
        <w:t xml:space="preserve"> a p</w:t>
      </w:r>
      <w:r w:rsidRPr="0064345C">
        <w:rPr>
          <w:rFonts w:cs="Calibri"/>
          <w:bCs/>
          <w:i/>
          <w:color w:val="FF0000"/>
        </w:rPr>
        <w:t xml:space="preserve">oslední větu </w:t>
      </w:r>
      <w:r>
        <w:rPr>
          <w:rFonts w:cs="Calibri"/>
          <w:bCs/>
          <w:i/>
          <w:color w:val="FF0000"/>
        </w:rPr>
        <w:t xml:space="preserve">výše uvedeného </w:t>
      </w:r>
      <w:r w:rsidRPr="0064345C">
        <w:rPr>
          <w:rFonts w:cs="Calibri"/>
          <w:bCs/>
          <w:i/>
          <w:color w:val="FF0000"/>
        </w:rPr>
        <w:t xml:space="preserve">čl. XVI. odst. 1 smlouvy o dílo aplikuje bez dalšího. </w:t>
      </w:r>
    </w:p>
    <w:p w:rsidR="0048784D" w:rsidRDefault="0048784D" w:rsidP="0048784D">
      <w:pPr>
        <w:shd w:val="clear" w:color="auto" w:fill="FFFFFF"/>
        <w:spacing w:before="120" w:after="0" w:line="240" w:lineRule="auto"/>
        <w:jc w:val="both"/>
        <w:outlineLvl w:val="0"/>
        <w:rPr>
          <w:rFonts w:cs="Calibri"/>
          <w:bCs/>
          <w:i/>
          <w:color w:val="FF0000"/>
        </w:rPr>
      </w:pPr>
      <w:r w:rsidRPr="0064345C">
        <w:rPr>
          <w:rFonts w:cs="Calibri"/>
          <w:bCs/>
          <w:i/>
          <w:color w:val="FF0000"/>
        </w:rPr>
        <w:t>Termín pro odstranění je pak definován</w:t>
      </w:r>
      <w:r>
        <w:rPr>
          <w:rFonts w:cs="Calibri"/>
          <w:bCs/>
          <w:i/>
          <w:color w:val="FF0000"/>
        </w:rPr>
        <w:t xml:space="preserve"> v dalším odstavci </w:t>
      </w:r>
      <w:r w:rsidRPr="0064345C">
        <w:rPr>
          <w:rFonts w:cs="Calibri"/>
          <w:bCs/>
          <w:i/>
          <w:color w:val="FF0000"/>
        </w:rPr>
        <w:t>odst. 6</w:t>
      </w:r>
      <w:r>
        <w:rPr>
          <w:rFonts w:cs="Calibri"/>
          <w:bCs/>
          <w:i/>
          <w:color w:val="FF0000"/>
        </w:rPr>
        <w:t xml:space="preserve">, čl. </w:t>
      </w:r>
      <w:r w:rsidRPr="0064345C">
        <w:rPr>
          <w:rFonts w:cs="Calibri"/>
          <w:bCs/>
          <w:i/>
          <w:color w:val="FF0000"/>
        </w:rPr>
        <w:t>XVI takto:</w:t>
      </w:r>
      <w:r>
        <w:rPr>
          <w:rFonts w:cs="Calibri"/>
          <w:bCs/>
          <w:i/>
          <w:color w:val="FF0000"/>
        </w:rPr>
        <w:t xml:space="preserve"> „</w:t>
      </w:r>
      <w:r w:rsidRPr="0064345C">
        <w:rPr>
          <w:rFonts w:cs="Calibri"/>
          <w:bCs/>
          <w:i/>
          <w:color w:val="FF0000"/>
        </w:rPr>
        <w:t>Součástí protokolu o předání a převzetí díla bude seznam případných vad nebránících užívání s uvedením termínů a způsobu jejich odstranění</w:t>
      </w:r>
      <w:r>
        <w:rPr>
          <w:rFonts w:cs="Calibri"/>
          <w:bCs/>
          <w:i/>
          <w:color w:val="FF0000"/>
        </w:rPr>
        <w:t>.“</w:t>
      </w:r>
    </w:p>
    <w:p w:rsidR="0048784D" w:rsidRDefault="0048784D" w:rsidP="0048784D">
      <w:pPr>
        <w:shd w:val="clear" w:color="auto" w:fill="FFFFFF"/>
        <w:spacing w:before="120" w:after="0" w:line="240" w:lineRule="auto"/>
        <w:jc w:val="both"/>
        <w:outlineLvl w:val="0"/>
        <w:rPr>
          <w:rFonts w:ascii="Arial" w:eastAsia="Times New Roman" w:hAnsi="Arial" w:cs="Arial"/>
          <w:b/>
          <w:bCs/>
          <w:color w:val="444444"/>
          <w:kern w:val="36"/>
          <w:sz w:val="24"/>
          <w:szCs w:val="24"/>
          <w:u w:val="single"/>
          <w:lang w:eastAsia="cs-CZ"/>
        </w:rPr>
      </w:pPr>
    </w:p>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r w:rsidRPr="00D85784">
        <w:rPr>
          <w:rFonts w:ascii="Arial" w:eastAsia="Times New Roman" w:hAnsi="Arial" w:cs="Arial"/>
          <w:b/>
          <w:bCs/>
          <w:color w:val="444444"/>
          <w:kern w:val="36"/>
          <w:sz w:val="24"/>
          <w:szCs w:val="24"/>
          <w:u w:val="single"/>
          <w:lang w:eastAsia="cs-CZ"/>
        </w:rPr>
        <w:t>Dotaz</w:t>
      </w:r>
      <w:r>
        <w:rPr>
          <w:rFonts w:ascii="Arial" w:eastAsia="Times New Roman" w:hAnsi="Arial" w:cs="Arial"/>
          <w:b/>
          <w:bCs/>
          <w:color w:val="444444"/>
          <w:kern w:val="36"/>
          <w:sz w:val="24"/>
          <w:szCs w:val="24"/>
          <w:u w:val="single"/>
          <w:lang w:eastAsia="cs-CZ"/>
        </w:rPr>
        <w:t xml:space="preserve"> č.3</w:t>
      </w:r>
    </w:p>
    <w:p w:rsidR="0048784D" w:rsidRDefault="0048784D" w:rsidP="0048784D">
      <w:pPr>
        <w:pBdr>
          <w:bottom w:val="single" w:sz="4" w:space="1" w:color="auto"/>
        </w:pBdr>
        <w:spacing w:after="0" w:line="240" w:lineRule="auto"/>
        <w:jc w:val="both"/>
        <w:rPr>
          <w:rFonts w:ascii="Arial" w:hAnsi="Arial" w:cs="Arial"/>
          <w:bCs/>
        </w:rPr>
      </w:pPr>
      <w:r w:rsidRPr="00E703EE">
        <w:rPr>
          <w:rFonts w:ascii="Arial" w:hAnsi="Arial" w:cs="Arial"/>
          <w:bCs/>
        </w:rPr>
        <w:t xml:space="preserve">Žádáme </w:t>
      </w:r>
      <w:r>
        <w:rPr>
          <w:rFonts w:ascii="Arial" w:hAnsi="Arial" w:cs="Arial"/>
          <w:bCs/>
        </w:rPr>
        <w:t xml:space="preserve">zadavatele </w:t>
      </w:r>
      <w:r w:rsidRPr="00E703EE">
        <w:rPr>
          <w:rFonts w:ascii="Arial" w:hAnsi="Arial" w:cs="Arial"/>
          <w:bCs/>
        </w:rPr>
        <w:t>o zdůvodnění, proč má zadavatel za to, že možnost jednostra</w:t>
      </w:r>
      <w:r>
        <w:rPr>
          <w:rFonts w:ascii="Arial" w:hAnsi="Arial" w:cs="Arial"/>
          <w:bCs/>
        </w:rPr>
        <w:t>n</w:t>
      </w:r>
      <w:r w:rsidRPr="00E703EE">
        <w:rPr>
          <w:rFonts w:ascii="Arial" w:hAnsi="Arial" w:cs="Arial"/>
          <w:bCs/>
        </w:rPr>
        <w:t xml:space="preserve">ně ukončit provádění díla dle čl. V. odst. 6. smlouvy je v souladu se zásadou přiměřenost (§ 6 ZZVZ). Dodavatel má za to, že se jedná o nepřiměřené, a tedy i nezákonné ustanovení, které v podstatě dává objednateli možnost od smlouvy jednostranně bez uvedení důvodu a bez výpovědní doby odstoupit. Za nepřiměřené, a tedy i nezákonné dodavatel považuje též fakt, že objednatel může provádění díla přerušit na neomezeně dlouhou dobu, přičemž dodavateli nenáleží finanční kompenzace v případě, že tak učiní. Nadto pokud by objednatel přerušil provádění díla např. na dva roky, ceny materiálů i prací by byly s ohledem na inflační vlivy mnohem výše než v době podání nabídky, a tak by zhotovitel nebyl schopen provést dílo za nabídkovou cenu. </w:t>
      </w:r>
      <w:bookmarkStart w:id="10" w:name="_Hlk164937853"/>
      <w:r w:rsidRPr="00E703EE">
        <w:rPr>
          <w:rFonts w:ascii="Arial" w:hAnsi="Arial" w:cs="Arial"/>
          <w:bCs/>
        </w:rPr>
        <w:t>Dodavatel tak žádá, aby pro nezákonnost bylo výše uvedené ustanovení smlouvy o dílo upraveno tak, že objednatel nebude mít možnost ukončit provádění prací, a že přerušení prací bude moci trvat např. maximálně 20 dní v kalendářním roce, přičemž zhotoviteli budou proplaceny náklady, které mu v důsledku pokynu objednatele přerušit provádění prací vzniknou.</w:t>
      </w:r>
      <w:bookmarkEnd w:id="10"/>
    </w:p>
    <w:p w:rsidR="0048784D" w:rsidRPr="00752070" w:rsidRDefault="0048784D" w:rsidP="0048784D">
      <w:pPr>
        <w:spacing w:before="120" w:after="0" w:line="257" w:lineRule="exact"/>
        <w:rPr>
          <w:rFonts w:cs="Calibri"/>
          <w:i/>
          <w:iCs/>
          <w:color w:val="FF0000"/>
        </w:rPr>
      </w:pPr>
      <w:r w:rsidRPr="00752070">
        <w:rPr>
          <w:rFonts w:cs="Calibri"/>
          <w:i/>
          <w:iCs/>
          <w:color w:val="FF0000"/>
        </w:rPr>
        <w:t>Odpověď k dotazu č.</w:t>
      </w:r>
      <w:r>
        <w:rPr>
          <w:rFonts w:cs="Calibri"/>
          <w:i/>
          <w:iCs/>
          <w:color w:val="FF0000"/>
        </w:rPr>
        <w:t>3</w:t>
      </w:r>
      <w:r w:rsidRPr="00752070">
        <w:rPr>
          <w:rFonts w:cs="Calibri"/>
          <w:i/>
          <w:iCs/>
          <w:color w:val="FF0000"/>
        </w:rPr>
        <w:t>:</w:t>
      </w:r>
    </w:p>
    <w:p w:rsidR="0048784D" w:rsidRDefault="0048784D" w:rsidP="0048784D">
      <w:pPr>
        <w:spacing w:before="120" w:after="0" w:line="240" w:lineRule="auto"/>
        <w:jc w:val="both"/>
        <w:rPr>
          <w:rFonts w:cs="Calibri"/>
          <w:bCs/>
          <w:i/>
          <w:color w:val="FF0000"/>
        </w:rPr>
      </w:pPr>
      <w:r>
        <w:rPr>
          <w:rFonts w:cs="Calibri"/>
          <w:bCs/>
          <w:i/>
          <w:color w:val="FF0000"/>
        </w:rPr>
        <w:t xml:space="preserve">Zadavatel odkazuje na </w:t>
      </w:r>
      <w:r>
        <w:rPr>
          <w:i/>
          <w:iCs/>
          <w:color w:val="FF0000"/>
        </w:rPr>
        <w:t>vysvětlení č.1 odpověd č. 16</w:t>
      </w:r>
      <w:r>
        <w:rPr>
          <w:rFonts w:cs="Calibri"/>
          <w:bCs/>
          <w:i/>
          <w:color w:val="FF0000"/>
        </w:rPr>
        <w:t>, ve které byla dotazovaná problematika jednostranné výpovědi smlouvy dostatečně objasněna.</w:t>
      </w:r>
    </w:p>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p>
    <w:p w:rsidR="0048784D" w:rsidRPr="0048784D" w:rsidRDefault="0048784D" w:rsidP="0048784D">
      <w:pPr>
        <w:rPr>
          <w:i/>
          <w:color w:val="FF0000"/>
          <w:u w:val="single"/>
        </w:rPr>
      </w:pPr>
      <w:r w:rsidRPr="0048784D">
        <w:rPr>
          <w:i/>
          <w:color w:val="FF0000"/>
          <w:u w:val="single"/>
        </w:rPr>
        <w:t>Odpověď č. 16</w:t>
      </w:r>
      <w:r>
        <w:rPr>
          <w:i/>
          <w:color w:val="FF0000"/>
          <w:u w:val="single"/>
        </w:rPr>
        <w:t xml:space="preserve"> ve vysvětlení ZD č. 1</w:t>
      </w:r>
      <w:r w:rsidRPr="0048784D">
        <w:rPr>
          <w:i/>
          <w:color w:val="FF0000"/>
          <w:u w:val="single"/>
        </w:rPr>
        <w:t>:</w:t>
      </w:r>
    </w:p>
    <w:p w:rsidR="0048784D" w:rsidRDefault="0048784D" w:rsidP="0048784D">
      <w:pPr>
        <w:jc w:val="both"/>
        <w:rPr>
          <w:i/>
          <w:color w:val="FF0000"/>
        </w:rPr>
      </w:pPr>
      <w:r w:rsidRPr="0048784D">
        <w:rPr>
          <w:i/>
          <w:color w:val="FF0000"/>
        </w:rPr>
        <w:t xml:space="preserve">S ohledem na skutečnost, že zadavatel je největším zdravotnickým zařízením na střední Moravě poskytujícím mimo jiné neodkladnou zdravotní péči a zadavatel musí být připraven reagovat na situace, kdy bude třeba soustředit veškeré úsilí a prostředky na aktuální potřeby ve zdravotnictví (tak jak tomu bylo např. v době </w:t>
      </w:r>
      <w:proofErr w:type="spellStart"/>
      <w:r w:rsidRPr="0048784D">
        <w:rPr>
          <w:i/>
          <w:color w:val="FF0000"/>
        </w:rPr>
        <w:t>koronavirové</w:t>
      </w:r>
      <w:proofErr w:type="spellEnd"/>
      <w:r w:rsidRPr="0048784D">
        <w:rPr>
          <w:i/>
          <w:color w:val="FF0000"/>
        </w:rPr>
        <w:t xml:space="preserve"> pandemie), vyhrazuje si zadavatel ve smlouvě právo tuto smlouvu vypovědět – k využití tohoto práva by však zadavatel přistoupil pouze v odůvodněných případech.</w:t>
      </w:r>
    </w:p>
    <w:p w:rsidR="0084060A" w:rsidRDefault="0084060A" w:rsidP="0048784D">
      <w:pPr>
        <w:jc w:val="both"/>
        <w:rPr>
          <w:i/>
          <w:color w:val="FF0000"/>
        </w:rPr>
      </w:pPr>
      <w:r>
        <w:rPr>
          <w:i/>
          <w:color w:val="FF0000"/>
        </w:rPr>
        <w:t>Zadavatel dále na základě dotazu provedl následující úpravu v čl. V odst. 6 návrhu smlouvy o dílo:</w:t>
      </w:r>
    </w:p>
    <w:p w:rsidR="0084060A" w:rsidRPr="0084060A" w:rsidRDefault="0084060A" w:rsidP="0084060A">
      <w:pPr>
        <w:rPr>
          <w:i/>
          <w:iCs/>
          <w:color w:val="FF0000"/>
          <w:shd w:val="clear" w:color="auto" w:fill="FFFFFF"/>
        </w:rPr>
      </w:pPr>
      <w:r>
        <w:rPr>
          <w:i/>
          <w:iCs/>
          <w:color w:val="FF0000"/>
          <w:shd w:val="clear" w:color="auto" w:fill="FFFFFF"/>
        </w:rPr>
        <w:t>„</w:t>
      </w:r>
      <w:r>
        <w:rPr>
          <w:i/>
          <w:iCs/>
          <w:color w:val="FF0000"/>
          <w:shd w:val="clear" w:color="auto" w:fill="FFFFFF"/>
        </w:rPr>
        <w:t>Zhotovitel je povinen strpět přerušení provádění díla ze strany objednatele po dobu 1 měsíce, s tím že náklady tohoto přerušení nese zhotovitel. Trvá-li přerušení díla déle jak 1 měsíc, je zhotovitel oprávněn od této smlouvy odstoupit.</w:t>
      </w:r>
      <w:r>
        <w:rPr>
          <w:i/>
          <w:iCs/>
          <w:color w:val="FF0000"/>
          <w:shd w:val="clear" w:color="auto" w:fill="FFFFFF"/>
        </w:rPr>
        <w:t>“</w:t>
      </w:r>
      <w:bookmarkStart w:id="11" w:name="_GoBack"/>
      <w:bookmarkEnd w:id="11"/>
    </w:p>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p>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r w:rsidRPr="00D85784">
        <w:rPr>
          <w:rFonts w:ascii="Arial" w:eastAsia="Times New Roman" w:hAnsi="Arial" w:cs="Arial"/>
          <w:b/>
          <w:bCs/>
          <w:color w:val="444444"/>
          <w:kern w:val="36"/>
          <w:sz w:val="24"/>
          <w:szCs w:val="24"/>
          <w:u w:val="single"/>
          <w:lang w:eastAsia="cs-CZ"/>
        </w:rPr>
        <w:t>Dotaz</w:t>
      </w:r>
      <w:r>
        <w:rPr>
          <w:rFonts w:ascii="Arial" w:eastAsia="Times New Roman" w:hAnsi="Arial" w:cs="Arial"/>
          <w:b/>
          <w:bCs/>
          <w:color w:val="444444"/>
          <w:kern w:val="36"/>
          <w:sz w:val="24"/>
          <w:szCs w:val="24"/>
          <w:u w:val="single"/>
          <w:lang w:eastAsia="cs-CZ"/>
        </w:rPr>
        <w:t xml:space="preserve"> č.4</w:t>
      </w:r>
    </w:p>
    <w:p w:rsidR="0048784D" w:rsidRDefault="0048784D" w:rsidP="0048784D">
      <w:pPr>
        <w:pBdr>
          <w:bottom w:val="single" w:sz="4" w:space="1" w:color="auto"/>
        </w:pBdr>
        <w:spacing w:after="0" w:line="240" w:lineRule="auto"/>
        <w:jc w:val="both"/>
        <w:rPr>
          <w:rFonts w:ascii="Arial" w:hAnsi="Arial" w:cs="Arial"/>
          <w:bCs/>
        </w:rPr>
      </w:pPr>
      <w:r w:rsidRPr="00E703EE">
        <w:rPr>
          <w:rFonts w:ascii="Arial" w:hAnsi="Arial" w:cs="Arial"/>
          <w:bCs/>
        </w:rPr>
        <w:t>S ohledem na formulaci čl. VI. odst. 8. smlouvy předpokládáme, že zadavatel bude dílo či jeho část financovat prostřednictvím dotace, a tak žádáme o uvedení, o jaké dotace se jedná, a o získání jakých dotací zadavatel s ohledem na realizaci díla usiluje.</w:t>
      </w:r>
    </w:p>
    <w:p w:rsidR="0048784D" w:rsidRPr="00752070" w:rsidRDefault="0048784D" w:rsidP="0048784D">
      <w:pPr>
        <w:spacing w:before="120" w:after="0" w:line="257" w:lineRule="exact"/>
        <w:rPr>
          <w:rFonts w:cs="Calibri"/>
          <w:i/>
          <w:iCs/>
          <w:color w:val="FF0000"/>
        </w:rPr>
      </w:pPr>
      <w:r w:rsidRPr="00752070">
        <w:rPr>
          <w:rFonts w:cs="Calibri"/>
          <w:i/>
          <w:iCs/>
          <w:color w:val="FF0000"/>
        </w:rPr>
        <w:t>Odpověď k dotazu č.</w:t>
      </w:r>
      <w:r>
        <w:rPr>
          <w:rFonts w:cs="Calibri"/>
          <w:i/>
          <w:iCs/>
          <w:color w:val="FF0000"/>
        </w:rPr>
        <w:t>4</w:t>
      </w:r>
      <w:r w:rsidRPr="00752070">
        <w:rPr>
          <w:rFonts w:cs="Calibri"/>
          <w:i/>
          <w:iCs/>
          <w:color w:val="FF0000"/>
        </w:rPr>
        <w:t>:</w:t>
      </w:r>
    </w:p>
    <w:p w:rsidR="0048784D" w:rsidRDefault="0048784D" w:rsidP="0048784D">
      <w:pPr>
        <w:spacing w:before="120" w:after="0" w:line="240" w:lineRule="auto"/>
        <w:jc w:val="both"/>
        <w:rPr>
          <w:rFonts w:cs="Calibri"/>
          <w:bCs/>
          <w:i/>
          <w:color w:val="FF0000"/>
        </w:rPr>
      </w:pPr>
      <w:bookmarkStart w:id="12" w:name="_Hlk164840317"/>
      <w:r w:rsidRPr="00752070">
        <w:rPr>
          <w:rFonts w:cs="Calibri"/>
          <w:bCs/>
          <w:i/>
          <w:color w:val="FF0000"/>
        </w:rPr>
        <w:t xml:space="preserve">Zadavatel podal projektovou žádost v rámci 8. výzvy „Rozvoj vysoce specializované </w:t>
      </w:r>
      <w:proofErr w:type="spellStart"/>
      <w:r w:rsidRPr="00752070">
        <w:rPr>
          <w:rFonts w:cs="Calibri"/>
          <w:bCs/>
          <w:i/>
          <w:color w:val="FF0000"/>
        </w:rPr>
        <w:t>hematoonkologické</w:t>
      </w:r>
      <w:proofErr w:type="spellEnd"/>
      <w:r w:rsidRPr="00752070">
        <w:rPr>
          <w:rFonts w:cs="Calibri"/>
          <w:bCs/>
          <w:i/>
          <w:color w:val="FF0000"/>
        </w:rPr>
        <w:t xml:space="preserve"> a onkologické péče“ z </w:t>
      </w:r>
      <w:r w:rsidRPr="00F76E44">
        <w:rPr>
          <w:rFonts w:cs="Calibri"/>
          <w:bCs/>
          <w:i/>
          <w:color w:val="FF0000"/>
          <w:u w:val="single"/>
        </w:rPr>
        <w:t>Národního plánu obnovy</w:t>
      </w:r>
      <w:r w:rsidRPr="00752070">
        <w:rPr>
          <w:rFonts w:cs="Calibri"/>
          <w:bCs/>
          <w:i/>
          <w:color w:val="FF0000"/>
        </w:rPr>
        <w:t>, komponenta 6.2 Národní plán na posílení onkologické prevence a péče, jejímž poskytovatelem je Ministerstvo zdravotnictví ČR. Tato žádost byla vyhodnocena, doporučena k financování a nyní je ve stavu před vydáním Právního aktu.</w:t>
      </w:r>
    </w:p>
    <w:bookmarkEnd w:id="12"/>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p>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r w:rsidRPr="00D85784">
        <w:rPr>
          <w:rFonts w:ascii="Arial" w:eastAsia="Times New Roman" w:hAnsi="Arial" w:cs="Arial"/>
          <w:b/>
          <w:bCs/>
          <w:color w:val="444444"/>
          <w:kern w:val="36"/>
          <w:sz w:val="24"/>
          <w:szCs w:val="24"/>
          <w:u w:val="single"/>
          <w:lang w:eastAsia="cs-CZ"/>
        </w:rPr>
        <w:t>Dotaz</w:t>
      </w:r>
      <w:r>
        <w:rPr>
          <w:rFonts w:ascii="Arial" w:eastAsia="Times New Roman" w:hAnsi="Arial" w:cs="Arial"/>
          <w:b/>
          <w:bCs/>
          <w:color w:val="444444"/>
          <w:kern w:val="36"/>
          <w:sz w:val="24"/>
          <w:szCs w:val="24"/>
          <w:u w:val="single"/>
          <w:lang w:eastAsia="cs-CZ"/>
        </w:rPr>
        <w:t xml:space="preserve"> č.5</w:t>
      </w:r>
    </w:p>
    <w:p w:rsidR="0048784D" w:rsidRDefault="0048784D" w:rsidP="0048784D">
      <w:pPr>
        <w:pBdr>
          <w:bottom w:val="single" w:sz="4" w:space="1" w:color="auto"/>
        </w:pBdr>
        <w:spacing w:after="0" w:line="240" w:lineRule="auto"/>
        <w:jc w:val="both"/>
        <w:rPr>
          <w:rFonts w:ascii="Arial" w:hAnsi="Arial" w:cs="Arial"/>
          <w:bCs/>
        </w:rPr>
      </w:pPr>
      <w:r w:rsidRPr="00E703EE">
        <w:rPr>
          <w:rFonts w:ascii="Arial" w:hAnsi="Arial" w:cs="Arial"/>
          <w:bCs/>
        </w:rPr>
        <w:t>Žádáme</w:t>
      </w:r>
      <w:r>
        <w:rPr>
          <w:rFonts w:ascii="Arial" w:hAnsi="Arial" w:cs="Arial"/>
          <w:bCs/>
        </w:rPr>
        <w:t xml:space="preserve"> zadavatele</w:t>
      </w:r>
      <w:r w:rsidRPr="00E703EE">
        <w:rPr>
          <w:rFonts w:ascii="Arial" w:hAnsi="Arial" w:cs="Arial"/>
          <w:bCs/>
        </w:rPr>
        <w:t xml:space="preserve"> o zdůvodnění, proč má zadavatel za to, že splatnost faktur ve lhůtě 60 dní dle čl. VII. odst. 9. smlouvy je v souladu se zásadou přiměřenost a hospodárnosti (§ 6 ZZVZ). Dodavatel má za to, že se jedná o nepřiměřené, a tedy i nezákonné ustanovení. Dodavatel poukazuje na fakt, že subdodavatelé jsou zvyklí faktur</w:t>
      </w:r>
      <w:r>
        <w:rPr>
          <w:rFonts w:ascii="Arial" w:hAnsi="Arial" w:cs="Arial"/>
          <w:bCs/>
        </w:rPr>
        <w:t>o</w:t>
      </w:r>
      <w:r w:rsidRPr="00E703EE">
        <w:rPr>
          <w:rFonts w:ascii="Arial" w:hAnsi="Arial" w:cs="Arial"/>
          <w:bCs/>
        </w:rPr>
        <w:t xml:space="preserve">vat ve lhůtě 35 dní (30 dní + 5 dní pro </w:t>
      </w:r>
      <w:proofErr w:type="spellStart"/>
      <w:r w:rsidRPr="00E703EE">
        <w:rPr>
          <w:rFonts w:ascii="Arial" w:hAnsi="Arial" w:cs="Arial"/>
          <w:bCs/>
        </w:rPr>
        <w:t>zprocesování</w:t>
      </w:r>
      <w:proofErr w:type="spellEnd"/>
      <w:r w:rsidRPr="00E703EE">
        <w:rPr>
          <w:rFonts w:ascii="Arial" w:hAnsi="Arial" w:cs="Arial"/>
          <w:bCs/>
        </w:rPr>
        <w:t xml:space="preserve"> ze strany generálního zhotovitele), přičemž naprostá většina z nich má s delší fakturační lhůtou problém. Vzhledem k tomu bude zhotovitel nucen uzavřít se subdodavateli smlouvy s lhůtou splatnosti 35 dní, v důsledku čehož se však dostává do negativního cash-</w:t>
      </w:r>
      <w:proofErr w:type="spellStart"/>
      <w:r w:rsidRPr="00E703EE">
        <w:rPr>
          <w:rFonts w:ascii="Arial" w:hAnsi="Arial" w:cs="Arial"/>
          <w:bCs/>
        </w:rPr>
        <w:t>flow</w:t>
      </w:r>
      <w:proofErr w:type="spellEnd"/>
      <w:r w:rsidRPr="00E703EE">
        <w:rPr>
          <w:rFonts w:ascii="Arial" w:hAnsi="Arial" w:cs="Arial"/>
          <w:bCs/>
        </w:rPr>
        <w:t xml:space="preserve">, což bude muset vyrovnat úvěrem. To přitom nevyhnutelně </w:t>
      </w:r>
      <w:r>
        <w:rPr>
          <w:rFonts w:ascii="Arial" w:hAnsi="Arial" w:cs="Arial"/>
          <w:bCs/>
        </w:rPr>
        <w:t>v</w:t>
      </w:r>
      <w:r w:rsidRPr="00E703EE">
        <w:rPr>
          <w:rFonts w:ascii="Arial" w:hAnsi="Arial" w:cs="Arial"/>
          <w:bCs/>
        </w:rPr>
        <w:t>ede k prodražení díla, a tak je to v rozporu se zásadou hospodárnosti. Zkrátí zadavatel lhůtu splatnosti faktur na obvyklých 30 dní?</w:t>
      </w:r>
    </w:p>
    <w:p w:rsidR="0048784D" w:rsidRPr="00752070" w:rsidRDefault="0048784D" w:rsidP="0048784D">
      <w:pPr>
        <w:spacing w:before="120" w:after="0" w:line="257" w:lineRule="exact"/>
        <w:rPr>
          <w:rFonts w:cs="Calibri"/>
          <w:i/>
          <w:iCs/>
          <w:color w:val="FF0000"/>
        </w:rPr>
      </w:pPr>
      <w:r w:rsidRPr="00752070">
        <w:rPr>
          <w:rFonts w:cs="Calibri"/>
          <w:i/>
          <w:iCs/>
          <w:color w:val="FF0000"/>
        </w:rPr>
        <w:t>Odpověď k dotazu č.</w:t>
      </w:r>
      <w:r>
        <w:rPr>
          <w:rFonts w:cs="Calibri"/>
          <w:i/>
          <w:iCs/>
          <w:color w:val="FF0000"/>
        </w:rPr>
        <w:t>5</w:t>
      </w:r>
      <w:r w:rsidRPr="00752070">
        <w:rPr>
          <w:rFonts w:cs="Calibri"/>
          <w:i/>
          <w:iCs/>
          <w:color w:val="FF0000"/>
        </w:rPr>
        <w:t>:</w:t>
      </w:r>
    </w:p>
    <w:p w:rsidR="0048784D" w:rsidRDefault="0048784D" w:rsidP="0048784D">
      <w:pPr>
        <w:shd w:val="clear" w:color="auto" w:fill="FFFFFF"/>
        <w:spacing w:before="120" w:after="0" w:line="240" w:lineRule="auto"/>
        <w:jc w:val="both"/>
        <w:outlineLvl w:val="0"/>
        <w:rPr>
          <w:rFonts w:ascii="Arial" w:eastAsia="Times New Roman" w:hAnsi="Arial" w:cs="Arial"/>
          <w:b/>
          <w:bCs/>
          <w:color w:val="444444"/>
          <w:kern w:val="36"/>
          <w:sz w:val="24"/>
          <w:szCs w:val="24"/>
          <w:u w:val="single"/>
          <w:lang w:eastAsia="cs-CZ"/>
        </w:rPr>
      </w:pPr>
      <w:r w:rsidRPr="00396CC0">
        <w:rPr>
          <w:rFonts w:cs="Calibri"/>
          <w:bCs/>
          <w:i/>
          <w:color w:val="FF0000"/>
        </w:rPr>
        <w:t xml:space="preserve">Zadavatel z předchozích zkušeností z dotačních programů využívá možností stanovených právními předpisy a </w:t>
      </w:r>
      <w:r w:rsidRPr="00F76E44">
        <w:rPr>
          <w:rFonts w:cs="Calibri"/>
          <w:bCs/>
          <w:i/>
          <w:color w:val="FF0000"/>
          <w:u w:val="single"/>
        </w:rPr>
        <w:t>stanovuje splatnost na 60 dnů</w:t>
      </w:r>
      <w:r w:rsidRPr="00396CC0">
        <w:rPr>
          <w:rFonts w:cs="Calibri"/>
          <w:bCs/>
          <w:i/>
          <w:color w:val="FF0000"/>
        </w:rPr>
        <w:t>. V tomto termínu je zadavatel objektivně schopný zpracovat administrativu spojenou s povinnostmi stanovenými dotačními orgány.</w:t>
      </w:r>
    </w:p>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p>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p>
    <w:p w:rsidR="0048784D" w:rsidRDefault="0048784D" w:rsidP="0048784D">
      <w:pPr>
        <w:shd w:val="clear" w:color="auto" w:fill="FFFFFF"/>
        <w:spacing w:after="0" w:line="240" w:lineRule="auto"/>
        <w:outlineLvl w:val="0"/>
        <w:rPr>
          <w:rFonts w:ascii="Arial" w:eastAsia="Times New Roman" w:hAnsi="Arial" w:cs="Arial"/>
          <w:b/>
          <w:bCs/>
          <w:color w:val="444444"/>
          <w:kern w:val="36"/>
          <w:sz w:val="24"/>
          <w:szCs w:val="24"/>
          <w:u w:val="single"/>
          <w:lang w:eastAsia="cs-CZ"/>
        </w:rPr>
      </w:pPr>
      <w:r w:rsidRPr="00D85784">
        <w:rPr>
          <w:rFonts w:ascii="Arial" w:eastAsia="Times New Roman" w:hAnsi="Arial" w:cs="Arial"/>
          <w:b/>
          <w:bCs/>
          <w:color w:val="444444"/>
          <w:kern w:val="36"/>
          <w:sz w:val="24"/>
          <w:szCs w:val="24"/>
          <w:u w:val="single"/>
          <w:lang w:eastAsia="cs-CZ"/>
        </w:rPr>
        <w:t>Dotaz</w:t>
      </w:r>
      <w:r>
        <w:rPr>
          <w:rFonts w:ascii="Arial" w:eastAsia="Times New Roman" w:hAnsi="Arial" w:cs="Arial"/>
          <w:b/>
          <w:bCs/>
          <w:color w:val="444444"/>
          <w:kern w:val="36"/>
          <w:sz w:val="24"/>
          <w:szCs w:val="24"/>
          <w:u w:val="single"/>
          <w:lang w:eastAsia="cs-CZ"/>
        </w:rPr>
        <w:t xml:space="preserve"> č.6</w:t>
      </w:r>
    </w:p>
    <w:p w:rsidR="0048784D" w:rsidRDefault="0048784D" w:rsidP="0048784D">
      <w:pPr>
        <w:pBdr>
          <w:bottom w:val="single" w:sz="4" w:space="1" w:color="auto"/>
        </w:pBdr>
        <w:spacing w:after="0" w:line="240" w:lineRule="auto"/>
        <w:jc w:val="both"/>
        <w:rPr>
          <w:rFonts w:ascii="Arial" w:hAnsi="Arial" w:cs="Arial"/>
          <w:bCs/>
        </w:rPr>
      </w:pPr>
      <w:r w:rsidRPr="00633802">
        <w:rPr>
          <w:rFonts w:ascii="Arial" w:hAnsi="Arial" w:cs="Arial"/>
          <w:bCs/>
        </w:rPr>
        <w:t>Může být v případě nemoci či dovolené hlavního stavbyvedoucího na stavbě přítomen a na telefonu dostupný (ve smyslu čl. VIII. odst. 9. smlouvy) zástupce stavbyvedoucího či vedoucí projektu? Postačí o této dočasné změně vyrozumět objednatele zápisem ve stavebním deníku?</w:t>
      </w:r>
    </w:p>
    <w:p w:rsidR="0048784D" w:rsidRPr="00752070" w:rsidRDefault="0048784D" w:rsidP="0048784D">
      <w:pPr>
        <w:spacing w:before="120" w:after="0" w:line="257" w:lineRule="exact"/>
        <w:rPr>
          <w:rFonts w:cs="Calibri"/>
          <w:i/>
          <w:iCs/>
          <w:color w:val="FF0000"/>
        </w:rPr>
      </w:pPr>
      <w:r w:rsidRPr="00752070">
        <w:rPr>
          <w:rFonts w:cs="Calibri"/>
          <w:i/>
          <w:iCs/>
          <w:color w:val="FF0000"/>
        </w:rPr>
        <w:t>Odpověď k dotazu č.</w:t>
      </w:r>
      <w:r>
        <w:rPr>
          <w:rFonts w:cs="Calibri"/>
          <w:i/>
          <w:iCs/>
          <w:color w:val="FF0000"/>
        </w:rPr>
        <w:t>6</w:t>
      </w:r>
      <w:r w:rsidRPr="00752070">
        <w:rPr>
          <w:rFonts w:cs="Calibri"/>
          <w:i/>
          <w:iCs/>
          <w:color w:val="FF0000"/>
        </w:rPr>
        <w:t>:</w:t>
      </w:r>
    </w:p>
    <w:p w:rsidR="0048784D" w:rsidRDefault="0048784D" w:rsidP="0048784D">
      <w:pPr>
        <w:spacing w:before="120" w:after="0" w:line="240" w:lineRule="auto"/>
        <w:jc w:val="both"/>
        <w:rPr>
          <w:rFonts w:cs="Calibri"/>
          <w:bCs/>
          <w:i/>
          <w:color w:val="FF0000"/>
        </w:rPr>
      </w:pPr>
      <w:r>
        <w:rPr>
          <w:rFonts w:cs="Calibri"/>
          <w:bCs/>
          <w:i/>
          <w:color w:val="FF0000"/>
        </w:rPr>
        <w:t xml:space="preserve">Zadavatel uvádí, že v rámci realizace díla </w:t>
      </w:r>
      <w:r w:rsidRPr="00965761">
        <w:rPr>
          <w:rFonts w:cs="Calibri"/>
          <w:bCs/>
          <w:i/>
          <w:color w:val="FF0000"/>
          <w:u w:val="single"/>
        </w:rPr>
        <w:t>bude akceptovat zastupitelnost</w:t>
      </w:r>
      <w:r w:rsidRPr="00A8069E">
        <w:rPr>
          <w:rFonts w:cs="Calibri"/>
          <w:bCs/>
          <w:i/>
          <w:color w:val="FF0000"/>
        </w:rPr>
        <w:t xml:space="preserve"> při </w:t>
      </w:r>
      <w:r>
        <w:rPr>
          <w:rFonts w:cs="Calibri"/>
          <w:bCs/>
          <w:i/>
          <w:color w:val="FF0000"/>
        </w:rPr>
        <w:t xml:space="preserve">dodržení </w:t>
      </w:r>
      <w:r w:rsidRPr="00A8069E">
        <w:rPr>
          <w:rFonts w:cs="Calibri"/>
          <w:bCs/>
          <w:i/>
          <w:color w:val="FF0000"/>
        </w:rPr>
        <w:t>čl. VIII. odst. 9.</w:t>
      </w:r>
      <w:r>
        <w:rPr>
          <w:rFonts w:cs="Calibri"/>
          <w:bCs/>
          <w:i/>
          <w:color w:val="FF0000"/>
        </w:rPr>
        <w:t xml:space="preserve"> ve kterém je mj. uvedeno: „...</w:t>
      </w:r>
      <w:r w:rsidRPr="00A8069E">
        <w:rPr>
          <w:rFonts w:cs="Calibri"/>
          <w:bCs/>
          <w:i/>
          <w:color w:val="FF0000"/>
        </w:rPr>
        <w:t>Osoba pověřená řízením stavby musí splňovat požadavky na kvalifikaci k výkonu této činnosti dle zvláštních předpisů /autorizace v příslušném oboru</w:t>
      </w:r>
      <w:r>
        <w:rPr>
          <w:rFonts w:cs="Calibri"/>
          <w:bCs/>
          <w:i/>
          <w:color w:val="FF0000"/>
        </w:rPr>
        <w:t>/.“ Zastupující osoby současně musí splnit odbornou kvalifikaci dle aktuální zadávací dokumentace. Zastupující osoba bude</w:t>
      </w:r>
      <w:r w:rsidRPr="007E269B">
        <w:rPr>
          <w:rFonts w:cs="Calibri"/>
          <w:bCs/>
          <w:i/>
          <w:color w:val="FF0000"/>
        </w:rPr>
        <w:t xml:space="preserve"> </w:t>
      </w:r>
      <w:r>
        <w:rPr>
          <w:rFonts w:cs="Calibri"/>
          <w:bCs/>
          <w:i/>
          <w:color w:val="FF0000"/>
        </w:rPr>
        <w:t xml:space="preserve">před zahájením jejího působení na stavbě rovněž zaznamenána do stavebním deníku. </w:t>
      </w:r>
    </w:p>
    <w:p w:rsidR="0048784D" w:rsidRPr="0048784D" w:rsidRDefault="0048784D" w:rsidP="0048784D">
      <w:pPr>
        <w:spacing w:before="240" w:after="0" w:line="276" w:lineRule="auto"/>
        <w:jc w:val="both"/>
        <w:rPr>
          <w:b/>
        </w:rPr>
      </w:pPr>
    </w:p>
    <w:p w:rsidR="000F007E" w:rsidRPr="000F007E" w:rsidRDefault="000F007E" w:rsidP="005E57B5">
      <w:pPr>
        <w:spacing w:before="240" w:after="0" w:line="276" w:lineRule="auto"/>
        <w:ind w:left="-567"/>
        <w:jc w:val="both"/>
      </w:pPr>
      <w:r w:rsidRPr="000F007E">
        <w:t>Na</w:t>
      </w:r>
      <w:r w:rsidR="0048784D">
        <w:t>d</w:t>
      </w:r>
      <w:r w:rsidRPr="000F007E">
        <w:t xml:space="preserve"> rámec </w:t>
      </w:r>
      <w:r w:rsidR="0048784D">
        <w:t>těchto dotazů</w:t>
      </w:r>
      <w:r w:rsidRPr="000F007E">
        <w:t xml:space="preserve"> zadavatel provedl úpravu návrhu smlouvy o dílo v čl. V odst. 1, kdy upravil délku termínů plnění. Upravený návrh smlouvy o dílo je přílohou tohoto vysvětlení.  </w:t>
      </w:r>
    </w:p>
    <w:p w:rsidR="00E75454" w:rsidRDefault="00E75454" w:rsidP="00672C00">
      <w:pPr>
        <w:spacing w:after="0" w:line="276" w:lineRule="auto"/>
        <w:ind w:left="-567"/>
        <w:jc w:val="both"/>
        <w:rPr>
          <w:rFonts w:cstheme="minorHAnsi"/>
          <w:b/>
          <w:color w:val="1D1D1B"/>
          <w:u w:val="single"/>
        </w:rPr>
      </w:pPr>
    </w:p>
    <w:p w:rsidR="001D291C" w:rsidRPr="00D45D56" w:rsidRDefault="00127647" w:rsidP="0048784D">
      <w:pPr>
        <w:spacing w:after="120" w:line="276" w:lineRule="auto"/>
        <w:ind w:left="-567"/>
        <w:jc w:val="both"/>
        <w:rPr>
          <w:rFonts w:cstheme="minorHAnsi"/>
          <w:color w:val="1D1D1B"/>
          <w:u w:val="single"/>
        </w:rPr>
      </w:pPr>
      <w:r w:rsidRPr="003969C7">
        <w:rPr>
          <w:rFonts w:cstheme="minorHAnsi"/>
          <w:b/>
        </w:rPr>
        <w:t>Zadavatel závěrem shrnuje, že došlo k úpravě zadávacích podmínek a na základě toho byly aktualizovány příslušné přílohy. Nově upraven</w:t>
      </w:r>
      <w:r w:rsidR="00375A0E">
        <w:rPr>
          <w:rFonts w:cstheme="minorHAnsi"/>
          <w:b/>
        </w:rPr>
        <w:t>é</w:t>
      </w:r>
      <w:r w:rsidRPr="003969C7">
        <w:rPr>
          <w:rFonts w:cstheme="minorHAnsi"/>
          <w:b/>
        </w:rPr>
        <w:t xml:space="preserve"> příloh</w:t>
      </w:r>
      <w:r w:rsidR="00375A0E">
        <w:rPr>
          <w:rFonts w:cstheme="minorHAnsi"/>
          <w:b/>
        </w:rPr>
        <w:t>y</w:t>
      </w:r>
      <w:r w:rsidRPr="003969C7">
        <w:rPr>
          <w:rFonts w:cstheme="minorHAnsi"/>
          <w:b/>
        </w:rPr>
        <w:t xml:space="preserve"> j</w:t>
      </w:r>
      <w:r w:rsidR="00375A0E">
        <w:rPr>
          <w:rFonts w:cstheme="minorHAnsi"/>
          <w:b/>
        </w:rPr>
        <w:t>sou</w:t>
      </w:r>
      <w:r w:rsidRPr="003969C7">
        <w:rPr>
          <w:rFonts w:cstheme="minorHAnsi"/>
          <w:b/>
        </w:rPr>
        <w:t xml:space="preserve"> součástí tohoto vysvětlení. </w:t>
      </w:r>
      <w:r w:rsidRPr="003969C7">
        <w:rPr>
          <w:rFonts w:ascii="Calibri" w:hAnsi="Calibri"/>
          <w:b/>
          <w:color w:val="1D1D1B"/>
        </w:rPr>
        <w:t xml:space="preserve">Zadavatel tedy tímto vysvětlením zadávací dokumentace prodlužuje lhůtu pro podání nabídek do </w:t>
      </w:r>
      <w:r w:rsidR="0048784D">
        <w:rPr>
          <w:rFonts w:ascii="Calibri" w:hAnsi="Calibri"/>
          <w:b/>
          <w:color w:val="1D1D1B"/>
        </w:rPr>
        <w:t>6</w:t>
      </w:r>
      <w:r w:rsidRPr="003969C7">
        <w:rPr>
          <w:rFonts w:ascii="Calibri" w:hAnsi="Calibri"/>
          <w:b/>
          <w:color w:val="1D1D1B"/>
        </w:rPr>
        <w:t>.</w:t>
      </w:r>
      <w:r w:rsidR="001D539A">
        <w:rPr>
          <w:rFonts w:ascii="Calibri" w:hAnsi="Calibri"/>
          <w:b/>
          <w:color w:val="1D1D1B"/>
        </w:rPr>
        <w:t>6</w:t>
      </w:r>
      <w:r w:rsidRPr="003969C7">
        <w:rPr>
          <w:rFonts w:ascii="Calibri" w:hAnsi="Calibri"/>
          <w:b/>
          <w:color w:val="1D1D1B"/>
        </w:rPr>
        <w:t>.202</w:t>
      </w:r>
      <w:r>
        <w:rPr>
          <w:rFonts w:ascii="Calibri" w:hAnsi="Calibri"/>
          <w:b/>
          <w:color w:val="1D1D1B"/>
        </w:rPr>
        <w:t>4</w:t>
      </w:r>
      <w:r w:rsidRPr="003969C7">
        <w:rPr>
          <w:rFonts w:ascii="Calibri" w:hAnsi="Calibri"/>
          <w:b/>
          <w:color w:val="1D1D1B"/>
        </w:rPr>
        <w:t xml:space="preserve"> do 10 hodin.</w:t>
      </w:r>
    </w:p>
    <w:p w:rsidR="00101F93" w:rsidRDefault="001D291C" w:rsidP="00127647">
      <w:pPr>
        <w:spacing w:after="0" w:line="240" w:lineRule="auto"/>
        <w:ind w:left="-567"/>
        <w:jc w:val="both"/>
        <w:rPr>
          <w:rFonts w:cstheme="minorHAnsi"/>
        </w:rPr>
      </w:pPr>
      <w:r w:rsidRPr="00BD67B5">
        <w:rPr>
          <w:rFonts w:cstheme="minorHAnsi"/>
        </w:rPr>
        <w:t>Přílohy:</w:t>
      </w:r>
    </w:p>
    <w:p w:rsidR="00777920" w:rsidRDefault="00777920" w:rsidP="00127647">
      <w:pPr>
        <w:spacing w:after="0" w:line="240" w:lineRule="auto"/>
        <w:ind w:left="-567"/>
        <w:jc w:val="both"/>
      </w:pPr>
      <w:r w:rsidRPr="00777920">
        <w:t>příloh</w:t>
      </w:r>
      <w:r>
        <w:t>a</w:t>
      </w:r>
      <w:r w:rsidRPr="00777920">
        <w:t xml:space="preserve"> č.</w:t>
      </w:r>
      <w:proofErr w:type="gramStart"/>
      <w:r w:rsidRPr="00777920">
        <w:t>3</w:t>
      </w:r>
      <w:r>
        <w:t>a</w:t>
      </w:r>
      <w:r w:rsidRPr="00777920">
        <w:t xml:space="preserve"> - Výkaz</w:t>
      </w:r>
      <w:proofErr w:type="gramEnd"/>
      <w:r w:rsidRPr="00777920">
        <w:t xml:space="preserve"> výměr 3a</w:t>
      </w:r>
      <w:r>
        <w:t xml:space="preserve"> (2</w:t>
      </w:r>
      <w:r w:rsidR="0048784D">
        <w:t>5</w:t>
      </w:r>
      <w:r>
        <w:t>0424)</w:t>
      </w:r>
    </w:p>
    <w:p w:rsidR="000F007E" w:rsidRDefault="000F007E" w:rsidP="000F007E">
      <w:pPr>
        <w:spacing w:after="0" w:line="240" w:lineRule="auto"/>
        <w:ind w:left="-567"/>
        <w:jc w:val="both"/>
        <w:rPr>
          <w:rFonts w:cstheme="minorHAnsi"/>
        </w:rPr>
      </w:pPr>
      <w:r w:rsidRPr="00D32132">
        <w:rPr>
          <w:rFonts w:cstheme="minorHAnsi"/>
        </w:rPr>
        <w:t>Příloha č. 2 - Návrh smlouvy o dílo (2</w:t>
      </w:r>
      <w:r w:rsidR="0048784D">
        <w:rPr>
          <w:rFonts w:cstheme="minorHAnsi"/>
        </w:rPr>
        <w:t>5</w:t>
      </w:r>
      <w:r w:rsidRPr="00D32132">
        <w:rPr>
          <w:rFonts w:cstheme="minorHAnsi"/>
        </w:rPr>
        <w:t>0</w:t>
      </w:r>
      <w:r>
        <w:rPr>
          <w:rFonts w:cstheme="minorHAnsi"/>
        </w:rPr>
        <w:t>4</w:t>
      </w:r>
      <w:r w:rsidRPr="00D32132">
        <w:rPr>
          <w:rFonts w:cstheme="minorHAnsi"/>
        </w:rPr>
        <w:t>24)</w:t>
      </w:r>
    </w:p>
    <w:p w:rsidR="0048784D" w:rsidRDefault="0048784D" w:rsidP="000F007E">
      <w:pPr>
        <w:spacing w:after="0" w:line="240" w:lineRule="auto"/>
        <w:ind w:left="-567"/>
        <w:jc w:val="both"/>
        <w:rPr>
          <w:rFonts w:cstheme="minorHAnsi"/>
        </w:rPr>
      </w:pPr>
      <w:r w:rsidRPr="0048784D">
        <w:rPr>
          <w:rFonts w:cstheme="minorHAnsi"/>
        </w:rPr>
        <w:t xml:space="preserve">Příloha č. 5 - Čestné </w:t>
      </w:r>
      <w:proofErr w:type="gramStart"/>
      <w:r w:rsidRPr="0048784D">
        <w:rPr>
          <w:rFonts w:cstheme="minorHAnsi"/>
        </w:rPr>
        <w:t>prohlášení - realizační</w:t>
      </w:r>
      <w:proofErr w:type="gramEnd"/>
      <w:r w:rsidRPr="0048784D">
        <w:rPr>
          <w:rFonts w:cstheme="minorHAnsi"/>
        </w:rPr>
        <w:t xml:space="preserve"> tým (250424)</w:t>
      </w:r>
    </w:p>
    <w:p w:rsidR="000F007E" w:rsidRDefault="0048784D" w:rsidP="00127647">
      <w:pPr>
        <w:spacing w:after="0" w:line="240" w:lineRule="auto"/>
        <w:ind w:left="-567"/>
        <w:jc w:val="both"/>
      </w:pPr>
      <w:r w:rsidRPr="0048784D">
        <w:t>Příloha č. 6 – Čestné prohlášení – reference (250424)</w:t>
      </w:r>
    </w:p>
    <w:p w:rsidR="004D18F6" w:rsidRDefault="004D18F6" w:rsidP="00127647">
      <w:pPr>
        <w:spacing w:after="0" w:line="240" w:lineRule="auto"/>
        <w:ind w:left="-567"/>
        <w:jc w:val="both"/>
      </w:pPr>
    </w:p>
    <w:p w:rsidR="004D18F6" w:rsidRPr="004D18F6" w:rsidRDefault="004D18F6" w:rsidP="00127647">
      <w:pPr>
        <w:spacing w:after="0" w:line="240" w:lineRule="auto"/>
        <w:ind w:left="-567"/>
        <w:jc w:val="both"/>
        <w:rPr>
          <w:u w:val="single"/>
        </w:rPr>
      </w:pPr>
      <w:r w:rsidRPr="004D18F6">
        <w:rPr>
          <w:u w:val="single"/>
        </w:rPr>
        <w:t>Příloha k vysvětlení ZD č. 6 (2</w:t>
      </w:r>
      <w:r w:rsidR="0048784D">
        <w:rPr>
          <w:u w:val="single"/>
        </w:rPr>
        <w:t>5</w:t>
      </w:r>
      <w:r w:rsidRPr="004D18F6">
        <w:rPr>
          <w:u w:val="single"/>
        </w:rPr>
        <w:t>0424)</w:t>
      </w:r>
      <w:r>
        <w:rPr>
          <w:u w:val="single"/>
        </w:rPr>
        <w:t xml:space="preserve"> </w:t>
      </w:r>
      <w:r w:rsidRPr="004D18F6">
        <w:rPr>
          <w:u w:val="single"/>
        </w:rPr>
        <w:t>ve formátu .zip:</w:t>
      </w:r>
    </w:p>
    <w:p w:rsidR="004D18F6" w:rsidRPr="004D18F6" w:rsidRDefault="004D18F6" w:rsidP="004D18F6">
      <w:pPr>
        <w:spacing w:after="0" w:line="240" w:lineRule="auto"/>
        <w:ind w:left="-567"/>
        <w:jc w:val="both"/>
        <w:rPr>
          <w:rFonts w:cstheme="minorHAnsi"/>
        </w:rPr>
      </w:pPr>
      <w:r w:rsidRPr="004D18F6">
        <w:rPr>
          <w:rFonts w:cstheme="minorHAnsi"/>
        </w:rPr>
        <w:t>Souhrnná technická zpráva (A_B_PRŮVODNÍ A SOUHRNNÁ ZPRÁVA)</w:t>
      </w:r>
    </w:p>
    <w:p w:rsidR="004D18F6" w:rsidRPr="004D18F6" w:rsidRDefault="004D18F6" w:rsidP="004D18F6">
      <w:pPr>
        <w:spacing w:after="0" w:line="240" w:lineRule="auto"/>
        <w:ind w:left="-567"/>
        <w:jc w:val="both"/>
        <w:rPr>
          <w:rFonts w:cstheme="minorHAnsi"/>
        </w:rPr>
      </w:pPr>
      <w:r w:rsidRPr="004D18F6">
        <w:rPr>
          <w:rFonts w:cstheme="minorHAnsi"/>
        </w:rPr>
        <w:t>Technická zpráva (D.1.1_STAVEBNÍ_ČÁST)</w:t>
      </w:r>
    </w:p>
    <w:p w:rsidR="004D18F6" w:rsidRPr="004D18F6" w:rsidRDefault="004D18F6" w:rsidP="004D18F6">
      <w:pPr>
        <w:spacing w:after="0" w:line="240" w:lineRule="auto"/>
        <w:ind w:left="-567"/>
        <w:jc w:val="both"/>
        <w:rPr>
          <w:rFonts w:cstheme="minorHAnsi"/>
        </w:rPr>
      </w:pPr>
      <w:r w:rsidRPr="004D18F6">
        <w:rPr>
          <w:rFonts w:cstheme="minorHAnsi"/>
        </w:rPr>
        <w:t>Technická zpráva konstrukční části (D.1.2_KONSTRUČNÍ_ČÁST)</w:t>
      </w:r>
    </w:p>
    <w:p w:rsidR="00691FB7" w:rsidRDefault="004D18F6" w:rsidP="00691FB7">
      <w:pPr>
        <w:spacing w:after="0" w:line="240" w:lineRule="auto"/>
        <w:ind w:left="-567"/>
        <w:jc w:val="both"/>
        <w:rPr>
          <w:rFonts w:cstheme="minorHAnsi"/>
        </w:rPr>
      </w:pPr>
      <w:r w:rsidRPr="004D18F6">
        <w:rPr>
          <w:rFonts w:cstheme="minorHAnsi"/>
        </w:rPr>
        <w:t>Statický posudek (D.1.2_KONSTRUČNÍ_ČÁST)</w:t>
      </w:r>
      <w:bookmarkEnd w:id="1"/>
    </w:p>
    <w:p w:rsidR="00FE20A5" w:rsidRPr="00691FB7" w:rsidRDefault="00691FB7" w:rsidP="00691FB7">
      <w:pPr>
        <w:spacing w:after="0" w:line="240" w:lineRule="auto"/>
        <w:ind w:left="-567"/>
        <w:jc w:val="both"/>
        <w:rPr>
          <w:rFonts w:cstheme="minorHAnsi"/>
        </w:rPr>
      </w:pPr>
      <w:r w:rsidRPr="00777920">
        <w:t>GSM - D.1.4.N_GSM</w:t>
      </w:r>
    </w:p>
    <w:p w:rsidR="00451B7C" w:rsidRDefault="00451B7C" w:rsidP="002A648F">
      <w:pPr>
        <w:spacing w:after="0" w:line="240" w:lineRule="auto"/>
        <w:ind w:left="-567"/>
        <w:jc w:val="both"/>
        <w:rPr>
          <w:rFonts w:cstheme="minorHAnsi"/>
          <w:b/>
          <w:color w:val="1D1D1B"/>
          <w:u w:val="single"/>
        </w:rPr>
      </w:pPr>
    </w:p>
    <w:p w:rsidR="00451B7C" w:rsidRPr="002A648F" w:rsidRDefault="00451B7C" w:rsidP="002A648F">
      <w:pPr>
        <w:spacing w:after="0" w:line="240" w:lineRule="auto"/>
        <w:ind w:left="-567"/>
        <w:jc w:val="both"/>
        <w:rPr>
          <w:rFonts w:cstheme="minorHAnsi"/>
          <w:b/>
          <w:color w:val="1D1D1B"/>
          <w:u w:val="single"/>
        </w:rPr>
      </w:pPr>
    </w:p>
    <w:sectPr w:rsidR="00451B7C" w:rsidRPr="002A648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458" w:rsidRDefault="00122458" w:rsidP="00097BF6">
      <w:pPr>
        <w:spacing w:after="0" w:line="240" w:lineRule="auto"/>
      </w:pPr>
      <w:r>
        <w:separator/>
      </w:r>
    </w:p>
  </w:endnote>
  <w:endnote w:type="continuationSeparator" w:id="0">
    <w:p w:rsidR="00122458" w:rsidRDefault="00122458" w:rsidP="0009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INCE-Medium">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458" w:rsidRDefault="00122458" w:rsidP="00097BF6">
      <w:pPr>
        <w:spacing w:after="0" w:line="240" w:lineRule="auto"/>
      </w:pPr>
      <w:r>
        <w:separator/>
      </w:r>
    </w:p>
  </w:footnote>
  <w:footnote w:type="continuationSeparator" w:id="0">
    <w:p w:rsidR="00122458" w:rsidRDefault="00122458" w:rsidP="0009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F6" w:rsidRPr="00097BF6" w:rsidRDefault="00097BF6" w:rsidP="00CD29D6">
    <w:pPr>
      <w:pStyle w:val="Zhlav"/>
    </w:pPr>
    <w:r w:rsidRPr="00097BF6">
      <w:rPr>
        <w:b/>
      </w:rPr>
      <w:tab/>
    </w:r>
  </w:p>
  <w:p w:rsidR="00097BF6" w:rsidRDefault="00097B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040F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AE8944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25558E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4E744E0"/>
    <w:multiLevelType w:val="hybridMultilevel"/>
    <w:tmpl w:val="00F4E004"/>
    <w:lvl w:ilvl="0" w:tplc="5AB2EB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017E2"/>
    <w:multiLevelType w:val="hybridMultilevel"/>
    <w:tmpl w:val="30EC13E0"/>
    <w:lvl w:ilvl="0" w:tplc="BFB2B280">
      <w:numFmt w:val="bullet"/>
      <w:lvlText w:val="-"/>
      <w:lvlJc w:val="left"/>
      <w:pPr>
        <w:ind w:left="862" w:hanging="360"/>
      </w:pPr>
      <w:rPr>
        <w:rFonts w:ascii="Calibri" w:eastAsiaTheme="minorHAnsi" w:hAnsi="Calibri"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15:restartNumberingAfterBreak="0">
    <w:nsid w:val="0E492D83"/>
    <w:multiLevelType w:val="hybridMultilevel"/>
    <w:tmpl w:val="B9E4E8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37430C"/>
    <w:multiLevelType w:val="hybridMultilevel"/>
    <w:tmpl w:val="852C80CC"/>
    <w:lvl w:ilvl="0" w:tplc="B6E026AE">
      <w:start w:val="1"/>
      <w:numFmt w:val="decimal"/>
      <w:lvlText w:val="%1."/>
      <w:lvlJc w:val="left"/>
      <w:pPr>
        <w:ind w:left="644"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2697D9A"/>
    <w:multiLevelType w:val="hybridMultilevel"/>
    <w:tmpl w:val="985CA6E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9" w15:restartNumberingAfterBreak="0">
    <w:nsid w:val="13735BAE"/>
    <w:multiLevelType w:val="hybridMultilevel"/>
    <w:tmpl w:val="459845C8"/>
    <w:lvl w:ilvl="0" w:tplc="BFB2B28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3FA0B66"/>
    <w:multiLevelType w:val="hybridMultilevel"/>
    <w:tmpl w:val="F02E994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14F95723"/>
    <w:multiLevelType w:val="hybridMultilevel"/>
    <w:tmpl w:val="F36E4A0E"/>
    <w:lvl w:ilvl="0" w:tplc="2848A126">
      <w:numFmt w:val="bullet"/>
      <w:lvlText w:val="-"/>
      <w:lvlJc w:val="left"/>
      <w:pPr>
        <w:ind w:left="502"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 w15:restartNumberingAfterBreak="0">
    <w:nsid w:val="1DC66EEA"/>
    <w:multiLevelType w:val="hybridMultilevel"/>
    <w:tmpl w:val="9DF2F11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3" w15:restartNumberingAfterBreak="0">
    <w:nsid w:val="275D46B2"/>
    <w:multiLevelType w:val="hybridMultilevel"/>
    <w:tmpl w:val="ADD8B4C8"/>
    <w:lvl w:ilvl="0" w:tplc="04050003">
      <w:start w:val="1"/>
      <w:numFmt w:val="bullet"/>
      <w:lvlText w:val="o"/>
      <w:lvlJc w:val="left"/>
      <w:pPr>
        <w:ind w:left="1145" w:hanging="360"/>
      </w:pPr>
      <w:rPr>
        <w:rFonts w:ascii="Courier New" w:hAnsi="Courier New" w:cs="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288C4C15"/>
    <w:multiLevelType w:val="hybridMultilevel"/>
    <w:tmpl w:val="3134EF1C"/>
    <w:lvl w:ilvl="0" w:tplc="5CAA448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BD1172"/>
    <w:multiLevelType w:val="hybridMultilevel"/>
    <w:tmpl w:val="5D76FA5A"/>
    <w:lvl w:ilvl="0" w:tplc="5DA84F66">
      <w:numFmt w:val="bullet"/>
      <w:lvlText w:val="-"/>
      <w:lvlJc w:val="left"/>
      <w:pPr>
        <w:ind w:left="720" w:hanging="360"/>
      </w:pPr>
      <w:rPr>
        <w:rFonts w:ascii="Aptos" w:eastAsia="Aptos" w:hAnsi="Aptos"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2A0675C0"/>
    <w:multiLevelType w:val="hybridMultilevel"/>
    <w:tmpl w:val="0B3C801E"/>
    <w:lvl w:ilvl="0" w:tplc="A99A22DE">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368434DA"/>
    <w:multiLevelType w:val="hybridMultilevel"/>
    <w:tmpl w:val="9C481E56"/>
    <w:lvl w:ilvl="0" w:tplc="04050001">
      <w:start w:val="1"/>
      <w:numFmt w:val="bullet"/>
      <w:lvlText w:val=""/>
      <w:lvlJc w:val="left"/>
      <w:pPr>
        <w:ind w:left="766" w:hanging="360"/>
      </w:pPr>
      <w:rPr>
        <w:rFonts w:ascii="Symbol" w:hAnsi="Symbol" w:hint="default"/>
      </w:rPr>
    </w:lvl>
    <w:lvl w:ilvl="1" w:tplc="04050003">
      <w:start w:val="1"/>
      <w:numFmt w:val="bullet"/>
      <w:lvlText w:val="o"/>
      <w:lvlJc w:val="left"/>
      <w:pPr>
        <w:ind w:left="1486" w:hanging="360"/>
      </w:pPr>
      <w:rPr>
        <w:rFonts w:ascii="Courier New" w:hAnsi="Courier New" w:cs="Courier New" w:hint="default"/>
      </w:rPr>
    </w:lvl>
    <w:lvl w:ilvl="2" w:tplc="04050005">
      <w:start w:val="1"/>
      <w:numFmt w:val="bullet"/>
      <w:lvlText w:val=""/>
      <w:lvlJc w:val="left"/>
      <w:pPr>
        <w:ind w:left="2206" w:hanging="360"/>
      </w:pPr>
      <w:rPr>
        <w:rFonts w:ascii="Wingdings" w:hAnsi="Wingdings" w:hint="default"/>
      </w:rPr>
    </w:lvl>
    <w:lvl w:ilvl="3" w:tplc="04050001">
      <w:start w:val="1"/>
      <w:numFmt w:val="bullet"/>
      <w:lvlText w:val=""/>
      <w:lvlJc w:val="left"/>
      <w:pPr>
        <w:ind w:left="2926" w:hanging="360"/>
      </w:pPr>
      <w:rPr>
        <w:rFonts w:ascii="Symbol" w:hAnsi="Symbol" w:hint="default"/>
      </w:rPr>
    </w:lvl>
    <w:lvl w:ilvl="4" w:tplc="04050003">
      <w:start w:val="1"/>
      <w:numFmt w:val="bullet"/>
      <w:lvlText w:val="o"/>
      <w:lvlJc w:val="left"/>
      <w:pPr>
        <w:ind w:left="3646" w:hanging="360"/>
      </w:pPr>
      <w:rPr>
        <w:rFonts w:ascii="Courier New" w:hAnsi="Courier New" w:cs="Courier New" w:hint="default"/>
      </w:rPr>
    </w:lvl>
    <w:lvl w:ilvl="5" w:tplc="04050005">
      <w:start w:val="1"/>
      <w:numFmt w:val="bullet"/>
      <w:lvlText w:val=""/>
      <w:lvlJc w:val="left"/>
      <w:pPr>
        <w:ind w:left="4366" w:hanging="360"/>
      </w:pPr>
      <w:rPr>
        <w:rFonts w:ascii="Wingdings" w:hAnsi="Wingdings" w:hint="default"/>
      </w:rPr>
    </w:lvl>
    <w:lvl w:ilvl="6" w:tplc="04050001">
      <w:start w:val="1"/>
      <w:numFmt w:val="bullet"/>
      <w:lvlText w:val=""/>
      <w:lvlJc w:val="left"/>
      <w:pPr>
        <w:ind w:left="5086" w:hanging="360"/>
      </w:pPr>
      <w:rPr>
        <w:rFonts w:ascii="Symbol" w:hAnsi="Symbol" w:hint="default"/>
      </w:rPr>
    </w:lvl>
    <w:lvl w:ilvl="7" w:tplc="04050003">
      <w:start w:val="1"/>
      <w:numFmt w:val="bullet"/>
      <w:lvlText w:val="o"/>
      <w:lvlJc w:val="left"/>
      <w:pPr>
        <w:ind w:left="5806" w:hanging="360"/>
      </w:pPr>
      <w:rPr>
        <w:rFonts w:ascii="Courier New" w:hAnsi="Courier New" w:cs="Courier New" w:hint="default"/>
      </w:rPr>
    </w:lvl>
    <w:lvl w:ilvl="8" w:tplc="04050005">
      <w:start w:val="1"/>
      <w:numFmt w:val="bullet"/>
      <w:lvlText w:val=""/>
      <w:lvlJc w:val="left"/>
      <w:pPr>
        <w:ind w:left="6526" w:hanging="360"/>
      </w:pPr>
      <w:rPr>
        <w:rFonts w:ascii="Wingdings" w:hAnsi="Wingdings" w:hint="default"/>
      </w:rPr>
    </w:lvl>
  </w:abstractNum>
  <w:abstractNum w:abstractNumId="18" w15:restartNumberingAfterBreak="0">
    <w:nsid w:val="3A157AF2"/>
    <w:multiLevelType w:val="hybridMultilevel"/>
    <w:tmpl w:val="E9527B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CB25AE"/>
    <w:multiLevelType w:val="hybridMultilevel"/>
    <w:tmpl w:val="DC84324A"/>
    <w:lvl w:ilvl="0" w:tplc="AF9C794C">
      <w:numFmt w:val="bullet"/>
      <w:lvlText w:val="-"/>
      <w:lvlJc w:val="left"/>
      <w:pPr>
        <w:ind w:left="644" w:hanging="360"/>
      </w:pPr>
      <w:rPr>
        <w:rFonts w:ascii="Calibri" w:eastAsia="Calibri" w:hAnsi="Calibri" w:cs="Calibri"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825A0F"/>
    <w:multiLevelType w:val="hybridMultilevel"/>
    <w:tmpl w:val="F678DB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84F49D6"/>
    <w:multiLevelType w:val="hybridMultilevel"/>
    <w:tmpl w:val="BB483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1B0C93"/>
    <w:multiLevelType w:val="hybridMultilevel"/>
    <w:tmpl w:val="23F83F0C"/>
    <w:lvl w:ilvl="0" w:tplc="7864F0EE">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9B2FA5"/>
    <w:multiLevelType w:val="hybridMultilevel"/>
    <w:tmpl w:val="F3CC62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51B00FF4"/>
    <w:multiLevelType w:val="multilevel"/>
    <w:tmpl w:val="8CC01E60"/>
    <w:lvl w:ilvl="0">
      <w:start w:val="1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E00905"/>
    <w:multiLevelType w:val="hybridMultilevel"/>
    <w:tmpl w:val="A3F46356"/>
    <w:lvl w:ilvl="0" w:tplc="5DAAB29C">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15:restartNumberingAfterBreak="0">
    <w:nsid w:val="57DC4DDD"/>
    <w:multiLevelType w:val="hybridMultilevel"/>
    <w:tmpl w:val="E006074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650C4458"/>
    <w:multiLevelType w:val="hybridMultilevel"/>
    <w:tmpl w:val="8E7CAE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9D6A41"/>
    <w:multiLevelType w:val="hybridMultilevel"/>
    <w:tmpl w:val="20969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033D2F"/>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70442019"/>
    <w:multiLevelType w:val="hybridMultilevel"/>
    <w:tmpl w:val="8006EF5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5B5745"/>
    <w:multiLevelType w:val="hybridMultilevel"/>
    <w:tmpl w:val="FD9AC3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B56EC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780A65C0"/>
    <w:multiLevelType w:val="multilevel"/>
    <w:tmpl w:val="7C10D2F4"/>
    <w:lvl w:ilvl="0">
      <w:start w:val="6"/>
      <w:numFmt w:val="decimal"/>
      <w:lvlText w:val="%1"/>
      <w:lvlJc w:val="left"/>
      <w:pPr>
        <w:ind w:left="375" w:hanging="375"/>
      </w:pPr>
      <w:rPr>
        <w:rFonts w:hint="default"/>
      </w:rPr>
    </w:lvl>
    <w:lvl w:ilvl="1">
      <w:start w:val="3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97137E4"/>
    <w:multiLevelType w:val="hybridMultilevel"/>
    <w:tmpl w:val="6BAC1B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6B6721"/>
    <w:multiLevelType w:val="hybridMultilevel"/>
    <w:tmpl w:val="489C151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6" w15:restartNumberingAfterBreak="0">
    <w:nsid w:val="7DCE2D15"/>
    <w:multiLevelType w:val="hybridMultilevel"/>
    <w:tmpl w:val="8E5E3976"/>
    <w:lvl w:ilvl="0" w:tplc="D4BCC3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36"/>
  </w:num>
  <w:num w:numId="3">
    <w:abstractNumId w:val="27"/>
  </w:num>
  <w:num w:numId="4">
    <w:abstractNumId w:val="18"/>
  </w:num>
  <w:num w:numId="5">
    <w:abstractNumId w:val="2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0"/>
  </w:num>
  <w:num w:numId="9">
    <w:abstractNumId w:val="33"/>
  </w:num>
  <w:num w:numId="10">
    <w:abstractNumId w:val="24"/>
  </w:num>
  <w:num w:numId="11">
    <w:abstractNumId w:val="0"/>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6"/>
  </w:num>
  <w:num w:numId="16">
    <w:abstractNumId w:val="25"/>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
  </w:num>
  <w:num w:numId="21">
    <w:abstractNumId w:val="11"/>
  </w:num>
  <w:num w:numId="22">
    <w:abstractNumId w:val="19"/>
  </w:num>
  <w:num w:numId="23">
    <w:abstractNumId w:val="7"/>
  </w:num>
  <w:num w:numId="24">
    <w:abstractNumId w:val="23"/>
  </w:num>
  <w:num w:numId="25">
    <w:abstractNumId w:val="35"/>
  </w:num>
  <w:num w:numId="26">
    <w:abstractNumId w:val="5"/>
  </w:num>
  <w:num w:numId="27">
    <w:abstractNumId w:val="32"/>
  </w:num>
  <w:num w:numId="28">
    <w:abstractNumId w:val="29"/>
  </w:num>
  <w:num w:numId="29">
    <w:abstractNumId w:val="2"/>
  </w:num>
  <w:num w:numId="30">
    <w:abstractNumId w:val="3"/>
  </w:num>
  <w:num w:numId="31">
    <w:abstractNumId w:val="6"/>
  </w:num>
  <w:num w:numId="32">
    <w:abstractNumId w:val="22"/>
  </w:num>
  <w:num w:numId="33">
    <w:abstractNumId w:val="31"/>
  </w:num>
  <w:num w:numId="34">
    <w:abstractNumId w:val="10"/>
  </w:num>
  <w:num w:numId="35">
    <w:abstractNumId w:val="4"/>
  </w:num>
  <w:num w:numId="36">
    <w:abstractNumId w:val="13"/>
  </w:num>
  <w:num w:numId="37">
    <w:abstractNumId w:val="26"/>
  </w:num>
  <w:num w:numId="38">
    <w:abstractNumId w:val="8"/>
  </w:num>
  <w:num w:numId="39">
    <w:abstractNumId w:val="1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B2"/>
    <w:rsid w:val="00013C47"/>
    <w:rsid w:val="00014ADF"/>
    <w:rsid w:val="00054EFF"/>
    <w:rsid w:val="00057E4F"/>
    <w:rsid w:val="0007380D"/>
    <w:rsid w:val="00092847"/>
    <w:rsid w:val="00094956"/>
    <w:rsid w:val="00095CC4"/>
    <w:rsid w:val="00097BF6"/>
    <w:rsid w:val="000A231A"/>
    <w:rsid w:val="000C2B94"/>
    <w:rsid w:val="000F007E"/>
    <w:rsid w:val="000F63A8"/>
    <w:rsid w:val="00101F93"/>
    <w:rsid w:val="001113C3"/>
    <w:rsid w:val="00122458"/>
    <w:rsid w:val="00122948"/>
    <w:rsid w:val="00127647"/>
    <w:rsid w:val="00137D8B"/>
    <w:rsid w:val="00142D40"/>
    <w:rsid w:val="00145C25"/>
    <w:rsid w:val="001518E8"/>
    <w:rsid w:val="001B6FBA"/>
    <w:rsid w:val="001C49E1"/>
    <w:rsid w:val="001D291C"/>
    <w:rsid w:val="001D539A"/>
    <w:rsid w:val="001D5FCD"/>
    <w:rsid w:val="001E4DA3"/>
    <w:rsid w:val="001F1241"/>
    <w:rsid w:val="00211B5C"/>
    <w:rsid w:val="0021358C"/>
    <w:rsid w:val="002172B7"/>
    <w:rsid w:val="00226431"/>
    <w:rsid w:val="0023372D"/>
    <w:rsid w:val="0026260E"/>
    <w:rsid w:val="00263C96"/>
    <w:rsid w:val="002A0985"/>
    <w:rsid w:val="002A648F"/>
    <w:rsid w:val="002C4CD5"/>
    <w:rsid w:val="002E1B06"/>
    <w:rsid w:val="00323F7B"/>
    <w:rsid w:val="0032742D"/>
    <w:rsid w:val="00340233"/>
    <w:rsid w:val="00375A0E"/>
    <w:rsid w:val="003811A8"/>
    <w:rsid w:val="0039369F"/>
    <w:rsid w:val="00395682"/>
    <w:rsid w:val="003A04B2"/>
    <w:rsid w:val="003C03BE"/>
    <w:rsid w:val="003C0F31"/>
    <w:rsid w:val="003C6B88"/>
    <w:rsid w:val="003D1416"/>
    <w:rsid w:val="003D54BE"/>
    <w:rsid w:val="00403212"/>
    <w:rsid w:val="00420EEE"/>
    <w:rsid w:val="004306EF"/>
    <w:rsid w:val="00435B34"/>
    <w:rsid w:val="00451B7C"/>
    <w:rsid w:val="00456656"/>
    <w:rsid w:val="004745C6"/>
    <w:rsid w:val="00476488"/>
    <w:rsid w:val="0048784D"/>
    <w:rsid w:val="004926D9"/>
    <w:rsid w:val="004D18F6"/>
    <w:rsid w:val="00513310"/>
    <w:rsid w:val="005167C1"/>
    <w:rsid w:val="00530765"/>
    <w:rsid w:val="005312B3"/>
    <w:rsid w:val="00533469"/>
    <w:rsid w:val="00546CA6"/>
    <w:rsid w:val="00551838"/>
    <w:rsid w:val="0057231D"/>
    <w:rsid w:val="00576E2C"/>
    <w:rsid w:val="00587B33"/>
    <w:rsid w:val="00593C2B"/>
    <w:rsid w:val="005A1002"/>
    <w:rsid w:val="005A761E"/>
    <w:rsid w:val="005B7FC4"/>
    <w:rsid w:val="005D64DD"/>
    <w:rsid w:val="005E2F50"/>
    <w:rsid w:val="005E57B5"/>
    <w:rsid w:val="005F16D7"/>
    <w:rsid w:val="005F374D"/>
    <w:rsid w:val="00611A16"/>
    <w:rsid w:val="0062445A"/>
    <w:rsid w:val="00672C00"/>
    <w:rsid w:val="006742D3"/>
    <w:rsid w:val="00691FB7"/>
    <w:rsid w:val="006B420E"/>
    <w:rsid w:val="006B6BDE"/>
    <w:rsid w:val="006C6BB3"/>
    <w:rsid w:val="006D23A3"/>
    <w:rsid w:val="006D2BE6"/>
    <w:rsid w:val="006F4504"/>
    <w:rsid w:val="00723620"/>
    <w:rsid w:val="00724FA8"/>
    <w:rsid w:val="00736404"/>
    <w:rsid w:val="00741DA8"/>
    <w:rsid w:val="00743A31"/>
    <w:rsid w:val="00744F8E"/>
    <w:rsid w:val="007549B8"/>
    <w:rsid w:val="007708D7"/>
    <w:rsid w:val="00777920"/>
    <w:rsid w:val="00790291"/>
    <w:rsid w:val="007975C0"/>
    <w:rsid w:val="007B0EA6"/>
    <w:rsid w:val="007C1443"/>
    <w:rsid w:val="007D37E9"/>
    <w:rsid w:val="007D4309"/>
    <w:rsid w:val="007E0149"/>
    <w:rsid w:val="007F76E1"/>
    <w:rsid w:val="00817048"/>
    <w:rsid w:val="0081761D"/>
    <w:rsid w:val="0082193B"/>
    <w:rsid w:val="00827341"/>
    <w:rsid w:val="00831DE2"/>
    <w:rsid w:val="0083589D"/>
    <w:rsid w:val="0084060A"/>
    <w:rsid w:val="00842ED0"/>
    <w:rsid w:val="00846D8E"/>
    <w:rsid w:val="00847A2A"/>
    <w:rsid w:val="00862B29"/>
    <w:rsid w:val="00896BFF"/>
    <w:rsid w:val="008B4BA4"/>
    <w:rsid w:val="008B6E95"/>
    <w:rsid w:val="008C46C5"/>
    <w:rsid w:val="008D7AC1"/>
    <w:rsid w:val="008E365A"/>
    <w:rsid w:val="008F37AE"/>
    <w:rsid w:val="00903A60"/>
    <w:rsid w:val="00915012"/>
    <w:rsid w:val="00931D6F"/>
    <w:rsid w:val="009377E5"/>
    <w:rsid w:val="00943383"/>
    <w:rsid w:val="0096661C"/>
    <w:rsid w:val="00986612"/>
    <w:rsid w:val="00993052"/>
    <w:rsid w:val="009956C7"/>
    <w:rsid w:val="009A715E"/>
    <w:rsid w:val="009B2B4B"/>
    <w:rsid w:val="009B6340"/>
    <w:rsid w:val="009C27DD"/>
    <w:rsid w:val="009D4833"/>
    <w:rsid w:val="009D6249"/>
    <w:rsid w:val="00A03FBC"/>
    <w:rsid w:val="00A10FCD"/>
    <w:rsid w:val="00A165A7"/>
    <w:rsid w:val="00A20A06"/>
    <w:rsid w:val="00A2300F"/>
    <w:rsid w:val="00A357DB"/>
    <w:rsid w:val="00A8563B"/>
    <w:rsid w:val="00AB0D02"/>
    <w:rsid w:val="00AB2493"/>
    <w:rsid w:val="00AB68D3"/>
    <w:rsid w:val="00AC61A7"/>
    <w:rsid w:val="00AD61BE"/>
    <w:rsid w:val="00B1175A"/>
    <w:rsid w:val="00B11BE2"/>
    <w:rsid w:val="00B31AA0"/>
    <w:rsid w:val="00B338AF"/>
    <w:rsid w:val="00B342AE"/>
    <w:rsid w:val="00B36E79"/>
    <w:rsid w:val="00B47D22"/>
    <w:rsid w:val="00B5098A"/>
    <w:rsid w:val="00B52E88"/>
    <w:rsid w:val="00B85D3B"/>
    <w:rsid w:val="00B93A48"/>
    <w:rsid w:val="00BA1BC7"/>
    <w:rsid w:val="00BA2DCB"/>
    <w:rsid w:val="00BA4979"/>
    <w:rsid w:val="00BD4707"/>
    <w:rsid w:val="00BE387E"/>
    <w:rsid w:val="00BE6D16"/>
    <w:rsid w:val="00BF4851"/>
    <w:rsid w:val="00BF5459"/>
    <w:rsid w:val="00C01FB1"/>
    <w:rsid w:val="00C06CBF"/>
    <w:rsid w:val="00C13BD1"/>
    <w:rsid w:val="00C14492"/>
    <w:rsid w:val="00C249C1"/>
    <w:rsid w:val="00C82C5C"/>
    <w:rsid w:val="00C86DD5"/>
    <w:rsid w:val="00CA2ACD"/>
    <w:rsid w:val="00CA5252"/>
    <w:rsid w:val="00CA7A8C"/>
    <w:rsid w:val="00CB1FB2"/>
    <w:rsid w:val="00CB4E16"/>
    <w:rsid w:val="00CB57D2"/>
    <w:rsid w:val="00CB61A3"/>
    <w:rsid w:val="00CD29D6"/>
    <w:rsid w:val="00CD34CF"/>
    <w:rsid w:val="00CD3EF7"/>
    <w:rsid w:val="00CD7200"/>
    <w:rsid w:val="00CE49C7"/>
    <w:rsid w:val="00CE68BF"/>
    <w:rsid w:val="00CF74A1"/>
    <w:rsid w:val="00D044EE"/>
    <w:rsid w:val="00D07B94"/>
    <w:rsid w:val="00D1483C"/>
    <w:rsid w:val="00D279FF"/>
    <w:rsid w:val="00D32132"/>
    <w:rsid w:val="00D45D56"/>
    <w:rsid w:val="00D72997"/>
    <w:rsid w:val="00D808EE"/>
    <w:rsid w:val="00D87E5D"/>
    <w:rsid w:val="00DA367D"/>
    <w:rsid w:val="00DD0296"/>
    <w:rsid w:val="00DD02C9"/>
    <w:rsid w:val="00DF4687"/>
    <w:rsid w:val="00DF5C8D"/>
    <w:rsid w:val="00E27E2D"/>
    <w:rsid w:val="00E559AE"/>
    <w:rsid w:val="00E710C3"/>
    <w:rsid w:val="00E74C79"/>
    <w:rsid w:val="00E75454"/>
    <w:rsid w:val="00E85181"/>
    <w:rsid w:val="00EB689B"/>
    <w:rsid w:val="00EC7A11"/>
    <w:rsid w:val="00ED09BB"/>
    <w:rsid w:val="00EE6CE3"/>
    <w:rsid w:val="00EF124C"/>
    <w:rsid w:val="00EF1EEB"/>
    <w:rsid w:val="00F16D62"/>
    <w:rsid w:val="00F86453"/>
    <w:rsid w:val="00F917DA"/>
    <w:rsid w:val="00F96C9A"/>
    <w:rsid w:val="00F97BAE"/>
    <w:rsid w:val="00FB651A"/>
    <w:rsid w:val="00FC3035"/>
    <w:rsid w:val="00FD2619"/>
    <w:rsid w:val="00FE2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74ED"/>
  <w15:chartTrackingRefBased/>
  <w15:docId w15:val="{4314908B-5E9B-4A5C-9283-1217866B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Nad,List Paragraph,Odstavec se seznamem5,Odstavec_muj,Odrážky,Odstavec se seznamem1,Reference List,Odstavec se seznamem a odrážkou,1 úroveň Odstavec se seznamem,List Paragraph (Czech Tourism)"/>
    <w:basedOn w:val="Normln"/>
    <w:link w:val="OdstavecseseznamemChar"/>
    <w:uiPriority w:val="34"/>
    <w:qFormat/>
    <w:rsid w:val="00513310"/>
    <w:pPr>
      <w:ind w:left="720"/>
      <w:contextualSpacing/>
    </w:pPr>
  </w:style>
  <w:style w:type="paragraph" w:styleId="Zhlav">
    <w:name w:val="header"/>
    <w:basedOn w:val="Normln"/>
    <w:link w:val="ZhlavChar"/>
    <w:uiPriority w:val="99"/>
    <w:unhideWhenUsed/>
    <w:rsid w:val="00097B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BF6"/>
  </w:style>
  <w:style w:type="paragraph" w:styleId="Zpat">
    <w:name w:val="footer"/>
    <w:basedOn w:val="Normln"/>
    <w:link w:val="ZpatChar"/>
    <w:uiPriority w:val="99"/>
    <w:unhideWhenUsed/>
    <w:rsid w:val="00097BF6"/>
    <w:pPr>
      <w:tabs>
        <w:tab w:val="center" w:pos="4536"/>
        <w:tab w:val="right" w:pos="9072"/>
      </w:tabs>
      <w:spacing w:after="0" w:line="240" w:lineRule="auto"/>
    </w:pPr>
  </w:style>
  <w:style w:type="character" w:customStyle="1" w:styleId="ZpatChar">
    <w:name w:val="Zápatí Char"/>
    <w:basedOn w:val="Standardnpsmoodstavce"/>
    <w:link w:val="Zpat"/>
    <w:uiPriority w:val="99"/>
    <w:rsid w:val="00097BF6"/>
  </w:style>
  <w:style w:type="character" w:styleId="Hypertextovodkaz">
    <w:name w:val="Hyperlink"/>
    <w:basedOn w:val="Standardnpsmoodstavce"/>
    <w:uiPriority w:val="99"/>
    <w:unhideWhenUsed/>
    <w:rsid w:val="0082193B"/>
    <w:rPr>
      <w:color w:val="0563C1" w:themeColor="hyperlink"/>
      <w:u w:val="single"/>
    </w:rPr>
  </w:style>
  <w:style w:type="character" w:styleId="Nevyeenzmnka">
    <w:name w:val="Unresolved Mention"/>
    <w:basedOn w:val="Standardnpsmoodstavce"/>
    <w:uiPriority w:val="99"/>
    <w:semiHidden/>
    <w:unhideWhenUsed/>
    <w:rsid w:val="0082193B"/>
    <w:rPr>
      <w:color w:val="605E5C"/>
      <w:shd w:val="clear" w:color="auto" w:fill="E1DFDD"/>
    </w:rPr>
  </w:style>
  <w:style w:type="paragraph" w:customStyle="1" w:styleId="Default">
    <w:name w:val="Default"/>
    <w:rsid w:val="001B6FBA"/>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semiHidden/>
    <w:unhideWhenUsed/>
    <w:rsid w:val="00340233"/>
    <w:pPr>
      <w:spacing w:after="120"/>
    </w:pPr>
  </w:style>
  <w:style w:type="character" w:customStyle="1" w:styleId="ZkladntextChar">
    <w:name w:val="Základní text Char"/>
    <w:basedOn w:val="Standardnpsmoodstavce"/>
    <w:link w:val="Zkladntext"/>
    <w:uiPriority w:val="99"/>
    <w:semiHidden/>
    <w:rsid w:val="00340233"/>
  </w:style>
  <w:style w:type="paragraph" w:styleId="Normlnweb">
    <w:name w:val="Normal (Web)"/>
    <w:basedOn w:val="Normln"/>
    <w:uiPriority w:val="99"/>
    <w:unhideWhenUsed/>
    <w:rsid w:val="002A648F"/>
    <w:pPr>
      <w:spacing w:before="100" w:beforeAutospacing="1" w:after="100" w:afterAutospacing="1" w:line="240" w:lineRule="auto"/>
    </w:pPr>
    <w:rPr>
      <w:rFonts w:ascii="Aptos" w:hAnsi="Aptos" w:cs="Aptos"/>
      <w14:ligatures w14:val="standardContextual"/>
    </w:rPr>
  </w:style>
  <w:style w:type="character" w:customStyle="1" w:styleId="value">
    <w:name w:val="value"/>
    <w:rsid w:val="004926D9"/>
  </w:style>
  <w:style w:type="paragraph" w:styleId="Textbubliny">
    <w:name w:val="Balloon Text"/>
    <w:basedOn w:val="Normln"/>
    <w:link w:val="TextbublinyChar"/>
    <w:uiPriority w:val="99"/>
    <w:semiHidden/>
    <w:unhideWhenUsed/>
    <w:rsid w:val="008B6E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E95"/>
    <w:rPr>
      <w:rFonts w:ascii="Segoe UI" w:hAnsi="Segoe UI" w:cs="Segoe UI"/>
      <w:sz w:val="18"/>
      <w:szCs w:val="18"/>
    </w:rPr>
  </w:style>
  <w:style w:type="paragraph" w:styleId="Bezmezer">
    <w:name w:val="No Spacing"/>
    <w:uiPriority w:val="1"/>
    <w:qFormat/>
    <w:rsid w:val="00127647"/>
    <w:pPr>
      <w:spacing w:after="0" w:line="240" w:lineRule="auto"/>
    </w:pPr>
    <w:rPr>
      <w:rFonts w:ascii="Calibri" w:eastAsia="Times New Roman" w:hAnsi="Calibri" w:cs="Times New Roman"/>
    </w:rPr>
  </w:style>
  <w:style w:type="character" w:customStyle="1" w:styleId="OdstavecseseznamemChar">
    <w:name w:val="Odstavec se seznamem Char"/>
    <w:aliases w:val="Odstavec cíl se seznamem Char,Nad Char,List Paragraph Char,Odstavec se seznamem5 Char,Odstavec_muj Char,Odrážky Char,Odstavec se seznamem1 Char,Reference List Char,Odstavec se seznamem a odrážkou Char"/>
    <w:link w:val="Odstavecseseznamem"/>
    <w:uiPriority w:val="34"/>
    <w:qFormat/>
    <w:locked/>
    <w:rsid w:val="0012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3612">
      <w:bodyDiv w:val="1"/>
      <w:marLeft w:val="0"/>
      <w:marRight w:val="0"/>
      <w:marTop w:val="0"/>
      <w:marBottom w:val="0"/>
      <w:divBdr>
        <w:top w:val="none" w:sz="0" w:space="0" w:color="auto"/>
        <w:left w:val="none" w:sz="0" w:space="0" w:color="auto"/>
        <w:bottom w:val="none" w:sz="0" w:space="0" w:color="auto"/>
        <w:right w:val="none" w:sz="0" w:space="0" w:color="auto"/>
      </w:divBdr>
    </w:div>
    <w:div w:id="113715973">
      <w:bodyDiv w:val="1"/>
      <w:marLeft w:val="0"/>
      <w:marRight w:val="0"/>
      <w:marTop w:val="0"/>
      <w:marBottom w:val="0"/>
      <w:divBdr>
        <w:top w:val="none" w:sz="0" w:space="0" w:color="auto"/>
        <w:left w:val="none" w:sz="0" w:space="0" w:color="auto"/>
        <w:bottom w:val="none" w:sz="0" w:space="0" w:color="auto"/>
        <w:right w:val="none" w:sz="0" w:space="0" w:color="auto"/>
      </w:divBdr>
    </w:div>
    <w:div w:id="137235771">
      <w:bodyDiv w:val="1"/>
      <w:marLeft w:val="0"/>
      <w:marRight w:val="0"/>
      <w:marTop w:val="0"/>
      <w:marBottom w:val="0"/>
      <w:divBdr>
        <w:top w:val="none" w:sz="0" w:space="0" w:color="auto"/>
        <w:left w:val="none" w:sz="0" w:space="0" w:color="auto"/>
        <w:bottom w:val="none" w:sz="0" w:space="0" w:color="auto"/>
        <w:right w:val="none" w:sz="0" w:space="0" w:color="auto"/>
      </w:divBdr>
    </w:div>
    <w:div w:id="286206414">
      <w:bodyDiv w:val="1"/>
      <w:marLeft w:val="0"/>
      <w:marRight w:val="0"/>
      <w:marTop w:val="0"/>
      <w:marBottom w:val="0"/>
      <w:divBdr>
        <w:top w:val="none" w:sz="0" w:space="0" w:color="auto"/>
        <w:left w:val="none" w:sz="0" w:space="0" w:color="auto"/>
        <w:bottom w:val="none" w:sz="0" w:space="0" w:color="auto"/>
        <w:right w:val="none" w:sz="0" w:space="0" w:color="auto"/>
      </w:divBdr>
    </w:div>
    <w:div w:id="314258838">
      <w:bodyDiv w:val="1"/>
      <w:marLeft w:val="0"/>
      <w:marRight w:val="0"/>
      <w:marTop w:val="0"/>
      <w:marBottom w:val="0"/>
      <w:divBdr>
        <w:top w:val="none" w:sz="0" w:space="0" w:color="auto"/>
        <w:left w:val="none" w:sz="0" w:space="0" w:color="auto"/>
        <w:bottom w:val="none" w:sz="0" w:space="0" w:color="auto"/>
        <w:right w:val="none" w:sz="0" w:space="0" w:color="auto"/>
      </w:divBdr>
    </w:div>
    <w:div w:id="412356354">
      <w:bodyDiv w:val="1"/>
      <w:marLeft w:val="0"/>
      <w:marRight w:val="0"/>
      <w:marTop w:val="0"/>
      <w:marBottom w:val="0"/>
      <w:divBdr>
        <w:top w:val="none" w:sz="0" w:space="0" w:color="auto"/>
        <w:left w:val="none" w:sz="0" w:space="0" w:color="auto"/>
        <w:bottom w:val="none" w:sz="0" w:space="0" w:color="auto"/>
        <w:right w:val="none" w:sz="0" w:space="0" w:color="auto"/>
      </w:divBdr>
    </w:div>
    <w:div w:id="458032966">
      <w:bodyDiv w:val="1"/>
      <w:marLeft w:val="0"/>
      <w:marRight w:val="0"/>
      <w:marTop w:val="0"/>
      <w:marBottom w:val="0"/>
      <w:divBdr>
        <w:top w:val="none" w:sz="0" w:space="0" w:color="auto"/>
        <w:left w:val="none" w:sz="0" w:space="0" w:color="auto"/>
        <w:bottom w:val="none" w:sz="0" w:space="0" w:color="auto"/>
        <w:right w:val="none" w:sz="0" w:space="0" w:color="auto"/>
      </w:divBdr>
    </w:div>
    <w:div w:id="572937036">
      <w:bodyDiv w:val="1"/>
      <w:marLeft w:val="0"/>
      <w:marRight w:val="0"/>
      <w:marTop w:val="0"/>
      <w:marBottom w:val="0"/>
      <w:divBdr>
        <w:top w:val="none" w:sz="0" w:space="0" w:color="auto"/>
        <w:left w:val="none" w:sz="0" w:space="0" w:color="auto"/>
        <w:bottom w:val="none" w:sz="0" w:space="0" w:color="auto"/>
        <w:right w:val="none" w:sz="0" w:space="0" w:color="auto"/>
      </w:divBdr>
    </w:div>
    <w:div w:id="595208432">
      <w:bodyDiv w:val="1"/>
      <w:marLeft w:val="0"/>
      <w:marRight w:val="0"/>
      <w:marTop w:val="0"/>
      <w:marBottom w:val="0"/>
      <w:divBdr>
        <w:top w:val="none" w:sz="0" w:space="0" w:color="auto"/>
        <w:left w:val="none" w:sz="0" w:space="0" w:color="auto"/>
        <w:bottom w:val="none" w:sz="0" w:space="0" w:color="auto"/>
        <w:right w:val="none" w:sz="0" w:space="0" w:color="auto"/>
      </w:divBdr>
    </w:div>
    <w:div w:id="604729949">
      <w:bodyDiv w:val="1"/>
      <w:marLeft w:val="0"/>
      <w:marRight w:val="0"/>
      <w:marTop w:val="0"/>
      <w:marBottom w:val="0"/>
      <w:divBdr>
        <w:top w:val="none" w:sz="0" w:space="0" w:color="auto"/>
        <w:left w:val="none" w:sz="0" w:space="0" w:color="auto"/>
        <w:bottom w:val="none" w:sz="0" w:space="0" w:color="auto"/>
        <w:right w:val="none" w:sz="0" w:space="0" w:color="auto"/>
      </w:divBdr>
    </w:div>
    <w:div w:id="714889303">
      <w:bodyDiv w:val="1"/>
      <w:marLeft w:val="0"/>
      <w:marRight w:val="0"/>
      <w:marTop w:val="0"/>
      <w:marBottom w:val="0"/>
      <w:divBdr>
        <w:top w:val="none" w:sz="0" w:space="0" w:color="auto"/>
        <w:left w:val="none" w:sz="0" w:space="0" w:color="auto"/>
        <w:bottom w:val="none" w:sz="0" w:space="0" w:color="auto"/>
        <w:right w:val="none" w:sz="0" w:space="0" w:color="auto"/>
      </w:divBdr>
    </w:div>
    <w:div w:id="765223942">
      <w:bodyDiv w:val="1"/>
      <w:marLeft w:val="0"/>
      <w:marRight w:val="0"/>
      <w:marTop w:val="0"/>
      <w:marBottom w:val="0"/>
      <w:divBdr>
        <w:top w:val="none" w:sz="0" w:space="0" w:color="auto"/>
        <w:left w:val="none" w:sz="0" w:space="0" w:color="auto"/>
        <w:bottom w:val="none" w:sz="0" w:space="0" w:color="auto"/>
        <w:right w:val="none" w:sz="0" w:space="0" w:color="auto"/>
      </w:divBdr>
    </w:div>
    <w:div w:id="794717444">
      <w:bodyDiv w:val="1"/>
      <w:marLeft w:val="0"/>
      <w:marRight w:val="0"/>
      <w:marTop w:val="0"/>
      <w:marBottom w:val="0"/>
      <w:divBdr>
        <w:top w:val="none" w:sz="0" w:space="0" w:color="auto"/>
        <w:left w:val="none" w:sz="0" w:space="0" w:color="auto"/>
        <w:bottom w:val="none" w:sz="0" w:space="0" w:color="auto"/>
        <w:right w:val="none" w:sz="0" w:space="0" w:color="auto"/>
      </w:divBdr>
    </w:div>
    <w:div w:id="818109647">
      <w:bodyDiv w:val="1"/>
      <w:marLeft w:val="0"/>
      <w:marRight w:val="0"/>
      <w:marTop w:val="0"/>
      <w:marBottom w:val="0"/>
      <w:divBdr>
        <w:top w:val="none" w:sz="0" w:space="0" w:color="auto"/>
        <w:left w:val="none" w:sz="0" w:space="0" w:color="auto"/>
        <w:bottom w:val="none" w:sz="0" w:space="0" w:color="auto"/>
        <w:right w:val="none" w:sz="0" w:space="0" w:color="auto"/>
      </w:divBdr>
    </w:div>
    <w:div w:id="821775797">
      <w:bodyDiv w:val="1"/>
      <w:marLeft w:val="0"/>
      <w:marRight w:val="0"/>
      <w:marTop w:val="0"/>
      <w:marBottom w:val="0"/>
      <w:divBdr>
        <w:top w:val="none" w:sz="0" w:space="0" w:color="auto"/>
        <w:left w:val="none" w:sz="0" w:space="0" w:color="auto"/>
        <w:bottom w:val="none" w:sz="0" w:space="0" w:color="auto"/>
        <w:right w:val="none" w:sz="0" w:space="0" w:color="auto"/>
      </w:divBdr>
    </w:div>
    <w:div w:id="864637546">
      <w:bodyDiv w:val="1"/>
      <w:marLeft w:val="0"/>
      <w:marRight w:val="0"/>
      <w:marTop w:val="0"/>
      <w:marBottom w:val="0"/>
      <w:divBdr>
        <w:top w:val="none" w:sz="0" w:space="0" w:color="auto"/>
        <w:left w:val="none" w:sz="0" w:space="0" w:color="auto"/>
        <w:bottom w:val="none" w:sz="0" w:space="0" w:color="auto"/>
        <w:right w:val="none" w:sz="0" w:space="0" w:color="auto"/>
      </w:divBdr>
    </w:div>
    <w:div w:id="951983735">
      <w:bodyDiv w:val="1"/>
      <w:marLeft w:val="0"/>
      <w:marRight w:val="0"/>
      <w:marTop w:val="0"/>
      <w:marBottom w:val="0"/>
      <w:divBdr>
        <w:top w:val="none" w:sz="0" w:space="0" w:color="auto"/>
        <w:left w:val="none" w:sz="0" w:space="0" w:color="auto"/>
        <w:bottom w:val="none" w:sz="0" w:space="0" w:color="auto"/>
        <w:right w:val="none" w:sz="0" w:space="0" w:color="auto"/>
      </w:divBdr>
    </w:div>
    <w:div w:id="979188164">
      <w:bodyDiv w:val="1"/>
      <w:marLeft w:val="0"/>
      <w:marRight w:val="0"/>
      <w:marTop w:val="0"/>
      <w:marBottom w:val="0"/>
      <w:divBdr>
        <w:top w:val="none" w:sz="0" w:space="0" w:color="auto"/>
        <w:left w:val="none" w:sz="0" w:space="0" w:color="auto"/>
        <w:bottom w:val="none" w:sz="0" w:space="0" w:color="auto"/>
        <w:right w:val="none" w:sz="0" w:space="0" w:color="auto"/>
      </w:divBdr>
    </w:div>
    <w:div w:id="1079137916">
      <w:bodyDiv w:val="1"/>
      <w:marLeft w:val="0"/>
      <w:marRight w:val="0"/>
      <w:marTop w:val="0"/>
      <w:marBottom w:val="0"/>
      <w:divBdr>
        <w:top w:val="none" w:sz="0" w:space="0" w:color="auto"/>
        <w:left w:val="none" w:sz="0" w:space="0" w:color="auto"/>
        <w:bottom w:val="none" w:sz="0" w:space="0" w:color="auto"/>
        <w:right w:val="none" w:sz="0" w:space="0" w:color="auto"/>
      </w:divBdr>
    </w:div>
    <w:div w:id="1085998333">
      <w:bodyDiv w:val="1"/>
      <w:marLeft w:val="0"/>
      <w:marRight w:val="0"/>
      <w:marTop w:val="0"/>
      <w:marBottom w:val="0"/>
      <w:divBdr>
        <w:top w:val="none" w:sz="0" w:space="0" w:color="auto"/>
        <w:left w:val="none" w:sz="0" w:space="0" w:color="auto"/>
        <w:bottom w:val="none" w:sz="0" w:space="0" w:color="auto"/>
        <w:right w:val="none" w:sz="0" w:space="0" w:color="auto"/>
      </w:divBdr>
    </w:div>
    <w:div w:id="1092313228">
      <w:bodyDiv w:val="1"/>
      <w:marLeft w:val="0"/>
      <w:marRight w:val="0"/>
      <w:marTop w:val="0"/>
      <w:marBottom w:val="0"/>
      <w:divBdr>
        <w:top w:val="none" w:sz="0" w:space="0" w:color="auto"/>
        <w:left w:val="none" w:sz="0" w:space="0" w:color="auto"/>
        <w:bottom w:val="none" w:sz="0" w:space="0" w:color="auto"/>
        <w:right w:val="none" w:sz="0" w:space="0" w:color="auto"/>
      </w:divBdr>
    </w:div>
    <w:div w:id="1105925531">
      <w:bodyDiv w:val="1"/>
      <w:marLeft w:val="0"/>
      <w:marRight w:val="0"/>
      <w:marTop w:val="0"/>
      <w:marBottom w:val="0"/>
      <w:divBdr>
        <w:top w:val="none" w:sz="0" w:space="0" w:color="auto"/>
        <w:left w:val="none" w:sz="0" w:space="0" w:color="auto"/>
        <w:bottom w:val="none" w:sz="0" w:space="0" w:color="auto"/>
        <w:right w:val="none" w:sz="0" w:space="0" w:color="auto"/>
      </w:divBdr>
    </w:div>
    <w:div w:id="1108812865">
      <w:bodyDiv w:val="1"/>
      <w:marLeft w:val="0"/>
      <w:marRight w:val="0"/>
      <w:marTop w:val="0"/>
      <w:marBottom w:val="0"/>
      <w:divBdr>
        <w:top w:val="none" w:sz="0" w:space="0" w:color="auto"/>
        <w:left w:val="none" w:sz="0" w:space="0" w:color="auto"/>
        <w:bottom w:val="none" w:sz="0" w:space="0" w:color="auto"/>
        <w:right w:val="none" w:sz="0" w:space="0" w:color="auto"/>
      </w:divBdr>
    </w:div>
    <w:div w:id="1114246219">
      <w:bodyDiv w:val="1"/>
      <w:marLeft w:val="0"/>
      <w:marRight w:val="0"/>
      <w:marTop w:val="0"/>
      <w:marBottom w:val="0"/>
      <w:divBdr>
        <w:top w:val="none" w:sz="0" w:space="0" w:color="auto"/>
        <w:left w:val="none" w:sz="0" w:space="0" w:color="auto"/>
        <w:bottom w:val="none" w:sz="0" w:space="0" w:color="auto"/>
        <w:right w:val="none" w:sz="0" w:space="0" w:color="auto"/>
      </w:divBdr>
    </w:div>
    <w:div w:id="1138835445">
      <w:bodyDiv w:val="1"/>
      <w:marLeft w:val="0"/>
      <w:marRight w:val="0"/>
      <w:marTop w:val="0"/>
      <w:marBottom w:val="0"/>
      <w:divBdr>
        <w:top w:val="none" w:sz="0" w:space="0" w:color="auto"/>
        <w:left w:val="none" w:sz="0" w:space="0" w:color="auto"/>
        <w:bottom w:val="none" w:sz="0" w:space="0" w:color="auto"/>
        <w:right w:val="none" w:sz="0" w:space="0" w:color="auto"/>
      </w:divBdr>
    </w:div>
    <w:div w:id="1250775191">
      <w:bodyDiv w:val="1"/>
      <w:marLeft w:val="0"/>
      <w:marRight w:val="0"/>
      <w:marTop w:val="0"/>
      <w:marBottom w:val="0"/>
      <w:divBdr>
        <w:top w:val="none" w:sz="0" w:space="0" w:color="auto"/>
        <w:left w:val="none" w:sz="0" w:space="0" w:color="auto"/>
        <w:bottom w:val="none" w:sz="0" w:space="0" w:color="auto"/>
        <w:right w:val="none" w:sz="0" w:space="0" w:color="auto"/>
      </w:divBdr>
    </w:div>
    <w:div w:id="1285959362">
      <w:bodyDiv w:val="1"/>
      <w:marLeft w:val="0"/>
      <w:marRight w:val="0"/>
      <w:marTop w:val="0"/>
      <w:marBottom w:val="0"/>
      <w:divBdr>
        <w:top w:val="none" w:sz="0" w:space="0" w:color="auto"/>
        <w:left w:val="none" w:sz="0" w:space="0" w:color="auto"/>
        <w:bottom w:val="none" w:sz="0" w:space="0" w:color="auto"/>
        <w:right w:val="none" w:sz="0" w:space="0" w:color="auto"/>
      </w:divBdr>
    </w:div>
    <w:div w:id="1298799707">
      <w:bodyDiv w:val="1"/>
      <w:marLeft w:val="0"/>
      <w:marRight w:val="0"/>
      <w:marTop w:val="0"/>
      <w:marBottom w:val="0"/>
      <w:divBdr>
        <w:top w:val="none" w:sz="0" w:space="0" w:color="auto"/>
        <w:left w:val="none" w:sz="0" w:space="0" w:color="auto"/>
        <w:bottom w:val="none" w:sz="0" w:space="0" w:color="auto"/>
        <w:right w:val="none" w:sz="0" w:space="0" w:color="auto"/>
      </w:divBdr>
    </w:div>
    <w:div w:id="1311329455">
      <w:bodyDiv w:val="1"/>
      <w:marLeft w:val="0"/>
      <w:marRight w:val="0"/>
      <w:marTop w:val="0"/>
      <w:marBottom w:val="0"/>
      <w:divBdr>
        <w:top w:val="none" w:sz="0" w:space="0" w:color="auto"/>
        <w:left w:val="none" w:sz="0" w:space="0" w:color="auto"/>
        <w:bottom w:val="none" w:sz="0" w:space="0" w:color="auto"/>
        <w:right w:val="none" w:sz="0" w:space="0" w:color="auto"/>
      </w:divBdr>
    </w:div>
    <w:div w:id="1403259535">
      <w:bodyDiv w:val="1"/>
      <w:marLeft w:val="0"/>
      <w:marRight w:val="0"/>
      <w:marTop w:val="0"/>
      <w:marBottom w:val="0"/>
      <w:divBdr>
        <w:top w:val="none" w:sz="0" w:space="0" w:color="auto"/>
        <w:left w:val="none" w:sz="0" w:space="0" w:color="auto"/>
        <w:bottom w:val="none" w:sz="0" w:space="0" w:color="auto"/>
        <w:right w:val="none" w:sz="0" w:space="0" w:color="auto"/>
      </w:divBdr>
    </w:div>
    <w:div w:id="1430151370">
      <w:bodyDiv w:val="1"/>
      <w:marLeft w:val="0"/>
      <w:marRight w:val="0"/>
      <w:marTop w:val="0"/>
      <w:marBottom w:val="0"/>
      <w:divBdr>
        <w:top w:val="none" w:sz="0" w:space="0" w:color="auto"/>
        <w:left w:val="none" w:sz="0" w:space="0" w:color="auto"/>
        <w:bottom w:val="none" w:sz="0" w:space="0" w:color="auto"/>
        <w:right w:val="none" w:sz="0" w:space="0" w:color="auto"/>
      </w:divBdr>
    </w:div>
    <w:div w:id="1468889514">
      <w:bodyDiv w:val="1"/>
      <w:marLeft w:val="0"/>
      <w:marRight w:val="0"/>
      <w:marTop w:val="0"/>
      <w:marBottom w:val="0"/>
      <w:divBdr>
        <w:top w:val="none" w:sz="0" w:space="0" w:color="auto"/>
        <w:left w:val="none" w:sz="0" w:space="0" w:color="auto"/>
        <w:bottom w:val="none" w:sz="0" w:space="0" w:color="auto"/>
        <w:right w:val="none" w:sz="0" w:space="0" w:color="auto"/>
      </w:divBdr>
    </w:div>
    <w:div w:id="1468937878">
      <w:bodyDiv w:val="1"/>
      <w:marLeft w:val="0"/>
      <w:marRight w:val="0"/>
      <w:marTop w:val="0"/>
      <w:marBottom w:val="0"/>
      <w:divBdr>
        <w:top w:val="none" w:sz="0" w:space="0" w:color="auto"/>
        <w:left w:val="none" w:sz="0" w:space="0" w:color="auto"/>
        <w:bottom w:val="none" w:sz="0" w:space="0" w:color="auto"/>
        <w:right w:val="none" w:sz="0" w:space="0" w:color="auto"/>
      </w:divBdr>
    </w:div>
    <w:div w:id="1603881049">
      <w:bodyDiv w:val="1"/>
      <w:marLeft w:val="0"/>
      <w:marRight w:val="0"/>
      <w:marTop w:val="0"/>
      <w:marBottom w:val="0"/>
      <w:divBdr>
        <w:top w:val="none" w:sz="0" w:space="0" w:color="auto"/>
        <w:left w:val="none" w:sz="0" w:space="0" w:color="auto"/>
        <w:bottom w:val="none" w:sz="0" w:space="0" w:color="auto"/>
        <w:right w:val="none" w:sz="0" w:space="0" w:color="auto"/>
      </w:divBdr>
    </w:div>
    <w:div w:id="1648895962">
      <w:bodyDiv w:val="1"/>
      <w:marLeft w:val="0"/>
      <w:marRight w:val="0"/>
      <w:marTop w:val="0"/>
      <w:marBottom w:val="0"/>
      <w:divBdr>
        <w:top w:val="none" w:sz="0" w:space="0" w:color="auto"/>
        <w:left w:val="none" w:sz="0" w:space="0" w:color="auto"/>
        <w:bottom w:val="none" w:sz="0" w:space="0" w:color="auto"/>
        <w:right w:val="none" w:sz="0" w:space="0" w:color="auto"/>
      </w:divBdr>
    </w:div>
    <w:div w:id="1658799275">
      <w:bodyDiv w:val="1"/>
      <w:marLeft w:val="0"/>
      <w:marRight w:val="0"/>
      <w:marTop w:val="0"/>
      <w:marBottom w:val="0"/>
      <w:divBdr>
        <w:top w:val="none" w:sz="0" w:space="0" w:color="auto"/>
        <w:left w:val="none" w:sz="0" w:space="0" w:color="auto"/>
        <w:bottom w:val="none" w:sz="0" w:space="0" w:color="auto"/>
        <w:right w:val="none" w:sz="0" w:space="0" w:color="auto"/>
      </w:divBdr>
    </w:div>
    <w:div w:id="1672027453">
      <w:bodyDiv w:val="1"/>
      <w:marLeft w:val="0"/>
      <w:marRight w:val="0"/>
      <w:marTop w:val="0"/>
      <w:marBottom w:val="0"/>
      <w:divBdr>
        <w:top w:val="none" w:sz="0" w:space="0" w:color="auto"/>
        <w:left w:val="none" w:sz="0" w:space="0" w:color="auto"/>
        <w:bottom w:val="none" w:sz="0" w:space="0" w:color="auto"/>
        <w:right w:val="none" w:sz="0" w:space="0" w:color="auto"/>
      </w:divBdr>
    </w:div>
    <w:div w:id="1892839457">
      <w:bodyDiv w:val="1"/>
      <w:marLeft w:val="0"/>
      <w:marRight w:val="0"/>
      <w:marTop w:val="0"/>
      <w:marBottom w:val="0"/>
      <w:divBdr>
        <w:top w:val="none" w:sz="0" w:space="0" w:color="auto"/>
        <w:left w:val="none" w:sz="0" w:space="0" w:color="auto"/>
        <w:bottom w:val="none" w:sz="0" w:space="0" w:color="auto"/>
        <w:right w:val="none" w:sz="0" w:space="0" w:color="auto"/>
      </w:divBdr>
    </w:div>
    <w:div w:id="2065982232">
      <w:bodyDiv w:val="1"/>
      <w:marLeft w:val="0"/>
      <w:marRight w:val="0"/>
      <w:marTop w:val="0"/>
      <w:marBottom w:val="0"/>
      <w:divBdr>
        <w:top w:val="none" w:sz="0" w:space="0" w:color="auto"/>
        <w:left w:val="none" w:sz="0" w:space="0" w:color="auto"/>
        <w:bottom w:val="none" w:sz="0" w:space="0" w:color="auto"/>
        <w:right w:val="none" w:sz="0" w:space="0" w:color="auto"/>
      </w:divBdr>
    </w:div>
    <w:div w:id="2074354459">
      <w:bodyDiv w:val="1"/>
      <w:marLeft w:val="0"/>
      <w:marRight w:val="0"/>
      <w:marTop w:val="0"/>
      <w:marBottom w:val="0"/>
      <w:divBdr>
        <w:top w:val="none" w:sz="0" w:space="0" w:color="auto"/>
        <w:left w:val="none" w:sz="0" w:space="0" w:color="auto"/>
        <w:bottom w:val="none" w:sz="0" w:space="0" w:color="auto"/>
        <w:right w:val="none" w:sz="0" w:space="0" w:color="auto"/>
      </w:divBdr>
    </w:div>
    <w:div w:id="21451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E1FBE-708F-4F0F-A6AD-53082192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7</Pages>
  <Words>2493</Words>
  <Characters>14715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Bedrosova</dc:creator>
  <cp:keywords/>
  <dc:description/>
  <cp:lastModifiedBy>Kučera Jakub, Mgr.</cp:lastModifiedBy>
  <cp:revision>87</cp:revision>
  <cp:lastPrinted>2024-04-04T08:01:00Z</cp:lastPrinted>
  <dcterms:created xsi:type="dcterms:W3CDTF">2024-03-26T12:15:00Z</dcterms:created>
  <dcterms:modified xsi:type="dcterms:W3CDTF">2024-04-25T10:56:00Z</dcterms:modified>
</cp:coreProperties>
</file>