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7708D7" w:rsidP="00D01840">
      <w:pPr>
        <w:spacing w:after="120" w:line="240" w:lineRule="auto"/>
        <w:ind w:left="-567"/>
        <w:jc w:val="right"/>
        <w:rPr>
          <w:rFonts w:ascii="Calibri" w:hAnsi="Calibri"/>
          <w:color w:val="1D1D1B"/>
        </w:rPr>
      </w:pPr>
      <w:bookmarkStart w:id="0" w:name="_Hlk157418717"/>
      <w:bookmarkEnd w:id="0"/>
      <w:r>
        <w:rPr>
          <w:rFonts w:ascii="Calibri" w:hAnsi="Calibri"/>
          <w:color w:val="1D1D1B"/>
        </w:rPr>
        <w:t xml:space="preserve"> </w:t>
      </w:r>
      <w:r w:rsidR="00903A60" w:rsidRPr="00451B7C">
        <w:rPr>
          <w:rFonts w:ascii="Calibri" w:hAnsi="Calibri"/>
          <w:color w:val="1D1D1B"/>
        </w:rPr>
        <w:t xml:space="preserve">V Olomouci </w:t>
      </w:r>
      <w:r w:rsidR="001F1DC1">
        <w:rPr>
          <w:rFonts w:ascii="Calibri" w:hAnsi="Calibri"/>
          <w:color w:val="1D1D1B"/>
        </w:rPr>
        <w:t>2</w:t>
      </w:r>
      <w:r w:rsidR="00D84D32">
        <w:rPr>
          <w:rFonts w:ascii="Calibri" w:hAnsi="Calibri"/>
          <w:color w:val="1D1D1B"/>
        </w:rPr>
        <w:t>1</w:t>
      </w:r>
      <w:r w:rsidR="00903A60" w:rsidRPr="00451B7C">
        <w:rPr>
          <w:rFonts w:ascii="Calibri" w:hAnsi="Calibri"/>
          <w:color w:val="1D1D1B"/>
        </w:rPr>
        <w:t>.</w:t>
      </w:r>
      <w:r w:rsidR="001F1DC1">
        <w:rPr>
          <w:rFonts w:ascii="Calibri" w:hAnsi="Calibri"/>
          <w:color w:val="1D1D1B"/>
        </w:rPr>
        <w:t>6</w:t>
      </w:r>
      <w:r w:rsidR="00903A60"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1F1DC1" w:rsidRDefault="001F1DC1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1" w:name="_Hlk163040518"/>
    </w:p>
    <w:p w:rsidR="004455FC" w:rsidRPr="00451B7C" w:rsidRDefault="004455FC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596F1A">
        <w:rPr>
          <w:rFonts w:cstheme="minorHAnsi"/>
          <w:b/>
          <w:color w:val="1D1D1B"/>
          <w:u w:val="single"/>
        </w:rPr>
        <w:t>1</w:t>
      </w:r>
      <w:r w:rsidR="001F1DC1">
        <w:rPr>
          <w:rFonts w:cstheme="minorHAnsi"/>
          <w:b/>
          <w:color w:val="1D1D1B"/>
          <w:u w:val="single"/>
        </w:rPr>
        <w:t>3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4455FC" w:rsidRPr="00451B7C" w:rsidRDefault="004455FC" w:rsidP="004455FC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280E1D">
        <w:rPr>
          <w:rFonts w:cstheme="minorHAnsi"/>
          <w:color w:val="1D1D1B"/>
        </w:rPr>
        <w:t>1</w:t>
      </w:r>
      <w:r w:rsidR="001F1DC1">
        <w:rPr>
          <w:rFonts w:cstheme="minorHAnsi"/>
          <w:color w:val="1D1D1B"/>
        </w:rPr>
        <w:t>8</w:t>
      </w:r>
      <w:r w:rsidRPr="00451B7C">
        <w:rPr>
          <w:rFonts w:cstheme="minorHAnsi"/>
          <w:color w:val="1D1D1B"/>
        </w:rPr>
        <w:t>.</w:t>
      </w:r>
      <w:r w:rsidR="002C4770">
        <w:rPr>
          <w:rFonts w:cstheme="minorHAnsi"/>
          <w:color w:val="1D1D1B"/>
        </w:rPr>
        <w:t>a 21.</w:t>
      </w:r>
      <w:r w:rsidR="001F1DC1">
        <w:rPr>
          <w:rFonts w:cstheme="minorHAnsi"/>
          <w:color w:val="1D1D1B"/>
        </w:rPr>
        <w:t>6</w:t>
      </w:r>
      <w:r>
        <w:rPr>
          <w:rFonts w:cstheme="minorHAnsi"/>
          <w:color w:val="1D1D1B"/>
        </w:rPr>
        <w:t>.</w:t>
      </w:r>
      <w:r w:rsidRPr="00451B7C">
        <w:rPr>
          <w:rFonts w:cstheme="minorHAnsi"/>
          <w:color w:val="1D1D1B"/>
        </w:rPr>
        <w:t>2024 obdržel následující žádost o vysvětlení zadávací dokumentace.</w:t>
      </w:r>
    </w:p>
    <w:p w:rsidR="00793783" w:rsidRDefault="00793783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2C4770" w:rsidRPr="002C4770" w:rsidRDefault="002C4770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sz w:val="24"/>
          <w:szCs w:val="24"/>
          <w:u w:val="single"/>
        </w:rPr>
      </w:pPr>
      <w:r w:rsidRPr="002C4770">
        <w:rPr>
          <w:rFonts w:cstheme="minorHAnsi"/>
          <w:b/>
          <w:color w:val="1D1D1B"/>
          <w:sz w:val="24"/>
          <w:szCs w:val="24"/>
          <w:u w:val="single"/>
        </w:rPr>
        <w:t>Dotazy ze dne 18.6.2024</w:t>
      </w:r>
    </w:p>
    <w:bookmarkEnd w:id="1"/>
    <w:p w:rsidR="001F1DC1" w:rsidRDefault="001F1DC1" w:rsidP="001F1DC1">
      <w:pPr>
        <w:pStyle w:val="Bezmezer"/>
        <w:jc w:val="both"/>
        <w:rPr>
          <w:rFonts w:ascii="Arial" w:eastAsia="Arial" w:hAnsi="Arial"/>
          <w:b/>
          <w:u w:val="single"/>
        </w:rPr>
      </w:pPr>
    </w:p>
    <w:p w:rsidR="001F1DC1" w:rsidRDefault="00280E1D" w:rsidP="001F1DC1">
      <w:pPr>
        <w:pStyle w:val="Bezmezer"/>
        <w:jc w:val="both"/>
        <w:rPr>
          <w:rFonts w:ascii="Arial" w:hAnsi="Arial" w:cs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VĚC: </w:t>
      </w:r>
      <w:r w:rsidR="001F1DC1" w:rsidRPr="006911C1">
        <w:rPr>
          <w:rFonts w:ascii="Arial" w:hAnsi="Arial" w:cs="Arial"/>
          <w:b/>
          <w:u w:val="single"/>
        </w:rPr>
        <w:t>Žádost o vysvětlení zadávací dokumentace zakázky:</w:t>
      </w:r>
    </w:p>
    <w:p w:rsidR="001F1DC1" w:rsidRDefault="001F1DC1" w:rsidP="001F1DC1">
      <w:pPr>
        <w:pStyle w:val="Default"/>
        <w:rPr>
          <w:b/>
          <w:sz w:val="22"/>
          <w:szCs w:val="22"/>
        </w:rPr>
      </w:pPr>
    </w:p>
    <w:p w:rsidR="001F1DC1" w:rsidRPr="006911C1" w:rsidRDefault="001F1DC1" w:rsidP="001F1DC1">
      <w:pPr>
        <w:pStyle w:val="Default"/>
        <w:jc w:val="both"/>
        <w:rPr>
          <w:sz w:val="22"/>
          <w:szCs w:val="22"/>
        </w:rPr>
      </w:pPr>
      <w:r w:rsidRPr="006911C1">
        <w:rPr>
          <w:b/>
          <w:sz w:val="22"/>
          <w:szCs w:val="22"/>
        </w:rPr>
        <w:t>„</w:t>
      </w:r>
      <w:r w:rsidRPr="005B0F59">
        <w:rPr>
          <w:b/>
          <w:sz w:val="22"/>
          <w:szCs w:val="22"/>
        </w:rPr>
        <w:t>NOVOSTAVBA BUDOVY P4</w:t>
      </w:r>
      <w:r w:rsidRPr="006911C1">
        <w:rPr>
          <w:b/>
          <w:sz w:val="22"/>
          <w:szCs w:val="22"/>
        </w:rPr>
        <w:t xml:space="preserve">“ </w:t>
      </w:r>
      <w:r w:rsidRPr="006911C1">
        <w:rPr>
          <w:sz w:val="22"/>
          <w:szCs w:val="22"/>
        </w:rPr>
        <w:t>zveřejněná na adrese</w:t>
      </w:r>
      <w:r>
        <w:rPr>
          <w:sz w:val="22"/>
          <w:szCs w:val="22"/>
        </w:rPr>
        <w:t xml:space="preserve"> </w:t>
      </w:r>
      <w:hyperlink r:id="rId8" w:history="1">
        <w:r w:rsidRPr="00B632DF">
          <w:rPr>
            <w:rStyle w:val="Hypertextovodkaz"/>
            <w:sz w:val="22"/>
            <w:szCs w:val="22"/>
          </w:rPr>
          <w:t>https://tenderarena.cz/dodavatel/seznam-profilu-zadavatelu/detail/Z0001183/zakazka/687452</w:t>
        </w:r>
      </w:hyperlink>
      <w:r w:rsidRPr="006911C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911C1">
        <w:rPr>
          <w:sz w:val="22"/>
          <w:szCs w:val="22"/>
        </w:rPr>
        <w:t>pod evidenčním číslem zakázky</w:t>
      </w:r>
      <w:r>
        <w:rPr>
          <w:sz w:val="22"/>
          <w:szCs w:val="22"/>
        </w:rPr>
        <w:t xml:space="preserve"> </w:t>
      </w:r>
      <w:r w:rsidRPr="005B0F59">
        <w:rPr>
          <w:sz w:val="22"/>
          <w:szCs w:val="22"/>
        </w:rPr>
        <w:t>Z2024-009196</w:t>
      </w:r>
      <w:r w:rsidRPr="006911C1">
        <w:rPr>
          <w:sz w:val="22"/>
          <w:szCs w:val="22"/>
        </w:rPr>
        <w:t>.</w:t>
      </w:r>
    </w:p>
    <w:p w:rsidR="001F1DC1" w:rsidRPr="006911C1" w:rsidRDefault="001F1DC1" w:rsidP="001F1DC1">
      <w:pPr>
        <w:pStyle w:val="Bezmezer"/>
        <w:jc w:val="both"/>
        <w:rPr>
          <w:rFonts w:ascii="Arial" w:hAnsi="Arial" w:cs="Arial"/>
          <w:b/>
          <w:u w:val="single"/>
        </w:rPr>
      </w:pPr>
    </w:p>
    <w:p w:rsidR="00577249" w:rsidRDefault="00577249" w:rsidP="00280E1D">
      <w:pPr>
        <w:spacing w:line="0" w:lineRule="atLeast"/>
        <w:rPr>
          <w:rFonts w:ascii="Arial" w:eastAsia="Arial" w:hAnsi="Arial"/>
          <w:b/>
          <w:u w:val="single"/>
        </w:rPr>
      </w:pPr>
    </w:p>
    <w:p w:rsidR="00280E1D" w:rsidRDefault="00280E1D" w:rsidP="00280E1D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Dotaz č.</w:t>
      </w:r>
      <w:r w:rsidR="001F1DC1">
        <w:rPr>
          <w:rFonts w:ascii="Arial" w:eastAsia="Arial" w:hAnsi="Arial"/>
          <w:b/>
          <w:u w:val="single"/>
        </w:rPr>
        <w:t>1:</w:t>
      </w:r>
    </w:p>
    <w:p w:rsidR="001F1DC1" w:rsidRPr="00B4593A" w:rsidRDefault="001F1DC1" w:rsidP="001F1DC1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444444"/>
          <w:kern w:val="36"/>
          <w:lang w:eastAsia="cs-CZ"/>
        </w:rPr>
      </w:pPr>
      <w:r w:rsidRPr="00B4593A">
        <w:rPr>
          <w:rFonts w:ascii="Arial" w:eastAsia="Times New Roman" w:hAnsi="Arial" w:cs="Arial"/>
          <w:color w:val="444444"/>
          <w:kern w:val="36"/>
          <w:lang w:eastAsia="cs-CZ"/>
        </w:rPr>
        <w:t>Žádáme o zdůvodnění, proč má zadavatel za to, že je článek XVII. odst. 8. smlouvy v souladu se zásadou přiměřenosti, a tedy v souladu s § 6 ZZVZ. Dodavatel poukazuje na fakt, že aby bylo dané ustanovení přiměřené, a tedy neodporující § 6 ZZVZ, mělo by být omezeno maximální výši záruční opravy, a to například na 50.000 Kč. V opačném případě</w:t>
      </w:r>
      <w:r>
        <w:rPr>
          <w:rFonts w:ascii="Arial" w:eastAsia="Times New Roman" w:hAnsi="Arial" w:cs="Arial"/>
          <w:color w:val="444444"/>
          <w:kern w:val="36"/>
          <w:lang w:eastAsia="cs-CZ"/>
        </w:rPr>
        <w:t>,</w:t>
      </w:r>
      <w:r w:rsidRPr="00B4593A">
        <w:rPr>
          <w:rFonts w:ascii="Arial" w:eastAsia="Times New Roman" w:hAnsi="Arial" w:cs="Arial"/>
          <w:color w:val="444444"/>
          <w:kern w:val="36"/>
          <w:lang w:eastAsia="cs-CZ"/>
        </w:rPr>
        <w:t xml:space="preserve"> pokud by došlo ke sporu o záruční vadu v řádu milionů korun, bylo by zcela zjevně nepřiměřené, aby zhotovitel musel nést náklady po celou dobu probíhajícího soudního řízení, které bezesporu může trvat klidně 5 let. Zhotovitel přitom bude muset zaplatit svým poddodavatelům nebo výrobcům materiálu, kteří budou pro záruční opravu využiti, a tak bude v negativním cash-</w:t>
      </w:r>
      <w:proofErr w:type="spellStart"/>
      <w:r w:rsidRPr="00B4593A">
        <w:rPr>
          <w:rFonts w:ascii="Arial" w:eastAsia="Times New Roman" w:hAnsi="Arial" w:cs="Arial"/>
          <w:color w:val="444444"/>
          <w:kern w:val="36"/>
          <w:lang w:eastAsia="cs-CZ"/>
        </w:rPr>
        <w:t>flow</w:t>
      </w:r>
      <w:proofErr w:type="spellEnd"/>
      <w:r w:rsidRPr="00B4593A">
        <w:rPr>
          <w:rFonts w:ascii="Arial" w:eastAsia="Times New Roman" w:hAnsi="Arial" w:cs="Arial"/>
          <w:color w:val="444444"/>
          <w:kern w:val="36"/>
          <w:lang w:eastAsia="cs-CZ"/>
        </w:rPr>
        <w:t xml:space="preserve"> po dobu několika let. Upraví zadavatel dané ustanovení v nastíněném duchu?</w:t>
      </w:r>
    </w:p>
    <w:p w:rsidR="00280E1D" w:rsidRPr="008F46B4" w:rsidRDefault="00280E1D" w:rsidP="00165718">
      <w:pPr>
        <w:spacing w:before="240" w:after="0" w:line="276" w:lineRule="auto"/>
        <w:rPr>
          <w:rFonts w:eastAsia="Times New Roman" w:cs="Calibri"/>
          <w:i/>
          <w:color w:val="FF0000"/>
          <w:u w:val="single"/>
        </w:rPr>
      </w:pPr>
      <w:r w:rsidRPr="008F46B4">
        <w:rPr>
          <w:rFonts w:eastAsia="Times New Roman" w:cs="Calibri"/>
          <w:i/>
          <w:color w:val="FF0000"/>
          <w:u w:val="single"/>
        </w:rPr>
        <w:t xml:space="preserve">Odpověď k dotazu č. 1: </w:t>
      </w:r>
    </w:p>
    <w:p w:rsidR="001F1DC1" w:rsidRPr="00F24E02" w:rsidRDefault="001F1DC1" w:rsidP="001F1DC1">
      <w:pPr>
        <w:spacing w:before="120" w:after="0" w:line="276" w:lineRule="auto"/>
        <w:jc w:val="both"/>
        <w:rPr>
          <w:rFonts w:ascii="Calibri" w:hAnsi="Calibri" w:cs="Calibri"/>
          <w:i/>
          <w:color w:val="FF0000"/>
        </w:rPr>
      </w:pPr>
      <w:r w:rsidRPr="00F24E02">
        <w:rPr>
          <w:rFonts w:ascii="Calibri" w:hAnsi="Calibri" w:cs="Calibri"/>
          <w:i/>
          <w:color w:val="FF0000"/>
        </w:rPr>
        <w:t>Zadavatel nebude upravovat podmínky smlouvy. Zadavatel je považuje za standardní. Případné finanční riziko spojené s výše uvedeným si může dodavatel promítnout do nabídkové ceny. Podmínky záruky resp. servisu a jejich způsob stanovení je řešeno, mimo jiné, i v odpovědi č. 1 (dotazy B) ve vysvětlení ZD č.1.</w:t>
      </w:r>
    </w:p>
    <w:p w:rsidR="00280E1D" w:rsidRDefault="00280E1D" w:rsidP="00280E1D">
      <w:pPr>
        <w:spacing w:line="0" w:lineRule="atLeast"/>
        <w:rPr>
          <w:rFonts w:ascii="Arial" w:eastAsia="Arial" w:hAnsi="Arial"/>
          <w:b/>
        </w:rPr>
      </w:pPr>
    </w:p>
    <w:p w:rsidR="001F1DC1" w:rsidRDefault="001F1DC1" w:rsidP="001F1DC1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Dotaz č.2:</w:t>
      </w:r>
    </w:p>
    <w:p w:rsidR="001F1DC1" w:rsidRDefault="001F1DC1" w:rsidP="001F1DC1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444444"/>
          <w:kern w:val="36"/>
          <w:lang w:eastAsia="cs-CZ"/>
        </w:rPr>
      </w:pPr>
      <w:r w:rsidRPr="00B4593A">
        <w:rPr>
          <w:rFonts w:ascii="Arial" w:eastAsia="Times New Roman" w:hAnsi="Arial" w:cs="Arial"/>
          <w:color w:val="444444"/>
          <w:kern w:val="36"/>
          <w:lang w:eastAsia="cs-CZ"/>
        </w:rPr>
        <w:t>Žádáme o objasnění důvodu, pro který je čl. XX. odst. 1. smlouvy koncipován tak, že možnost objednatele odstoupit od smlouvy není kvalitativně omezena. Zhotovitel namítá, že je v rozporu s principem přiměřenosti, a tedy v rozporu s § 6 ZZVZ, aby objednatel mohl kdykoli od smlouvy odstoupit bez udání důvodů. Zhotovitel namítá, že by tato možnost měla být v souladu s principem přiměřenosti vyhrazena pouze pro závažná provinění nebo by měla být dána oběma smluvním stranám.</w:t>
      </w:r>
    </w:p>
    <w:p w:rsidR="001F1DC1" w:rsidRPr="008F46B4" w:rsidRDefault="001F1DC1" w:rsidP="00165718">
      <w:pPr>
        <w:spacing w:before="240" w:after="0"/>
        <w:rPr>
          <w:rFonts w:eastAsia="Times New Roman" w:cs="Calibri"/>
          <w:i/>
          <w:color w:val="FF0000"/>
          <w:u w:val="single"/>
        </w:rPr>
      </w:pPr>
      <w:r w:rsidRPr="008F46B4">
        <w:rPr>
          <w:rFonts w:eastAsia="Times New Roman" w:cs="Calibri"/>
          <w:i/>
          <w:color w:val="FF0000"/>
          <w:u w:val="single"/>
        </w:rPr>
        <w:t xml:space="preserve">Odpověď k dotazu č. </w:t>
      </w:r>
      <w:r>
        <w:rPr>
          <w:rFonts w:eastAsia="Times New Roman" w:cs="Calibri"/>
          <w:i/>
          <w:color w:val="FF0000"/>
          <w:u w:val="single"/>
        </w:rPr>
        <w:t>2</w:t>
      </w:r>
      <w:r w:rsidRPr="008F46B4">
        <w:rPr>
          <w:rFonts w:eastAsia="Times New Roman" w:cs="Calibri"/>
          <w:i/>
          <w:color w:val="FF0000"/>
          <w:u w:val="single"/>
        </w:rPr>
        <w:t xml:space="preserve">: </w:t>
      </w:r>
    </w:p>
    <w:p w:rsidR="001F1DC1" w:rsidRDefault="001F1DC1" w:rsidP="001F1DC1">
      <w:pPr>
        <w:shd w:val="clear" w:color="auto" w:fill="FFFFFF"/>
        <w:spacing w:before="120" w:after="0" w:line="276" w:lineRule="auto"/>
        <w:jc w:val="both"/>
        <w:outlineLvl w:val="0"/>
        <w:rPr>
          <w:rFonts w:cs="Calibri"/>
          <w:i/>
          <w:color w:val="FF0000"/>
        </w:rPr>
      </w:pPr>
      <w:r w:rsidRPr="001D4A25">
        <w:rPr>
          <w:rFonts w:ascii="Calibri" w:eastAsia="Times New Roman" w:hAnsi="Calibri" w:cs="Calibri"/>
          <w:i/>
          <w:color w:val="FF0000"/>
          <w:kern w:val="36"/>
          <w:lang w:eastAsia="cs-CZ"/>
        </w:rPr>
        <w:t xml:space="preserve">Zadavatel odkazuje na </w:t>
      </w:r>
      <w:r w:rsidRPr="001D4A25">
        <w:rPr>
          <w:rFonts w:ascii="Calibri" w:hAnsi="Calibri" w:cs="Calibri"/>
          <w:i/>
          <w:color w:val="FF0000"/>
        </w:rPr>
        <w:t>odpov</w:t>
      </w:r>
      <w:r>
        <w:rPr>
          <w:rFonts w:cs="Calibri"/>
          <w:i/>
          <w:color w:val="FF0000"/>
        </w:rPr>
        <w:t>ěď</w:t>
      </w:r>
      <w:r w:rsidRPr="001D4A25">
        <w:rPr>
          <w:rFonts w:ascii="Calibri" w:hAnsi="Calibri" w:cs="Calibri"/>
          <w:i/>
          <w:color w:val="FF0000"/>
        </w:rPr>
        <w:t xml:space="preserve"> č. 1</w:t>
      </w:r>
      <w:r>
        <w:rPr>
          <w:rFonts w:cs="Calibri"/>
          <w:i/>
          <w:color w:val="FF0000"/>
        </w:rPr>
        <w:t>6</w:t>
      </w:r>
      <w:r w:rsidRPr="001D4A25">
        <w:rPr>
          <w:rFonts w:ascii="Calibri" w:hAnsi="Calibri" w:cs="Calibri"/>
          <w:i/>
          <w:color w:val="FF0000"/>
        </w:rPr>
        <w:t xml:space="preserve"> (</w:t>
      </w:r>
      <w:r w:rsidR="00D84D32">
        <w:rPr>
          <w:rFonts w:ascii="Calibri" w:hAnsi="Calibri" w:cs="Calibri"/>
          <w:i/>
          <w:color w:val="FF0000"/>
        </w:rPr>
        <w:t>str. 11</w:t>
      </w:r>
      <w:r w:rsidRPr="001D4A25">
        <w:rPr>
          <w:rFonts w:ascii="Calibri" w:hAnsi="Calibri" w:cs="Calibri"/>
          <w:i/>
          <w:color w:val="FF0000"/>
        </w:rPr>
        <w:t>)</w:t>
      </w:r>
      <w:r>
        <w:rPr>
          <w:rFonts w:cs="Calibri"/>
          <w:i/>
          <w:color w:val="FF0000"/>
        </w:rPr>
        <w:t xml:space="preserve"> ve </w:t>
      </w:r>
      <w:r w:rsidRPr="001D4A25">
        <w:rPr>
          <w:rFonts w:ascii="Calibri" w:hAnsi="Calibri" w:cs="Calibri"/>
          <w:i/>
          <w:color w:val="FF0000"/>
        </w:rPr>
        <w:t>vysvětlení ZD č.1</w:t>
      </w:r>
      <w:r w:rsidR="00D84D32">
        <w:rPr>
          <w:rFonts w:cs="Calibri"/>
          <w:i/>
          <w:color w:val="FF0000"/>
        </w:rPr>
        <w:t>, kde byl vysvětleno toto ustanovení smlouvy.</w:t>
      </w:r>
      <w:r>
        <w:rPr>
          <w:rFonts w:cs="Calibri"/>
          <w:i/>
          <w:color w:val="FF0000"/>
        </w:rPr>
        <w:t xml:space="preserve"> </w:t>
      </w:r>
    </w:p>
    <w:p w:rsidR="00280E1D" w:rsidRDefault="00280E1D" w:rsidP="00280E1D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1F1DC1" w:rsidRDefault="001F1DC1" w:rsidP="001F1DC1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Dotaz č.3:</w:t>
      </w:r>
    </w:p>
    <w:p w:rsidR="001F1DC1" w:rsidRDefault="001F1DC1" w:rsidP="001F1DC1">
      <w:pPr>
        <w:pBdr>
          <w:bottom w:val="single" w:sz="4" w:space="1" w:color="auto"/>
        </w:pBdr>
        <w:spacing w:before="120" w:after="0" w:line="276" w:lineRule="auto"/>
        <w:jc w:val="both"/>
        <w:rPr>
          <w:rFonts w:ascii="Arial" w:hAnsi="Arial" w:cs="Arial"/>
          <w:bCs/>
        </w:rPr>
      </w:pPr>
      <w:r w:rsidRPr="00B4593A">
        <w:rPr>
          <w:rFonts w:ascii="Arial" w:hAnsi="Arial" w:cs="Arial"/>
          <w:bCs/>
        </w:rPr>
        <w:t xml:space="preserve">Žádáme o zvážení, zda v čl. XXI. odst. 1. písm. </w:t>
      </w:r>
      <w:proofErr w:type="spellStart"/>
      <w:r w:rsidRPr="00B4593A">
        <w:rPr>
          <w:rFonts w:ascii="Arial" w:hAnsi="Arial" w:cs="Arial"/>
          <w:bCs/>
        </w:rPr>
        <w:t>iii</w:t>
      </w:r>
      <w:proofErr w:type="spellEnd"/>
      <w:r w:rsidRPr="00B4593A">
        <w:rPr>
          <w:rFonts w:ascii="Arial" w:hAnsi="Arial" w:cs="Arial"/>
          <w:bCs/>
        </w:rPr>
        <w:t>. nezměnit domněnku doručení na 3. pracovní den po odeslání, neboť kurýrní služby mnohdy nedoručují v ten samý den, kdy došlo k podání listiny. Nadto je dané ustanovení potenciálně zneužitelné tak, že by se listina zaslala z ciziny - taková listina by byla doručena až za nějaký čas, nicméně byla by považována za doručen</w:t>
      </w:r>
      <w:r>
        <w:rPr>
          <w:rFonts w:ascii="Arial" w:hAnsi="Arial" w:cs="Arial"/>
          <w:bCs/>
        </w:rPr>
        <w:t>ou</w:t>
      </w:r>
      <w:r w:rsidRPr="00B4593A">
        <w:rPr>
          <w:rFonts w:ascii="Arial" w:hAnsi="Arial" w:cs="Arial"/>
          <w:bCs/>
        </w:rPr>
        <w:t xml:space="preserve"> v den odeslání</w:t>
      </w:r>
      <w:r>
        <w:rPr>
          <w:rFonts w:ascii="Arial" w:hAnsi="Arial" w:cs="Arial"/>
          <w:bCs/>
        </w:rPr>
        <w:t>.</w:t>
      </w:r>
    </w:p>
    <w:p w:rsidR="00280E1D" w:rsidRPr="008F46B4" w:rsidRDefault="00280E1D" w:rsidP="00165718">
      <w:pPr>
        <w:spacing w:before="240" w:after="0" w:line="276" w:lineRule="auto"/>
        <w:rPr>
          <w:rFonts w:eastAsia="Times New Roman" w:cs="Calibri"/>
          <w:i/>
          <w:color w:val="FF0000"/>
          <w:u w:val="single"/>
        </w:rPr>
      </w:pPr>
      <w:r w:rsidRPr="008F46B4">
        <w:rPr>
          <w:rFonts w:eastAsia="Times New Roman" w:cs="Calibri"/>
          <w:i/>
          <w:color w:val="FF0000"/>
          <w:u w:val="single"/>
        </w:rPr>
        <w:t xml:space="preserve">Odpověď k dotazu č. 3: </w:t>
      </w:r>
    </w:p>
    <w:p w:rsidR="00280E1D" w:rsidRDefault="001F1DC1" w:rsidP="00165718">
      <w:pPr>
        <w:spacing w:before="120" w:after="0" w:line="276" w:lineRule="auto"/>
        <w:rPr>
          <w:rFonts w:ascii="Times New Roman" w:eastAsia="Times New Roman" w:hAnsi="Times New Roman"/>
        </w:rPr>
      </w:pPr>
      <w:r w:rsidRPr="001F1DC1">
        <w:rPr>
          <w:rFonts w:eastAsia="Times New Roman" w:cs="Calibri"/>
          <w:i/>
          <w:color w:val="FF0000"/>
        </w:rPr>
        <w:t>Zadavatel nebude upravovat podmínky smlouvy. Zadavatel je považuje za standardní.  Vztah mezi zadavatelem a vybraným dodavatelem je ryze soukromoprávní a v rámci takového vztahu je třeba aplikovat presumpci poctivosti a dobré víry.</w:t>
      </w:r>
    </w:p>
    <w:p w:rsidR="00165718" w:rsidRDefault="00165718" w:rsidP="00280E1D">
      <w:pPr>
        <w:spacing w:line="0" w:lineRule="atLeast"/>
        <w:rPr>
          <w:rFonts w:ascii="Arial" w:eastAsia="Arial" w:hAnsi="Arial"/>
        </w:rPr>
      </w:pPr>
    </w:p>
    <w:p w:rsidR="00165718" w:rsidRDefault="00165718" w:rsidP="00165718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Dotaz č.4:</w:t>
      </w:r>
    </w:p>
    <w:p w:rsidR="00165718" w:rsidRDefault="00165718" w:rsidP="0016571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B4593A">
        <w:rPr>
          <w:rFonts w:ascii="Arial" w:hAnsi="Arial" w:cs="Arial"/>
          <w:bCs/>
        </w:rPr>
        <w:t>Žádáme o zdůvodnění, z jakého důvodu dle čl. XXII. odst. 6. smlouvy nebezpečí změny okolností přebírá pouze zhotovitel. Dodavatel namítá, že dané ustanovení je v rozporu se zásadou přiměřenosti, a tedy odporuje § 6 ZZVZ. Odstraní zadavatel dané ustanovení nebo připíše do daného ustanovení, že též objednatel přebírá riziko změny okolností tak, aby byl smluvní vztah přiměřený a vyrovnaný?</w:t>
      </w:r>
    </w:p>
    <w:p w:rsidR="00165718" w:rsidRPr="00165718" w:rsidRDefault="00165718" w:rsidP="00165718">
      <w:pPr>
        <w:spacing w:before="240" w:after="0"/>
        <w:rPr>
          <w:rFonts w:eastAsia="Times New Roman" w:cs="Calibri"/>
          <w:i/>
          <w:color w:val="FF0000"/>
          <w:u w:val="single"/>
        </w:rPr>
      </w:pPr>
      <w:r w:rsidRPr="00165718">
        <w:rPr>
          <w:rFonts w:eastAsia="Times New Roman" w:cs="Calibri"/>
          <w:i/>
          <w:color w:val="FF0000"/>
          <w:u w:val="single"/>
        </w:rPr>
        <w:t xml:space="preserve">Odpověď k dotazu č. 4: </w:t>
      </w:r>
    </w:p>
    <w:p w:rsidR="009442CF" w:rsidRDefault="00165718" w:rsidP="009442CF">
      <w:pPr>
        <w:spacing w:before="120" w:after="0" w:line="276" w:lineRule="auto"/>
        <w:jc w:val="both"/>
        <w:rPr>
          <w:i/>
          <w:color w:val="FF0000"/>
        </w:rPr>
      </w:pPr>
      <w:r w:rsidRPr="00165718">
        <w:rPr>
          <w:i/>
          <w:color w:val="FF0000"/>
        </w:rPr>
        <w:t xml:space="preserve">Zadavatel nebude upravovat podmínky smlouvy. Zadavatel je považuje za standardní. </w:t>
      </w:r>
    </w:p>
    <w:p w:rsidR="00165718" w:rsidRDefault="00165718" w:rsidP="008615B0">
      <w:pPr>
        <w:spacing w:before="120" w:after="0" w:line="276" w:lineRule="auto"/>
        <w:jc w:val="both"/>
        <w:rPr>
          <w:i/>
          <w:color w:val="FF0000"/>
        </w:rPr>
      </w:pPr>
      <w:r w:rsidRPr="00165718">
        <w:rPr>
          <w:i/>
          <w:color w:val="FF0000"/>
        </w:rPr>
        <w:t>Zadavatel vychází z předpokladu, že v zákl</w:t>
      </w:r>
      <w:r w:rsidR="009442CF">
        <w:rPr>
          <w:i/>
          <w:color w:val="FF0000"/>
        </w:rPr>
        <w:t>a</w:t>
      </w:r>
      <w:r w:rsidRPr="00165718">
        <w:rPr>
          <w:i/>
          <w:color w:val="FF0000"/>
        </w:rPr>
        <w:t xml:space="preserve">dním režimu je právní úprava vystavěna na principu, že každá smlouva obsahuje klausuli </w:t>
      </w:r>
      <w:proofErr w:type="spellStart"/>
      <w:r w:rsidRPr="00165718">
        <w:rPr>
          <w:i/>
          <w:color w:val="FF0000"/>
        </w:rPr>
        <w:t>rebus</w:t>
      </w:r>
      <w:proofErr w:type="spellEnd"/>
      <w:r w:rsidRPr="00165718">
        <w:rPr>
          <w:i/>
          <w:color w:val="FF0000"/>
        </w:rPr>
        <w:t xml:space="preserve"> sic </w:t>
      </w:r>
      <w:proofErr w:type="spellStart"/>
      <w:r w:rsidRPr="00165718">
        <w:rPr>
          <w:i/>
          <w:color w:val="FF0000"/>
        </w:rPr>
        <w:t>stantibus</w:t>
      </w:r>
      <w:proofErr w:type="spellEnd"/>
      <w:r w:rsidRPr="00165718">
        <w:rPr>
          <w:i/>
          <w:color w:val="FF0000"/>
        </w:rPr>
        <w:t xml:space="preserve">, tedy že je uzavřena s výhradou změny okolností. Jde však pouze o výchozí dispozitivní režim, který je možno libovolně změnit. Dle právních předpisů mohou smluvní strany nebezpečí změny okolností vzít na sebe a náklady z toho vzniklé potom nést. Z výše uvedeného plyne, že sám regulátor výslovně odkazuje na možnost přenesení nebezpečí okolností a zadavatel této možnosti využívá. </w:t>
      </w:r>
    </w:p>
    <w:p w:rsidR="00F37825" w:rsidRDefault="00F37825" w:rsidP="008615B0">
      <w:pPr>
        <w:spacing w:before="120" w:after="0" w:line="276" w:lineRule="auto"/>
        <w:jc w:val="both"/>
        <w:rPr>
          <w:i/>
        </w:rPr>
      </w:pPr>
    </w:p>
    <w:p w:rsidR="002C4770" w:rsidRDefault="002C4770" w:rsidP="008615B0">
      <w:pPr>
        <w:spacing w:before="120" w:after="0" w:line="276" w:lineRule="auto"/>
        <w:jc w:val="both"/>
        <w:rPr>
          <w:b/>
        </w:rPr>
      </w:pPr>
    </w:p>
    <w:p w:rsidR="002C4770" w:rsidRDefault="002C4770" w:rsidP="002C4770">
      <w:pPr>
        <w:spacing w:after="0" w:line="240" w:lineRule="auto"/>
        <w:ind w:left="-567"/>
        <w:jc w:val="both"/>
        <w:rPr>
          <w:rFonts w:cstheme="minorHAnsi"/>
          <w:b/>
          <w:color w:val="1D1D1B"/>
          <w:sz w:val="24"/>
          <w:szCs w:val="24"/>
          <w:u w:val="single"/>
        </w:rPr>
      </w:pPr>
      <w:r w:rsidRPr="002C4770">
        <w:rPr>
          <w:rFonts w:cstheme="minorHAnsi"/>
          <w:b/>
          <w:color w:val="1D1D1B"/>
          <w:sz w:val="24"/>
          <w:szCs w:val="24"/>
          <w:u w:val="single"/>
        </w:rPr>
        <w:t xml:space="preserve">Dotaz ze dne </w:t>
      </w:r>
      <w:r>
        <w:rPr>
          <w:rFonts w:cstheme="minorHAnsi"/>
          <w:b/>
          <w:color w:val="1D1D1B"/>
          <w:sz w:val="24"/>
          <w:szCs w:val="24"/>
          <w:u w:val="single"/>
        </w:rPr>
        <w:t>21</w:t>
      </w:r>
      <w:r w:rsidRPr="002C4770">
        <w:rPr>
          <w:rFonts w:cstheme="minorHAnsi"/>
          <w:b/>
          <w:color w:val="1D1D1B"/>
          <w:sz w:val="24"/>
          <w:szCs w:val="24"/>
          <w:u w:val="single"/>
        </w:rPr>
        <w:t>.6.2024</w:t>
      </w:r>
    </w:p>
    <w:p w:rsidR="002C4770" w:rsidRDefault="002C4770" w:rsidP="002C4770">
      <w:pPr>
        <w:spacing w:after="0" w:line="240" w:lineRule="auto"/>
        <w:ind w:left="-567"/>
        <w:jc w:val="both"/>
        <w:rPr>
          <w:rFonts w:ascii="Arial" w:hAnsi="Arial" w:cs="Arial"/>
        </w:rPr>
      </w:pPr>
    </w:p>
    <w:p w:rsidR="002C4770" w:rsidRDefault="002C4770" w:rsidP="002C4770">
      <w:pPr>
        <w:spacing w:after="0" w:line="240" w:lineRule="auto"/>
        <w:ind w:left="-567"/>
        <w:jc w:val="both"/>
        <w:rPr>
          <w:rFonts w:cstheme="minorHAnsi"/>
          <w:b/>
          <w:color w:val="1D1D1B"/>
          <w:sz w:val="24"/>
          <w:szCs w:val="24"/>
          <w:u w:val="single"/>
        </w:rPr>
      </w:pPr>
      <w:r>
        <w:rPr>
          <w:rFonts w:ascii="Arial" w:hAnsi="Arial" w:cs="Arial"/>
        </w:rPr>
        <w:t xml:space="preserve">Žádáme zadavatele o zodpovězení dotazu, proč zadavatel v návrhu </w:t>
      </w:r>
      <w:proofErr w:type="spellStart"/>
      <w:r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ze dne 30. 4. 2024 oproti znění ze dne 25. 4. 2024 prodloužil lhůty v čl. V. odst. 6. smlouvy z jednoho měsíce na tři měsíce. Dodavatel má za to, že se ze strany zadavatele jedná o administrativní chybu, neboť zadavatel o těchto změnách v návrhu smlouvy neinformoval dodavatele ve vysvětlení zadávací dokumentace. Vzhledem k tomu, že na tyto změny nebylo upozorněno a vzhledem k tomu, že zadavatel vydává návrh smlouvy bez viditelných revizí (změn) a v zabezpečené verzi, přes kterou se nedá udělat porovnání proti dřívější verzi dokumentu, je pro dodavatele zjištění o úpravách popsaných výše překvapivé a všiml si ho v podstatě náhodou. Dodavatel tak má za to, že si většina dodavatelů této úpravy ani nevšimne. S ohledem na dané tak dodavatel žádá o úpravu smlouvy tak, aby došlo zpět ke zkrácení lhůt v čl. V. odst. 6. smlouvy ze tří měsíců na původní jeden měsíc tak, jako tomu bylo ve znění smlouvy ze dne 25. 4. 2024.</w:t>
      </w:r>
    </w:p>
    <w:p w:rsidR="002C4770" w:rsidRDefault="002C4770" w:rsidP="002C4770">
      <w:pPr>
        <w:spacing w:after="0" w:line="240" w:lineRule="auto"/>
        <w:ind w:left="-567"/>
        <w:jc w:val="both"/>
        <w:rPr>
          <w:rFonts w:eastAsia="Times New Roman" w:cs="Calibri"/>
          <w:i/>
          <w:color w:val="FF0000"/>
          <w:u w:val="single"/>
        </w:rPr>
      </w:pPr>
    </w:p>
    <w:p w:rsidR="002C4770" w:rsidRDefault="002C4770" w:rsidP="002C4770">
      <w:pPr>
        <w:spacing w:after="0" w:line="240" w:lineRule="auto"/>
        <w:ind w:left="-567"/>
        <w:jc w:val="both"/>
        <w:rPr>
          <w:rFonts w:eastAsia="Times New Roman" w:cs="Calibri"/>
          <w:i/>
          <w:color w:val="FF0000"/>
          <w:u w:val="single"/>
        </w:rPr>
      </w:pPr>
      <w:bookmarkStart w:id="2" w:name="_Hlk169868535"/>
      <w:r w:rsidRPr="008F46B4">
        <w:rPr>
          <w:rFonts w:eastAsia="Times New Roman" w:cs="Calibri"/>
          <w:i/>
          <w:color w:val="FF0000"/>
          <w:u w:val="single"/>
        </w:rPr>
        <w:t>Odpověď k</w:t>
      </w:r>
      <w:r>
        <w:rPr>
          <w:rFonts w:eastAsia="Times New Roman" w:cs="Calibri"/>
          <w:i/>
          <w:color w:val="FF0000"/>
          <w:u w:val="single"/>
        </w:rPr>
        <w:t> </w:t>
      </w:r>
      <w:r w:rsidRPr="008F46B4">
        <w:rPr>
          <w:rFonts w:eastAsia="Times New Roman" w:cs="Calibri"/>
          <w:i/>
          <w:color w:val="FF0000"/>
          <w:u w:val="single"/>
        </w:rPr>
        <w:t>dotazu</w:t>
      </w:r>
      <w:r>
        <w:rPr>
          <w:rFonts w:eastAsia="Times New Roman" w:cs="Calibri"/>
          <w:i/>
          <w:color w:val="FF0000"/>
          <w:u w:val="single"/>
        </w:rPr>
        <w:t>:</w:t>
      </w:r>
    </w:p>
    <w:p w:rsidR="002C4770" w:rsidRDefault="002C4770" w:rsidP="002C4770">
      <w:pPr>
        <w:spacing w:after="0" w:line="240" w:lineRule="auto"/>
        <w:ind w:left="-567"/>
        <w:jc w:val="both"/>
        <w:rPr>
          <w:rFonts w:eastAsia="Times New Roman" w:cs="Calibri"/>
          <w:i/>
          <w:color w:val="FF0000"/>
          <w:u w:val="single"/>
        </w:rPr>
      </w:pPr>
    </w:p>
    <w:p w:rsidR="002C4770" w:rsidRPr="00542733" w:rsidRDefault="002C4770" w:rsidP="002C4770">
      <w:pPr>
        <w:spacing w:after="0" w:line="240" w:lineRule="auto"/>
        <w:ind w:left="-567"/>
        <w:jc w:val="both"/>
        <w:rPr>
          <w:rFonts w:eastAsia="Times New Roman" w:cs="Calibri"/>
          <w:color w:val="FF0000"/>
        </w:rPr>
      </w:pPr>
      <w:r w:rsidRPr="00542733">
        <w:rPr>
          <w:rFonts w:eastAsia="Times New Roman" w:cs="Calibri"/>
          <w:color w:val="FF0000"/>
        </w:rPr>
        <w:lastRenderedPageBreak/>
        <w:t>Zadavatel</w:t>
      </w:r>
      <w:r w:rsidR="00D17FE5" w:rsidRPr="00542733">
        <w:rPr>
          <w:rFonts w:eastAsia="Times New Roman" w:cs="Calibri"/>
          <w:color w:val="FF0000"/>
        </w:rPr>
        <w:t xml:space="preserve"> potvrzuje</w:t>
      </w:r>
      <w:r w:rsidRPr="00542733">
        <w:rPr>
          <w:rFonts w:eastAsia="Times New Roman" w:cs="Calibri"/>
          <w:color w:val="FF0000"/>
        </w:rPr>
        <w:t xml:space="preserve">, že je platná úprava smlouvy v čl. V odst. 6 uvedená ve vysvětlení ZD č. 8 ze dne </w:t>
      </w:r>
      <w:r w:rsidR="00D17FE5" w:rsidRPr="00542733">
        <w:rPr>
          <w:rFonts w:eastAsia="Times New Roman" w:cs="Calibri"/>
          <w:color w:val="FF0000"/>
        </w:rPr>
        <w:t>30.4.2024. Zadavatel pouze napravuje administrativní chybu</w:t>
      </w:r>
      <w:r w:rsidR="003E1361">
        <w:rPr>
          <w:rFonts w:eastAsia="Times New Roman" w:cs="Calibri"/>
          <w:color w:val="FF0000"/>
        </w:rPr>
        <w:t xml:space="preserve"> v návrhu smlouvy o dílo.</w:t>
      </w:r>
      <w:r w:rsidR="00791C94">
        <w:rPr>
          <w:rFonts w:eastAsia="Times New Roman" w:cs="Calibri"/>
          <w:color w:val="FF0000"/>
        </w:rPr>
        <w:t xml:space="preserve"> Opravená verze smlouvy je přílohou tohoto vysvětlení.</w:t>
      </w:r>
    </w:p>
    <w:p w:rsidR="00D17FE5" w:rsidRPr="00542733" w:rsidRDefault="00D17FE5" w:rsidP="00791C94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  <w:bookmarkStart w:id="3" w:name="_GoBack"/>
      <w:bookmarkEnd w:id="3"/>
    </w:p>
    <w:p w:rsidR="00D17FE5" w:rsidRPr="00542733" w:rsidRDefault="00D17FE5" w:rsidP="00D17FE5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542733">
        <w:rPr>
          <w:rFonts w:cstheme="minorHAnsi"/>
          <w:color w:val="1D1D1B"/>
        </w:rPr>
        <w:t>Vzhledem k výše uvedenému zadavatel prodlužuje lhůtu pro nabídky do 28.6.2024 do 10:00</w:t>
      </w:r>
    </w:p>
    <w:p w:rsidR="00D17FE5" w:rsidRDefault="00D17FE5" w:rsidP="00D17FE5">
      <w:pPr>
        <w:spacing w:after="0" w:line="240" w:lineRule="auto"/>
        <w:ind w:left="-567"/>
        <w:jc w:val="both"/>
        <w:rPr>
          <w:b/>
        </w:rPr>
      </w:pPr>
    </w:p>
    <w:p w:rsidR="00D17FE5" w:rsidRDefault="00D17FE5" w:rsidP="00D17FE5">
      <w:pPr>
        <w:spacing w:after="0" w:line="240" w:lineRule="auto"/>
        <w:ind w:left="-567"/>
        <w:jc w:val="both"/>
        <w:rPr>
          <w:b/>
        </w:rPr>
      </w:pPr>
    </w:p>
    <w:p w:rsidR="00D17FE5" w:rsidRPr="00D17FE5" w:rsidRDefault="00D17FE5" w:rsidP="00D17FE5">
      <w:pPr>
        <w:spacing w:after="0" w:line="240" w:lineRule="auto"/>
        <w:ind w:left="-567"/>
        <w:jc w:val="both"/>
        <w:rPr>
          <w:rFonts w:cstheme="minorHAnsi"/>
          <w:b/>
          <w:color w:val="1D1D1B"/>
          <w:sz w:val="24"/>
          <w:szCs w:val="24"/>
          <w:u w:val="single"/>
        </w:rPr>
      </w:pPr>
      <w:r w:rsidRPr="00F37825">
        <w:rPr>
          <w:b/>
        </w:rPr>
        <w:t>Zadavatel poskytuje výše uvedené vysvětlení nad rámec svých povinností, jelikož žádost o vysvětlení byla doručena po uplynutí lhůty dle § 98 odst. 3 ZZVZ</w:t>
      </w:r>
      <w:r>
        <w:rPr>
          <w:b/>
        </w:rPr>
        <w:t xml:space="preserve"> a zadavatel tak nebyl povinen vysvětlení poskytnout. Dále zadavatel upozorňuje, že dodavatelé měli dostatek času</w:t>
      </w:r>
      <w:r w:rsidR="00542733">
        <w:rPr>
          <w:b/>
        </w:rPr>
        <w:t xml:space="preserve"> </w:t>
      </w:r>
      <w:r>
        <w:rPr>
          <w:b/>
        </w:rPr>
        <w:t xml:space="preserve">seznámit se </w:t>
      </w:r>
      <w:r w:rsidR="00542733">
        <w:rPr>
          <w:b/>
        </w:rPr>
        <w:t xml:space="preserve">se </w:t>
      </w:r>
      <w:r>
        <w:rPr>
          <w:b/>
        </w:rPr>
        <w:t>zadávací dokumentací</w:t>
      </w:r>
      <w:r w:rsidR="003E1361">
        <w:rPr>
          <w:b/>
        </w:rPr>
        <w:t xml:space="preserve"> od jejího prvotního uveřejnění dne 28.2.2024 a následně pak znovu </w:t>
      </w:r>
      <w:r>
        <w:rPr>
          <w:b/>
        </w:rPr>
        <w:t xml:space="preserve">d </w:t>
      </w:r>
      <w:r w:rsidR="00542733">
        <w:rPr>
          <w:b/>
        </w:rPr>
        <w:t xml:space="preserve">16.5.2024, kdy </w:t>
      </w:r>
      <w:r w:rsidR="003E1361">
        <w:rPr>
          <w:b/>
        </w:rPr>
        <w:t xml:space="preserve">o </w:t>
      </w:r>
      <w:r w:rsidR="00542733">
        <w:rPr>
          <w:b/>
        </w:rPr>
        <w:t>došlo k prodloužení lhůty pro nabídky o celou její původní délku.</w:t>
      </w:r>
    </w:p>
    <w:bookmarkEnd w:id="2"/>
    <w:p w:rsidR="00D17FE5" w:rsidRDefault="00D17FE5" w:rsidP="002C4770">
      <w:pPr>
        <w:spacing w:after="0" w:line="240" w:lineRule="auto"/>
        <w:ind w:left="-567"/>
        <w:jc w:val="both"/>
        <w:rPr>
          <w:rFonts w:cstheme="minorHAnsi"/>
          <w:b/>
          <w:color w:val="1D1D1B"/>
          <w:sz w:val="24"/>
          <w:szCs w:val="24"/>
          <w:u w:val="single"/>
        </w:rPr>
      </w:pPr>
    </w:p>
    <w:p w:rsidR="003E1361" w:rsidRDefault="003E1361" w:rsidP="003E1361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:rsidR="003E1361" w:rsidRDefault="003E1361" w:rsidP="003E1361">
      <w:pPr>
        <w:spacing w:after="0" w:line="240" w:lineRule="auto"/>
        <w:ind w:left="-567"/>
        <w:jc w:val="both"/>
        <w:rPr>
          <w:rFonts w:cstheme="minorHAnsi"/>
        </w:rPr>
      </w:pPr>
      <w:r>
        <w:rPr>
          <w:rFonts w:cstheme="minorHAnsi"/>
        </w:rPr>
        <w:t>Příloha č. 2 – návrh smlouvy o dílo (210624)</w:t>
      </w:r>
    </w:p>
    <w:p w:rsidR="003E1361" w:rsidRPr="002C4770" w:rsidRDefault="003E1361" w:rsidP="002C4770">
      <w:pPr>
        <w:spacing w:after="0" w:line="240" w:lineRule="auto"/>
        <w:ind w:left="-567"/>
        <w:jc w:val="both"/>
        <w:rPr>
          <w:rFonts w:cstheme="minorHAnsi"/>
          <w:b/>
          <w:color w:val="1D1D1B"/>
          <w:sz w:val="24"/>
          <w:szCs w:val="24"/>
          <w:u w:val="single"/>
        </w:rPr>
      </w:pPr>
    </w:p>
    <w:sectPr w:rsidR="003E1361" w:rsidRPr="002C47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E744E0"/>
    <w:multiLevelType w:val="hybridMultilevel"/>
    <w:tmpl w:val="00F4E004"/>
    <w:lvl w:ilvl="0" w:tplc="5AB2EB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492D83"/>
    <w:multiLevelType w:val="hybridMultilevel"/>
    <w:tmpl w:val="B9E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7D9A"/>
    <w:multiLevelType w:val="hybridMultilevel"/>
    <w:tmpl w:val="985CA6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FA0B66"/>
    <w:multiLevelType w:val="hybridMultilevel"/>
    <w:tmpl w:val="F02E99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C66EEA"/>
    <w:multiLevelType w:val="hybridMultilevel"/>
    <w:tmpl w:val="9DF2F1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5D46B2"/>
    <w:multiLevelType w:val="hybridMultilevel"/>
    <w:tmpl w:val="ADD8B4C8"/>
    <w:lvl w:ilvl="0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434DA"/>
    <w:multiLevelType w:val="hybridMultilevel"/>
    <w:tmpl w:val="9C481E5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C4DDD"/>
    <w:multiLevelType w:val="hybridMultilevel"/>
    <w:tmpl w:val="E00607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745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28"/>
  </w:num>
  <w:num w:numId="4">
    <w:abstractNumId w:val="19"/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1"/>
  </w:num>
  <w:num w:numId="9">
    <w:abstractNumId w:val="34"/>
  </w:num>
  <w:num w:numId="10">
    <w:abstractNumId w:val="25"/>
  </w:num>
  <w:num w:numId="11">
    <w:abstractNumId w:val="0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7"/>
  </w:num>
  <w:num w:numId="16">
    <w:abstractNumId w:val="2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2"/>
  </w:num>
  <w:num w:numId="22">
    <w:abstractNumId w:val="20"/>
  </w:num>
  <w:num w:numId="23">
    <w:abstractNumId w:val="8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0"/>
  </w:num>
  <w:num w:numId="29">
    <w:abstractNumId w:val="3"/>
  </w:num>
  <w:num w:numId="30">
    <w:abstractNumId w:val="4"/>
  </w:num>
  <w:num w:numId="31">
    <w:abstractNumId w:val="7"/>
  </w:num>
  <w:num w:numId="32">
    <w:abstractNumId w:val="23"/>
  </w:num>
  <w:num w:numId="33">
    <w:abstractNumId w:val="32"/>
  </w:num>
  <w:num w:numId="34">
    <w:abstractNumId w:val="11"/>
  </w:num>
  <w:num w:numId="35">
    <w:abstractNumId w:val="5"/>
  </w:num>
  <w:num w:numId="36">
    <w:abstractNumId w:val="14"/>
  </w:num>
  <w:num w:numId="37">
    <w:abstractNumId w:val="27"/>
  </w:num>
  <w:num w:numId="38">
    <w:abstractNumId w:val="9"/>
  </w:num>
  <w:num w:numId="39">
    <w:abstractNumId w:val="13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4EFF"/>
    <w:rsid w:val="00057E4F"/>
    <w:rsid w:val="0007380D"/>
    <w:rsid w:val="00092847"/>
    <w:rsid w:val="00094956"/>
    <w:rsid w:val="00095CC4"/>
    <w:rsid w:val="00097BF6"/>
    <w:rsid w:val="000A231A"/>
    <w:rsid w:val="000C2B94"/>
    <w:rsid w:val="000F007E"/>
    <w:rsid w:val="000F63A8"/>
    <w:rsid w:val="00101F93"/>
    <w:rsid w:val="001113C3"/>
    <w:rsid w:val="00122458"/>
    <w:rsid w:val="00122948"/>
    <w:rsid w:val="00127647"/>
    <w:rsid w:val="00137D8B"/>
    <w:rsid w:val="00142D40"/>
    <w:rsid w:val="00145C25"/>
    <w:rsid w:val="001518E8"/>
    <w:rsid w:val="001571AB"/>
    <w:rsid w:val="00162AD9"/>
    <w:rsid w:val="00165718"/>
    <w:rsid w:val="001B19E8"/>
    <w:rsid w:val="001B6FBA"/>
    <w:rsid w:val="001C49E1"/>
    <w:rsid w:val="001D291C"/>
    <w:rsid w:val="001D539A"/>
    <w:rsid w:val="001D5FCD"/>
    <w:rsid w:val="001E1B78"/>
    <w:rsid w:val="001E4DA3"/>
    <w:rsid w:val="001F1241"/>
    <w:rsid w:val="001F1DC1"/>
    <w:rsid w:val="00211B5C"/>
    <w:rsid w:val="0021358C"/>
    <w:rsid w:val="002172B7"/>
    <w:rsid w:val="00226431"/>
    <w:rsid w:val="0023372D"/>
    <w:rsid w:val="0026260E"/>
    <w:rsid w:val="00263C96"/>
    <w:rsid w:val="00280E1D"/>
    <w:rsid w:val="002A0985"/>
    <w:rsid w:val="002A648F"/>
    <w:rsid w:val="002C4770"/>
    <w:rsid w:val="002C4CD5"/>
    <w:rsid w:val="002E1B06"/>
    <w:rsid w:val="002E1E18"/>
    <w:rsid w:val="00323F7B"/>
    <w:rsid w:val="0032742D"/>
    <w:rsid w:val="00340233"/>
    <w:rsid w:val="00340C40"/>
    <w:rsid w:val="00375A0E"/>
    <w:rsid w:val="003811A8"/>
    <w:rsid w:val="0039369F"/>
    <w:rsid w:val="00395682"/>
    <w:rsid w:val="003A04B2"/>
    <w:rsid w:val="003C03BE"/>
    <w:rsid w:val="003C0F31"/>
    <w:rsid w:val="003C6B88"/>
    <w:rsid w:val="003D1416"/>
    <w:rsid w:val="003D54BE"/>
    <w:rsid w:val="003E1361"/>
    <w:rsid w:val="00403212"/>
    <w:rsid w:val="00420EEE"/>
    <w:rsid w:val="004306EF"/>
    <w:rsid w:val="00435B34"/>
    <w:rsid w:val="00444F17"/>
    <w:rsid w:val="004455FC"/>
    <w:rsid w:val="00451B7C"/>
    <w:rsid w:val="00456656"/>
    <w:rsid w:val="00464E1B"/>
    <w:rsid w:val="004745C6"/>
    <w:rsid w:val="00476488"/>
    <w:rsid w:val="0048134B"/>
    <w:rsid w:val="00486ABF"/>
    <w:rsid w:val="0048784D"/>
    <w:rsid w:val="004926D9"/>
    <w:rsid w:val="004C3D21"/>
    <w:rsid w:val="004D18F6"/>
    <w:rsid w:val="004D418C"/>
    <w:rsid w:val="00501F4C"/>
    <w:rsid w:val="00513310"/>
    <w:rsid w:val="005167C1"/>
    <w:rsid w:val="00530765"/>
    <w:rsid w:val="005312B3"/>
    <w:rsid w:val="00533469"/>
    <w:rsid w:val="00542733"/>
    <w:rsid w:val="00546CA6"/>
    <w:rsid w:val="00551838"/>
    <w:rsid w:val="00565A80"/>
    <w:rsid w:val="0057231D"/>
    <w:rsid w:val="00576E2C"/>
    <w:rsid w:val="00577249"/>
    <w:rsid w:val="00587B33"/>
    <w:rsid w:val="00593C2B"/>
    <w:rsid w:val="00596F1A"/>
    <w:rsid w:val="005A1002"/>
    <w:rsid w:val="005A761E"/>
    <w:rsid w:val="005B7FC4"/>
    <w:rsid w:val="005D64DD"/>
    <w:rsid w:val="005E2F50"/>
    <w:rsid w:val="005E57B5"/>
    <w:rsid w:val="005F16D7"/>
    <w:rsid w:val="005F374D"/>
    <w:rsid w:val="00611A16"/>
    <w:rsid w:val="0062445A"/>
    <w:rsid w:val="00672C00"/>
    <w:rsid w:val="006742D3"/>
    <w:rsid w:val="00691FB7"/>
    <w:rsid w:val="006B420E"/>
    <w:rsid w:val="006B6BDE"/>
    <w:rsid w:val="006C6BB3"/>
    <w:rsid w:val="006D23A3"/>
    <w:rsid w:val="006D2BE6"/>
    <w:rsid w:val="006E038B"/>
    <w:rsid w:val="006F4504"/>
    <w:rsid w:val="00723620"/>
    <w:rsid w:val="00724FA8"/>
    <w:rsid w:val="00736404"/>
    <w:rsid w:val="00741DA8"/>
    <w:rsid w:val="00743A31"/>
    <w:rsid w:val="00744F8E"/>
    <w:rsid w:val="007549B8"/>
    <w:rsid w:val="007708D7"/>
    <w:rsid w:val="00777920"/>
    <w:rsid w:val="00790291"/>
    <w:rsid w:val="00791C94"/>
    <w:rsid w:val="00793783"/>
    <w:rsid w:val="007975C0"/>
    <w:rsid w:val="007B0EA6"/>
    <w:rsid w:val="007C1443"/>
    <w:rsid w:val="007C1620"/>
    <w:rsid w:val="007D37E9"/>
    <w:rsid w:val="007D4309"/>
    <w:rsid w:val="007E0149"/>
    <w:rsid w:val="007F76E1"/>
    <w:rsid w:val="00817048"/>
    <w:rsid w:val="0081761D"/>
    <w:rsid w:val="0082193B"/>
    <w:rsid w:val="00827341"/>
    <w:rsid w:val="00831DE2"/>
    <w:rsid w:val="0083589D"/>
    <w:rsid w:val="0084060A"/>
    <w:rsid w:val="00842ED0"/>
    <w:rsid w:val="00846D8E"/>
    <w:rsid w:val="00847A2A"/>
    <w:rsid w:val="008615B0"/>
    <w:rsid w:val="00862B29"/>
    <w:rsid w:val="00896BFF"/>
    <w:rsid w:val="008B4BA4"/>
    <w:rsid w:val="008B6E95"/>
    <w:rsid w:val="008C299F"/>
    <w:rsid w:val="008C46C5"/>
    <w:rsid w:val="008C7956"/>
    <w:rsid w:val="008D7AC1"/>
    <w:rsid w:val="008E365A"/>
    <w:rsid w:val="008E7A17"/>
    <w:rsid w:val="008F37AE"/>
    <w:rsid w:val="009027BD"/>
    <w:rsid w:val="00903A60"/>
    <w:rsid w:val="00915012"/>
    <w:rsid w:val="00931D6F"/>
    <w:rsid w:val="009377E5"/>
    <w:rsid w:val="00943383"/>
    <w:rsid w:val="009442CF"/>
    <w:rsid w:val="0096661C"/>
    <w:rsid w:val="00986612"/>
    <w:rsid w:val="00993052"/>
    <w:rsid w:val="009956C7"/>
    <w:rsid w:val="009A715E"/>
    <w:rsid w:val="009B2B4B"/>
    <w:rsid w:val="009B6340"/>
    <w:rsid w:val="009C27DD"/>
    <w:rsid w:val="009D4833"/>
    <w:rsid w:val="009D6249"/>
    <w:rsid w:val="00A03FBC"/>
    <w:rsid w:val="00A10FCD"/>
    <w:rsid w:val="00A165A7"/>
    <w:rsid w:val="00A20A06"/>
    <w:rsid w:val="00A2300F"/>
    <w:rsid w:val="00A357DB"/>
    <w:rsid w:val="00A65A9B"/>
    <w:rsid w:val="00A66381"/>
    <w:rsid w:val="00A8563B"/>
    <w:rsid w:val="00AB0D02"/>
    <w:rsid w:val="00AB2493"/>
    <w:rsid w:val="00AB68D3"/>
    <w:rsid w:val="00AC61A7"/>
    <w:rsid w:val="00AD61BE"/>
    <w:rsid w:val="00AF1376"/>
    <w:rsid w:val="00AF3685"/>
    <w:rsid w:val="00B1175A"/>
    <w:rsid w:val="00B11BE2"/>
    <w:rsid w:val="00B27BA4"/>
    <w:rsid w:val="00B31AA0"/>
    <w:rsid w:val="00B338AF"/>
    <w:rsid w:val="00B342AE"/>
    <w:rsid w:val="00B36E79"/>
    <w:rsid w:val="00B47D22"/>
    <w:rsid w:val="00B5098A"/>
    <w:rsid w:val="00B52E88"/>
    <w:rsid w:val="00B85D3B"/>
    <w:rsid w:val="00B93A48"/>
    <w:rsid w:val="00BA1BC7"/>
    <w:rsid w:val="00BA2DCB"/>
    <w:rsid w:val="00BA30F4"/>
    <w:rsid w:val="00BA4979"/>
    <w:rsid w:val="00BB3954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249C1"/>
    <w:rsid w:val="00C35B18"/>
    <w:rsid w:val="00C82C5C"/>
    <w:rsid w:val="00C86DD5"/>
    <w:rsid w:val="00C87B42"/>
    <w:rsid w:val="00CA2ACD"/>
    <w:rsid w:val="00CA5252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49C7"/>
    <w:rsid w:val="00CE68BF"/>
    <w:rsid w:val="00CF74A1"/>
    <w:rsid w:val="00D01840"/>
    <w:rsid w:val="00D044EE"/>
    <w:rsid w:val="00D07B94"/>
    <w:rsid w:val="00D1483C"/>
    <w:rsid w:val="00D17FE5"/>
    <w:rsid w:val="00D279FF"/>
    <w:rsid w:val="00D32132"/>
    <w:rsid w:val="00D45D56"/>
    <w:rsid w:val="00D60394"/>
    <w:rsid w:val="00D72997"/>
    <w:rsid w:val="00D808EE"/>
    <w:rsid w:val="00D84D32"/>
    <w:rsid w:val="00D87E5D"/>
    <w:rsid w:val="00DA367D"/>
    <w:rsid w:val="00DD0296"/>
    <w:rsid w:val="00DD02C9"/>
    <w:rsid w:val="00DF4687"/>
    <w:rsid w:val="00DF5C8D"/>
    <w:rsid w:val="00E27E2D"/>
    <w:rsid w:val="00E559AE"/>
    <w:rsid w:val="00E710C3"/>
    <w:rsid w:val="00E74C79"/>
    <w:rsid w:val="00E75454"/>
    <w:rsid w:val="00E85181"/>
    <w:rsid w:val="00EB689B"/>
    <w:rsid w:val="00EC7A11"/>
    <w:rsid w:val="00ED09BB"/>
    <w:rsid w:val="00EE6CE3"/>
    <w:rsid w:val="00EF124C"/>
    <w:rsid w:val="00EF1EEB"/>
    <w:rsid w:val="00F16D62"/>
    <w:rsid w:val="00F37825"/>
    <w:rsid w:val="00F86453"/>
    <w:rsid w:val="00F917DA"/>
    <w:rsid w:val="00F96C9A"/>
    <w:rsid w:val="00F97BAE"/>
    <w:rsid w:val="00FA091E"/>
    <w:rsid w:val="00FB651A"/>
    <w:rsid w:val="00FC3035"/>
    <w:rsid w:val="00FD2619"/>
    <w:rsid w:val="00FD6A0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648F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276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12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/seznam-profilu-zadavatelu/detail/Z0001183/zakazka/6874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B64C-61D3-4C2F-BA21-5D6F493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41</cp:revision>
  <cp:lastPrinted>2024-05-22T10:55:00Z</cp:lastPrinted>
  <dcterms:created xsi:type="dcterms:W3CDTF">2024-04-26T11:18:00Z</dcterms:created>
  <dcterms:modified xsi:type="dcterms:W3CDTF">2024-06-21T12:06:00Z</dcterms:modified>
</cp:coreProperties>
</file>