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FA" w:rsidRDefault="00E851FA" w:rsidP="00E851F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Srovnání počtů TEP  2018/2019</w:t>
      </w:r>
    </w:p>
    <w:p w:rsidR="00B072D6" w:rsidRDefault="00B072D6" w:rsidP="00E851FA">
      <w:pPr>
        <w:jc w:val="center"/>
        <w:rPr>
          <w:b/>
          <w:sz w:val="40"/>
          <w:szCs w:val="40"/>
          <w:u w:val="single"/>
        </w:rPr>
      </w:pPr>
    </w:p>
    <w:p w:rsidR="00C579CC" w:rsidRDefault="00BF615E" w:rsidP="00913914">
      <w:pPr>
        <w:ind w:left="-284"/>
      </w:pPr>
      <w:r w:rsidRPr="00BF615E">
        <w:rPr>
          <w:noProof/>
          <w:lang w:eastAsia="cs-CZ"/>
        </w:rPr>
        <w:drawing>
          <wp:inline distT="0" distB="0" distL="0" distR="0">
            <wp:extent cx="6839585" cy="3381375"/>
            <wp:effectExtent l="19050" t="0" r="18415" b="0"/>
            <wp:docPr id="4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072D6" w:rsidRDefault="00B072D6" w:rsidP="00913914">
      <w:pPr>
        <w:ind w:left="-284"/>
      </w:pPr>
    </w:p>
    <w:p w:rsidR="00E86EC3" w:rsidRDefault="00BF615E" w:rsidP="00BF615E">
      <w:pPr>
        <w:ind w:left="-284"/>
      </w:pPr>
      <w:r w:rsidRPr="00BF615E">
        <w:rPr>
          <w:noProof/>
          <w:lang w:eastAsia="cs-CZ"/>
        </w:rPr>
        <w:drawing>
          <wp:inline distT="0" distB="0" distL="0" distR="0">
            <wp:extent cx="6803390" cy="4162425"/>
            <wp:effectExtent l="19050" t="0" r="1651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072D6" w:rsidRDefault="00B072D6" w:rsidP="00BF615E">
      <w:pPr>
        <w:ind w:left="-284"/>
      </w:pPr>
    </w:p>
    <w:p w:rsidR="00B072D6" w:rsidRDefault="00B072D6" w:rsidP="00BF615E">
      <w:pPr>
        <w:ind w:left="-284"/>
      </w:pPr>
    </w:p>
    <w:p w:rsidR="00B072D6" w:rsidRDefault="00B072D6" w:rsidP="00BF615E">
      <w:pPr>
        <w:ind w:left="-284"/>
      </w:pPr>
    </w:p>
    <w:p w:rsidR="00B072D6" w:rsidRDefault="00B072D6" w:rsidP="00BF615E">
      <w:pPr>
        <w:ind w:left="-284"/>
      </w:pPr>
    </w:p>
    <w:p w:rsidR="00B072D6" w:rsidRDefault="00B072D6" w:rsidP="00BF615E">
      <w:pPr>
        <w:ind w:left="-284"/>
      </w:pPr>
    </w:p>
    <w:p w:rsidR="00B072D6" w:rsidRDefault="00B072D6" w:rsidP="00BF615E">
      <w:pPr>
        <w:ind w:left="-284"/>
      </w:pPr>
    </w:p>
    <w:p w:rsidR="00B072D6" w:rsidRDefault="00B072D6" w:rsidP="00B072D6">
      <w:pPr>
        <w:ind w:left="-709"/>
      </w:pPr>
      <w:r w:rsidRPr="00B072D6">
        <w:rPr>
          <w:noProof/>
          <w:lang w:eastAsia="cs-CZ"/>
        </w:rPr>
        <w:drawing>
          <wp:inline distT="0" distB="0" distL="0" distR="0">
            <wp:extent cx="7315200" cy="3514725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96386" w:rsidRDefault="0063044B" w:rsidP="004A4132">
      <w:pPr>
        <w:ind w:left="-709"/>
      </w:pPr>
      <w:r w:rsidRPr="0063044B">
        <w:rPr>
          <w:noProof/>
          <w:lang w:eastAsia="cs-CZ"/>
        </w:rPr>
        <w:drawing>
          <wp:inline distT="0" distB="0" distL="0" distR="0">
            <wp:extent cx="7315200" cy="4238625"/>
            <wp:effectExtent l="19050" t="0" r="1905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6386" w:rsidRDefault="00096386" w:rsidP="00B072D6">
      <w:pPr>
        <w:ind w:left="-709"/>
      </w:pPr>
    </w:p>
    <w:p w:rsidR="006837BB" w:rsidRDefault="006837BB" w:rsidP="00B072D6">
      <w:pPr>
        <w:ind w:left="-709"/>
      </w:pPr>
    </w:p>
    <w:p w:rsidR="006837BB" w:rsidRDefault="006837BB" w:rsidP="00B072D6">
      <w:pPr>
        <w:ind w:left="-709"/>
      </w:pPr>
    </w:p>
    <w:p w:rsidR="006D129B" w:rsidRDefault="006837BB" w:rsidP="006D129B">
      <w:pPr>
        <w:ind w:left="-709"/>
      </w:pPr>
      <w:r w:rsidRPr="006837BB">
        <w:rPr>
          <w:noProof/>
          <w:lang w:eastAsia="cs-CZ"/>
        </w:rPr>
        <w:lastRenderedPageBreak/>
        <w:drawing>
          <wp:inline distT="0" distB="0" distL="0" distR="0">
            <wp:extent cx="7315200" cy="3886200"/>
            <wp:effectExtent l="19050" t="0" r="19050" b="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9CC" w:rsidRDefault="006D129B" w:rsidP="006D129B">
      <w:pPr>
        <w:spacing w:after="0"/>
        <w:ind w:left="-709"/>
      </w:pPr>
      <w:r w:rsidRPr="006D129B">
        <w:rPr>
          <w:noProof/>
          <w:lang w:eastAsia="cs-CZ"/>
        </w:rPr>
        <w:drawing>
          <wp:inline distT="0" distB="0" distL="0" distR="0">
            <wp:extent cx="7315200" cy="4191000"/>
            <wp:effectExtent l="19050" t="0" r="19050" b="0"/>
            <wp:docPr id="6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6E9B" w:rsidRDefault="00056E9B" w:rsidP="006D129B">
      <w:pPr>
        <w:spacing w:after="0"/>
        <w:ind w:left="-709"/>
      </w:pPr>
    </w:p>
    <w:p w:rsidR="00056E9B" w:rsidRDefault="00056E9B" w:rsidP="006D129B">
      <w:pPr>
        <w:spacing w:after="0"/>
        <w:ind w:left="-709"/>
      </w:pPr>
      <w:r w:rsidRPr="00056E9B">
        <w:rPr>
          <w:noProof/>
          <w:lang w:eastAsia="cs-CZ"/>
        </w:rPr>
        <w:lastRenderedPageBreak/>
        <w:drawing>
          <wp:inline distT="0" distB="0" distL="0" distR="0">
            <wp:extent cx="7248525" cy="3886200"/>
            <wp:effectExtent l="19050" t="0" r="9525" b="0"/>
            <wp:docPr id="7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6E9B" w:rsidRDefault="00056E9B" w:rsidP="006D129B">
      <w:pPr>
        <w:spacing w:after="0"/>
        <w:ind w:left="-709"/>
      </w:pPr>
    </w:p>
    <w:p w:rsidR="00056E9B" w:rsidRDefault="00A85FE5" w:rsidP="006D129B">
      <w:pPr>
        <w:spacing w:after="0"/>
        <w:ind w:left="-709"/>
      </w:pPr>
      <w:r w:rsidRPr="00A85FE5">
        <w:rPr>
          <w:noProof/>
          <w:lang w:eastAsia="cs-CZ"/>
        </w:rPr>
        <w:drawing>
          <wp:inline distT="0" distB="0" distL="0" distR="0">
            <wp:extent cx="7248525" cy="4124325"/>
            <wp:effectExtent l="19050" t="0" r="9525" b="0"/>
            <wp:docPr id="9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D37BCC" w:rsidRDefault="00D37BCC" w:rsidP="006D129B">
      <w:pPr>
        <w:spacing w:after="0"/>
        <w:ind w:left="-709"/>
      </w:pPr>
    </w:p>
    <w:p w:rsidR="006D129B" w:rsidRDefault="005F6A60" w:rsidP="00A85FE5">
      <w:pPr>
        <w:spacing w:after="0"/>
        <w:ind w:left="-709"/>
      </w:pPr>
      <w:r w:rsidRPr="005F6A60">
        <w:rPr>
          <w:noProof/>
          <w:lang w:eastAsia="cs-CZ"/>
        </w:rPr>
        <w:lastRenderedPageBreak/>
        <w:drawing>
          <wp:inline distT="0" distB="0" distL="0" distR="0">
            <wp:extent cx="7315200" cy="3286125"/>
            <wp:effectExtent l="19050" t="0" r="19050" b="0"/>
            <wp:docPr id="8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F6A60" w:rsidRDefault="005F6A60" w:rsidP="00A85FE5">
      <w:pPr>
        <w:spacing w:after="0"/>
        <w:ind w:left="-709"/>
      </w:pPr>
    </w:p>
    <w:p w:rsidR="005F6A60" w:rsidRDefault="00847B9E" w:rsidP="00A85FE5">
      <w:pPr>
        <w:spacing w:after="0"/>
        <w:ind w:left="-709"/>
      </w:pPr>
      <w:r w:rsidRPr="00847B9E">
        <w:rPr>
          <w:noProof/>
          <w:lang w:eastAsia="cs-CZ"/>
        </w:rPr>
        <w:drawing>
          <wp:inline distT="0" distB="0" distL="0" distR="0">
            <wp:extent cx="7315200" cy="2962275"/>
            <wp:effectExtent l="19050" t="0" r="19050" b="0"/>
            <wp:docPr id="10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97171" w:rsidRDefault="00197171" w:rsidP="00A85FE5">
      <w:pPr>
        <w:spacing w:after="0"/>
        <w:ind w:left="-709"/>
      </w:pPr>
    </w:p>
    <w:p w:rsidR="00847B9E" w:rsidRDefault="0018561B" w:rsidP="00A85FE5">
      <w:pPr>
        <w:spacing w:after="0"/>
        <w:ind w:left="-709"/>
      </w:pPr>
      <w:r w:rsidRPr="0018561B">
        <w:drawing>
          <wp:inline distT="0" distB="0" distL="0" distR="0">
            <wp:extent cx="7315200" cy="3238500"/>
            <wp:effectExtent l="19050" t="0" r="19050" b="0"/>
            <wp:docPr id="11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8561B" w:rsidRDefault="0018561B" w:rsidP="00A85FE5">
      <w:pPr>
        <w:spacing w:after="0"/>
        <w:ind w:left="-709"/>
      </w:pPr>
    </w:p>
    <w:tbl>
      <w:tblPr>
        <w:tblW w:w="30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108"/>
        <w:gridCol w:w="999"/>
        <w:gridCol w:w="989"/>
      </w:tblGrid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TEP celkem od 1. 1. 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2019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leden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90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únor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73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75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březen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64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78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duben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76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lang w:eastAsia="cs-CZ"/>
              </w:rPr>
              <w:t>80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květen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červen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červenec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srpen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září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říjen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97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listopad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</w:tr>
      <w:tr w:rsidR="0018561B" w:rsidRPr="0018561B" w:rsidTr="0018561B">
        <w:trPr>
          <w:trHeight w:val="31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6B9B8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9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799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18561B" w:rsidRPr="0018561B" w:rsidRDefault="0018561B" w:rsidP="0018561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8561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819</w:t>
            </w:r>
          </w:p>
        </w:tc>
      </w:tr>
    </w:tbl>
    <w:p w:rsidR="0018561B" w:rsidRDefault="0018561B" w:rsidP="00A85FE5">
      <w:pPr>
        <w:spacing w:after="0"/>
        <w:ind w:left="-709"/>
      </w:pPr>
    </w:p>
    <w:sectPr w:rsidR="0018561B" w:rsidSect="00096386">
      <w:pgSz w:w="11906" w:h="16838"/>
      <w:pgMar w:top="568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51FA"/>
    <w:rsid w:val="000005AD"/>
    <w:rsid w:val="00056E9B"/>
    <w:rsid w:val="00065A94"/>
    <w:rsid w:val="00072F72"/>
    <w:rsid w:val="00094815"/>
    <w:rsid w:val="00096386"/>
    <w:rsid w:val="0018561B"/>
    <w:rsid w:val="00197171"/>
    <w:rsid w:val="001E747C"/>
    <w:rsid w:val="00205F93"/>
    <w:rsid w:val="00250730"/>
    <w:rsid w:val="00260F32"/>
    <w:rsid w:val="00282B93"/>
    <w:rsid w:val="00306E88"/>
    <w:rsid w:val="0033287A"/>
    <w:rsid w:val="00344F78"/>
    <w:rsid w:val="004641FF"/>
    <w:rsid w:val="004868B9"/>
    <w:rsid w:val="004A4132"/>
    <w:rsid w:val="00536186"/>
    <w:rsid w:val="005F6A60"/>
    <w:rsid w:val="0063044B"/>
    <w:rsid w:val="006545BC"/>
    <w:rsid w:val="00662A5C"/>
    <w:rsid w:val="006837BB"/>
    <w:rsid w:val="006A6867"/>
    <w:rsid w:val="006D129B"/>
    <w:rsid w:val="007167EC"/>
    <w:rsid w:val="008242DB"/>
    <w:rsid w:val="00847B9E"/>
    <w:rsid w:val="008B3AFD"/>
    <w:rsid w:val="008D7A40"/>
    <w:rsid w:val="00912D6A"/>
    <w:rsid w:val="00913914"/>
    <w:rsid w:val="00A3097A"/>
    <w:rsid w:val="00A33D57"/>
    <w:rsid w:val="00A85FE5"/>
    <w:rsid w:val="00AD3E95"/>
    <w:rsid w:val="00B072D6"/>
    <w:rsid w:val="00B2746D"/>
    <w:rsid w:val="00B3723E"/>
    <w:rsid w:val="00BC4FEB"/>
    <w:rsid w:val="00BF615E"/>
    <w:rsid w:val="00C155C8"/>
    <w:rsid w:val="00C579CC"/>
    <w:rsid w:val="00C60976"/>
    <w:rsid w:val="00CB1980"/>
    <w:rsid w:val="00CE05C3"/>
    <w:rsid w:val="00D37605"/>
    <w:rsid w:val="00D37BCC"/>
    <w:rsid w:val="00D46075"/>
    <w:rsid w:val="00D93049"/>
    <w:rsid w:val="00DE2717"/>
    <w:rsid w:val="00E849F0"/>
    <w:rsid w:val="00E851FA"/>
    <w:rsid w:val="00E86EC3"/>
    <w:rsid w:val="00ED627C"/>
    <w:rsid w:val="00F37925"/>
    <w:rsid w:val="00F7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1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-p&#367;vodn&#23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-p&#367;vodn&#23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fnol.loc\shares\community\ORT\_1Sekretari&#225;t\Koordina&#269;n&#237;%20centrum\KOORDINA&#268;N&#205;%20CENTRUM\STATISTIKY\Po&#269;et%20operac&#23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</a:t>
            </a:r>
            <a:r>
              <a:rPr lang="cs-CZ" baseline="0"/>
              <a:t> operace - leden</a:t>
            </a:r>
            <a:endParaRPr lang="en-US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'TEP 2019'!$A$4</c:f>
              <c:strCache>
                <c:ptCount val="1"/>
                <c:pt idx="0">
                  <c:v>leden</c:v>
                </c:pt>
              </c:strCache>
            </c:strRef>
          </c:tx>
          <c:dPt>
            <c:idx val="0"/>
            <c:spPr>
              <a:solidFill>
                <a:srgbClr val="FF7C8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7C8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7C8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FF7C8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rgbClr val="FF7C8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0"/>
            <c:spPr>
              <a:solidFill>
                <a:srgbClr val="FF7C8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2"/>
            <c:spPr>
              <a:solidFill>
                <a:srgbClr val="FF7C8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4"/>
            <c:spPr>
              <a:solidFill>
                <a:srgbClr val="FF7C80"/>
              </a:solidFill>
            </c:spPr>
          </c:dPt>
          <c:dPt>
            <c:idx val="15"/>
            <c:spPr>
              <a:solidFill>
                <a:srgbClr val="00B050"/>
              </a:solidFill>
            </c:spPr>
          </c:dPt>
          <c:dPt>
            <c:idx val="16"/>
            <c:spPr>
              <a:solidFill>
                <a:srgbClr val="FF7C8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8"/>
            <c:spPr>
              <a:solidFill>
                <a:srgbClr val="FF7C8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0"/>
            <c:spPr>
              <a:solidFill>
                <a:srgbClr val="FF7C8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2"/>
            <c:spPr>
              <a:solidFill>
                <a:srgbClr val="FF7C8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 2019'!$B$2:$AA$3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 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 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 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 2019'!$B$4:$AA$4</c:f>
              <c:numCache>
                <c:formatCode>General</c:formatCode>
                <c:ptCount val="26"/>
                <c:pt idx="0">
                  <c:v>4</c:v>
                </c:pt>
                <c:pt idx="1">
                  <c:v>5</c:v>
                </c:pt>
                <c:pt idx="2">
                  <c:v>40</c:v>
                </c:pt>
                <c:pt idx="3">
                  <c:v>44</c:v>
                </c:pt>
                <c:pt idx="4">
                  <c:v>40</c:v>
                </c:pt>
                <c:pt idx="5">
                  <c:v>44</c:v>
                </c:pt>
                <c:pt idx="6">
                  <c:v>28</c:v>
                </c:pt>
                <c:pt idx="7">
                  <c:v>25</c:v>
                </c:pt>
                <c:pt idx="8">
                  <c:v>28</c:v>
                </c:pt>
                <c:pt idx="9">
                  <c:v>25</c:v>
                </c:pt>
                <c:pt idx="10">
                  <c:v>68</c:v>
                </c:pt>
                <c:pt idx="11">
                  <c:v>69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2</c:v>
                </c:pt>
                <c:pt idx="16">
                  <c:v>3</c:v>
                </c:pt>
                <c:pt idx="17">
                  <c:v>6</c:v>
                </c:pt>
                <c:pt idx="18">
                  <c:v>2</c:v>
                </c:pt>
                <c:pt idx="19">
                  <c:v>5</c:v>
                </c:pt>
                <c:pt idx="20">
                  <c:v>5</c:v>
                </c:pt>
                <c:pt idx="21">
                  <c:v>12</c:v>
                </c:pt>
                <c:pt idx="22">
                  <c:v>5</c:v>
                </c:pt>
                <c:pt idx="23">
                  <c:v>12</c:v>
                </c:pt>
                <c:pt idx="24">
                  <c:v>79</c:v>
                </c:pt>
                <c:pt idx="25">
                  <c:v>90</c:v>
                </c:pt>
              </c:numCache>
            </c:numRef>
          </c:val>
        </c:ser>
        <c:axId val="85545344"/>
        <c:axId val="85548416"/>
      </c:barChart>
      <c:catAx>
        <c:axId val="85545344"/>
        <c:scaling>
          <c:orientation val="minMax"/>
        </c:scaling>
        <c:axPos val="b"/>
        <c:majorGridlines>
          <c:spPr>
            <a:ln>
              <a:solidFill>
                <a:sysClr val="windowText" lastClr="000000">
                  <a:alpha val="82000"/>
                </a:sysClr>
              </a:solidFill>
            </a:ln>
          </c:spPr>
        </c:majorGridlines>
        <c:tickLblPos val="nextTo"/>
        <c:txPr>
          <a:bodyPr/>
          <a:lstStyle/>
          <a:p>
            <a:pPr>
              <a:defRPr sz="900" b="1"/>
            </a:pPr>
            <a:endParaRPr lang="cs-CZ"/>
          </a:p>
        </c:txPr>
        <c:crossAx val="85548416"/>
        <c:crosses val="autoZero"/>
        <c:lblAlgn val="ctr"/>
        <c:lblOffset val="100"/>
      </c:catAx>
      <c:valAx>
        <c:axId val="85548416"/>
        <c:scaling>
          <c:orientation val="minMax"/>
        </c:scaling>
        <c:delete val="1"/>
        <c:axPos val="l"/>
        <c:numFmt formatCode="General" sourceLinked="1"/>
        <c:tickLblPos val="none"/>
        <c:crossAx val="85545344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  <a:ln>
          <a:solidFill>
            <a:sysClr val="windowText" lastClr="000000"/>
          </a:solidFill>
        </a:ln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říjen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428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říjen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5</c:v>
                </c:pt>
                <c:pt idx="1">
                  <c:v>3</c:v>
                </c:pt>
                <c:pt idx="2">
                  <c:v>37</c:v>
                </c:pt>
                <c:pt idx="3">
                  <c:v>41</c:v>
                </c:pt>
                <c:pt idx="4">
                  <c:v>316</c:v>
                </c:pt>
                <c:pt idx="5">
                  <c:v>337</c:v>
                </c:pt>
                <c:pt idx="6">
                  <c:v>41</c:v>
                </c:pt>
                <c:pt idx="7">
                  <c:v>34</c:v>
                </c:pt>
                <c:pt idx="8">
                  <c:v>285</c:v>
                </c:pt>
                <c:pt idx="9">
                  <c:v>264</c:v>
                </c:pt>
                <c:pt idx="10">
                  <c:v>601</c:v>
                </c:pt>
                <c:pt idx="11">
                  <c:v>601</c:v>
                </c:pt>
                <c:pt idx="12">
                  <c:v>2</c:v>
                </c:pt>
                <c:pt idx="13">
                  <c:v>5</c:v>
                </c:pt>
                <c:pt idx="14">
                  <c:v>5</c:v>
                </c:pt>
                <c:pt idx="15">
                  <c:v>0</c:v>
                </c:pt>
                <c:pt idx="16">
                  <c:v>4</c:v>
                </c:pt>
                <c:pt idx="17">
                  <c:v>4</c:v>
                </c:pt>
                <c:pt idx="18">
                  <c:v>2</c:v>
                </c:pt>
                <c:pt idx="19">
                  <c:v>1</c:v>
                </c:pt>
                <c:pt idx="20">
                  <c:v>7</c:v>
                </c:pt>
                <c:pt idx="21">
                  <c:v>5</c:v>
                </c:pt>
                <c:pt idx="22">
                  <c:v>52</c:v>
                </c:pt>
                <c:pt idx="23">
                  <c:v>77</c:v>
                </c:pt>
                <c:pt idx="24">
                  <c:v>97</c:v>
                </c:pt>
                <c:pt idx="25">
                  <c:v>88</c:v>
                </c:pt>
              </c:numCache>
            </c:numRef>
          </c:val>
        </c:ser>
        <c:axId val="85172608"/>
        <c:axId val="85174144"/>
      </c:barChart>
      <c:catAx>
        <c:axId val="85172608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85174144"/>
        <c:crosses val="autoZero"/>
        <c:auto val="1"/>
        <c:lblAlgn val="ctr"/>
        <c:lblOffset val="100"/>
      </c:catAx>
      <c:valAx>
        <c:axId val="85174144"/>
        <c:scaling>
          <c:orientation val="minMax"/>
        </c:scaling>
        <c:delete val="1"/>
        <c:axPos val="l"/>
        <c:numFmt formatCode="General" sourceLinked="1"/>
        <c:tickLblPos val="none"/>
        <c:crossAx val="85172608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listopad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45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listopad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2</c:v>
                </c:pt>
                <c:pt idx="1">
                  <c:v>3</c:v>
                </c:pt>
                <c:pt idx="2">
                  <c:v>40</c:v>
                </c:pt>
                <c:pt idx="3">
                  <c:v>40</c:v>
                </c:pt>
                <c:pt idx="4">
                  <c:v>356</c:v>
                </c:pt>
                <c:pt idx="5">
                  <c:v>377</c:v>
                </c:pt>
                <c:pt idx="6">
                  <c:v>26</c:v>
                </c:pt>
                <c:pt idx="7">
                  <c:v>31</c:v>
                </c:pt>
                <c:pt idx="8">
                  <c:v>311</c:v>
                </c:pt>
                <c:pt idx="9">
                  <c:v>295</c:v>
                </c:pt>
                <c:pt idx="10">
                  <c:v>667</c:v>
                </c:pt>
                <c:pt idx="11">
                  <c:v>672</c:v>
                </c:pt>
                <c:pt idx="12">
                  <c:v>0</c:v>
                </c:pt>
                <c:pt idx="13">
                  <c:v>2</c:v>
                </c:pt>
                <c:pt idx="14">
                  <c:v>3</c:v>
                </c:pt>
                <c:pt idx="15">
                  <c:v>1</c:v>
                </c:pt>
                <c:pt idx="16">
                  <c:v>8</c:v>
                </c:pt>
                <c:pt idx="17">
                  <c:v>4</c:v>
                </c:pt>
                <c:pt idx="18">
                  <c:v>2</c:v>
                </c:pt>
                <c:pt idx="19">
                  <c:v>1</c:v>
                </c:pt>
                <c:pt idx="20">
                  <c:v>10</c:v>
                </c:pt>
                <c:pt idx="21">
                  <c:v>5</c:v>
                </c:pt>
                <c:pt idx="22">
                  <c:v>62</c:v>
                </c:pt>
                <c:pt idx="23">
                  <c:v>82</c:v>
                </c:pt>
                <c:pt idx="24">
                  <c:v>81</c:v>
                </c:pt>
                <c:pt idx="25">
                  <c:v>82</c:v>
                </c:pt>
              </c:numCache>
            </c:numRef>
          </c:val>
        </c:ser>
        <c:axId val="98160000"/>
        <c:axId val="98408320"/>
      </c:barChart>
      <c:catAx>
        <c:axId val="98160000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98408320"/>
        <c:crosses val="autoZero"/>
        <c:auto val="1"/>
        <c:lblAlgn val="ctr"/>
        <c:lblOffset val="100"/>
      </c:catAx>
      <c:valAx>
        <c:axId val="98408320"/>
        <c:scaling>
          <c:orientation val="minMax"/>
        </c:scaling>
        <c:delete val="1"/>
        <c:axPos val="l"/>
        <c:numFmt formatCode="General" sourceLinked="1"/>
        <c:tickLblPos val="none"/>
        <c:crossAx val="9816000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 -</a:t>
            </a:r>
            <a:r>
              <a:rPr lang="cs-CZ" baseline="0"/>
              <a:t> </a:t>
            </a:r>
            <a:r>
              <a:rPr lang="en-US"/>
              <a:t>únor</a:t>
            </a:r>
            <a:r>
              <a:rPr lang="cs-CZ"/>
              <a:t> 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095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únor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1</c:v>
                </c:pt>
                <c:pt idx="1">
                  <c:v>1</c:v>
                </c:pt>
                <c:pt idx="2">
                  <c:v>34</c:v>
                </c:pt>
                <c:pt idx="3">
                  <c:v>39</c:v>
                </c:pt>
                <c:pt idx="4">
                  <c:v>74</c:v>
                </c:pt>
                <c:pt idx="5">
                  <c:v>83</c:v>
                </c:pt>
                <c:pt idx="6">
                  <c:v>26</c:v>
                </c:pt>
                <c:pt idx="7">
                  <c:v>23</c:v>
                </c:pt>
                <c:pt idx="8">
                  <c:v>54</c:v>
                </c:pt>
                <c:pt idx="9">
                  <c:v>48</c:v>
                </c:pt>
                <c:pt idx="10">
                  <c:v>128</c:v>
                </c:pt>
                <c:pt idx="11">
                  <c:v>131</c:v>
                </c:pt>
                <c:pt idx="12">
                  <c:v>2</c:v>
                </c:pt>
                <c:pt idx="13">
                  <c:v>3</c:v>
                </c:pt>
                <c:pt idx="14">
                  <c:v>5</c:v>
                </c:pt>
                <c:pt idx="15">
                  <c:v>1</c:v>
                </c:pt>
                <c:pt idx="16">
                  <c:v>5</c:v>
                </c:pt>
                <c:pt idx="17">
                  <c:v>7</c:v>
                </c:pt>
                <c:pt idx="18">
                  <c:v>0</c:v>
                </c:pt>
                <c:pt idx="19">
                  <c:v>1</c:v>
                </c:pt>
                <c:pt idx="20">
                  <c:v>5</c:v>
                </c:pt>
                <c:pt idx="21">
                  <c:v>8</c:v>
                </c:pt>
                <c:pt idx="22">
                  <c:v>10</c:v>
                </c:pt>
                <c:pt idx="23">
                  <c:v>20</c:v>
                </c:pt>
                <c:pt idx="24">
                  <c:v>73</c:v>
                </c:pt>
                <c:pt idx="25">
                  <c:v>75</c:v>
                </c:pt>
              </c:numCache>
            </c:numRef>
          </c:val>
        </c:ser>
        <c:axId val="91836416"/>
        <c:axId val="91838336"/>
      </c:barChart>
      <c:catAx>
        <c:axId val="91836416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900" b="1"/>
            </a:pPr>
            <a:endParaRPr lang="cs-CZ"/>
          </a:p>
        </c:txPr>
        <c:crossAx val="91838336"/>
        <c:crosses val="autoZero"/>
        <c:auto val="1"/>
        <c:lblAlgn val="ctr"/>
        <c:lblOffset val="100"/>
      </c:catAx>
      <c:valAx>
        <c:axId val="91838336"/>
        <c:scaling>
          <c:orientation val="minMax"/>
        </c:scaling>
        <c:delete val="1"/>
        <c:axPos val="l"/>
        <c:numFmt formatCode="General" sourceLinked="1"/>
        <c:tickLblPos val="none"/>
        <c:crossAx val="9183641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 -</a:t>
            </a:r>
            <a:r>
              <a:rPr lang="cs-CZ" baseline="0"/>
              <a:t> </a:t>
            </a:r>
            <a:r>
              <a:rPr lang="cs-CZ"/>
              <a:t>březen 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5655034120734683"/>
          <c:h val="0.6626824554142815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březen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1</c:v>
                </c:pt>
                <c:pt idx="1">
                  <c:v>1</c:v>
                </c:pt>
                <c:pt idx="2">
                  <c:v>29</c:v>
                </c:pt>
                <c:pt idx="3">
                  <c:v>36</c:v>
                </c:pt>
                <c:pt idx="4">
                  <c:v>103</c:v>
                </c:pt>
                <c:pt idx="5">
                  <c:v>119</c:v>
                </c:pt>
                <c:pt idx="6">
                  <c:v>21</c:v>
                </c:pt>
                <c:pt idx="7">
                  <c:v>30</c:v>
                </c:pt>
                <c:pt idx="8">
                  <c:v>75</c:v>
                </c:pt>
                <c:pt idx="9">
                  <c:v>78</c:v>
                </c:pt>
                <c:pt idx="10">
                  <c:v>178</c:v>
                </c:pt>
                <c:pt idx="11">
                  <c:v>197</c:v>
                </c:pt>
                <c:pt idx="12">
                  <c:v>2</c:v>
                </c:pt>
                <c:pt idx="13">
                  <c:v>2</c:v>
                </c:pt>
                <c:pt idx="14">
                  <c:v>4</c:v>
                </c:pt>
                <c:pt idx="15">
                  <c:v>0</c:v>
                </c:pt>
                <c:pt idx="16">
                  <c:v>4</c:v>
                </c:pt>
                <c:pt idx="17">
                  <c:v>6</c:v>
                </c:pt>
                <c:pt idx="18">
                  <c:v>3</c:v>
                </c:pt>
                <c:pt idx="19">
                  <c:v>3</c:v>
                </c:pt>
                <c:pt idx="20">
                  <c:v>7</c:v>
                </c:pt>
                <c:pt idx="21">
                  <c:v>9</c:v>
                </c:pt>
                <c:pt idx="22">
                  <c:v>17</c:v>
                </c:pt>
                <c:pt idx="23">
                  <c:v>29</c:v>
                </c:pt>
                <c:pt idx="24">
                  <c:v>64</c:v>
                </c:pt>
                <c:pt idx="25">
                  <c:v>78</c:v>
                </c:pt>
              </c:numCache>
            </c:numRef>
          </c:val>
        </c:ser>
        <c:axId val="94164096"/>
        <c:axId val="94166016"/>
      </c:barChart>
      <c:catAx>
        <c:axId val="94164096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94166016"/>
        <c:crosses val="autoZero"/>
        <c:auto val="1"/>
        <c:lblAlgn val="ctr"/>
        <c:lblOffset val="100"/>
      </c:catAx>
      <c:valAx>
        <c:axId val="94166016"/>
        <c:scaling>
          <c:orientation val="minMax"/>
        </c:scaling>
        <c:delete val="1"/>
        <c:axPos val="l"/>
        <c:numFmt formatCode="General" sourceLinked="1"/>
        <c:tickLblPos val="none"/>
        <c:crossAx val="94164096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- duben</a:t>
            </a:r>
            <a:r>
              <a:rPr lang="cs-CZ"/>
              <a:t> 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9.4854549431321288E-3"/>
          <c:y val="0.11587309936842691"/>
          <c:w val="0.98102909011373574"/>
          <c:h val="0.66268245541428183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duben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3</c:v>
                </c:pt>
                <c:pt idx="1">
                  <c:v>6</c:v>
                </c:pt>
                <c:pt idx="2">
                  <c:v>39</c:v>
                </c:pt>
                <c:pt idx="3">
                  <c:v>38</c:v>
                </c:pt>
                <c:pt idx="4">
                  <c:v>142</c:v>
                </c:pt>
                <c:pt idx="5">
                  <c:v>157</c:v>
                </c:pt>
                <c:pt idx="6">
                  <c:v>26</c:v>
                </c:pt>
                <c:pt idx="7">
                  <c:v>25</c:v>
                </c:pt>
                <c:pt idx="8">
                  <c:v>101</c:v>
                </c:pt>
                <c:pt idx="9">
                  <c:v>103</c:v>
                </c:pt>
                <c:pt idx="10">
                  <c:v>243</c:v>
                </c:pt>
                <c:pt idx="11">
                  <c:v>260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2</c:v>
                </c:pt>
                <c:pt idx="17">
                  <c:v>7</c:v>
                </c:pt>
                <c:pt idx="18">
                  <c:v>4</c:v>
                </c:pt>
                <c:pt idx="19">
                  <c:v>1</c:v>
                </c:pt>
                <c:pt idx="20">
                  <c:v>6</c:v>
                </c:pt>
                <c:pt idx="21">
                  <c:v>9</c:v>
                </c:pt>
                <c:pt idx="22">
                  <c:v>23</c:v>
                </c:pt>
                <c:pt idx="23">
                  <c:v>38</c:v>
                </c:pt>
                <c:pt idx="24">
                  <c:v>76</c:v>
                </c:pt>
                <c:pt idx="25">
                  <c:v>80</c:v>
                </c:pt>
              </c:numCache>
            </c:numRef>
          </c:val>
        </c:ser>
        <c:axId val="98831744"/>
        <c:axId val="103142528"/>
      </c:barChart>
      <c:catAx>
        <c:axId val="98831744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103142528"/>
        <c:crosses val="autoZero"/>
        <c:auto val="1"/>
        <c:lblAlgn val="ctr"/>
        <c:lblOffset val="100"/>
      </c:catAx>
      <c:valAx>
        <c:axId val="103142528"/>
        <c:scaling>
          <c:orientation val="minMax"/>
        </c:scaling>
        <c:delete val="1"/>
        <c:axPos val="l"/>
        <c:numFmt formatCode="General" sourceLinked="1"/>
        <c:tickLblPos val="none"/>
        <c:crossAx val="98831744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květen</a:t>
            </a:r>
            <a:r>
              <a:rPr lang="cs-CZ"/>
              <a:t> 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172"/>
        </c:manualLayout>
      </c:layout>
      <c:barChart>
        <c:barDir val="col"/>
        <c:grouping val="clustered"/>
        <c:ser>
          <c:idx val="1"/>
          <c:order val="1"/>
          <c:tx>
            <c:strRef>
              <c:f>'TEP-přepis'!$A$5</c:f>
              <c:strCache>
                <c:ptCount val="1"/>
                <c:pt idx="0">
                  <c:v>květen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4</c:v>
                </c:pt>
                <c:pt idx="1">
                  <c:v>6</c:v>
                </c:pt>
                <c:pt idx="2">
                  <c:v>25</c:v>
                </c:pt>
                <c:pt idx="3">
                  <c:v>36</c:v>
                </c:pt>
                <c:pt idx="4">
                  <c:v>167</c:v>
                </c:pt>
                <c:pt idx="5">
                  <c:v>193</c:v>
                </c:pt>
                <c:pt idx="6">
                  <c:v>34</c:v>
                </c:pt>
                <c:pt idx="7">
                  <c:v>30</c:v>
                </c:pt>
                <c:pt idx="8">
                  <c:v>135</c:v>
                </c:pt>
                <c:pt idx="9">
                  <c:v>133</c:v>
                </c:pt>
                <c:pt idx="10">
                  <c:v>302</c:v>
                </c:pt>
                <c:pt idx="11">
                  <c:v>326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6</c:v>
                </c:pt>
                <c:pt idx="17">
                  <c:v>6</c:v>
                </c:pt>
                <c:pt idx="18">
                  <c:v>1</c:v>
                </c:pt>
                <c:pt idx="19">
                  <c:v>3</c:v>
                </c:pt>
                <c:pt idx="20">
                  <c:v>8</c:v>
                </c:pt>
                <c:pt idx="21">
                  <c:v>9</c:v>
                </c:pt>
                <c:pt idx="22">
                  <c:v>31</c:v>
                </c:pt>
                <c:pt idx="23">
                  <c:v>47</c:v>
                </c:pt>
                <c:pt idx="24">
                  <c:v>73</c:v>
                </c:pt>
                <c:pt idx="25">
                  <c:v>81</c:v>
                </c:pt>
              </c:numCache>
            </c:numRef>
          </c:val>
        </c:ser>
        <c:ser>
          <c:idx val="0"/>
          <c:order val="0"/>
          <c:tx>
            <c:strRef>
              <c:f>'TEP-přepis'!$A$5</c:f>
              <c:strCache>
                <c:ptCount val="1"/>
                <c:pt idx="0">
                  <c:v>květen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4</c:v>
                </c:pt>
                <c:pt idx="1">
                  <c:v>6</c:v>
                </c:pt>
                <c:pt idx="2">
                  <c:v>25</c:v>
                </c:pt>
                <c:pt idx="3">
                  <c:v>36</c:v>
                </c:pt>
                <c:pt idx="4">
                  <c:v>167</c:v>
                </c:pt>
                <c:pt idx="5">
                  <c:v>193</c:v>
                </c:pt>
                <c:pt idx="6">
                  <c:v>34</c:v>
                </c:pt>
                <c:pt idx="7">
                  <c:v>30</c:v>
                </c:pt>
                <c:pt idx="8">
                  <c:v>135</c:v>
                </c:pt>
                <c:pt idx="9">
                  <c:v>133</c:v>
                </c:pt>
                <c:pt idx="10">
                  <c:v>302</c:v>
                </c:pt>
                <c:pt idx="11">
                  <c:v>326</c:v>
                </c:pt>
                <c:pt idx="12">
                  <c:v>1</c:v>
                </c:pt>
                <c:pt idx="13">
                  <c:v>0</c:v>
                </c:pt>
                <c:pt idx="14">
                  <c:v>1</c:v>
                </c:pt>
                <c:pt idx="15">
                  <c:v>0</c:v>
                </c:pt>
                <c:pt idx="16">
                  <c:v>6</c:v>
                </c:pt>
                <c:pt idx="17">
                  <c:v>6</c:v>
                </c:pt>
                <c:pt idx="18">
                  <c:v>1</c:v>
                </c:pt>
                <c:pt idx="19">
                  <c:v>3</c:v>
                </c:pt>
                <c:pt idx="20">
                  <c:v>8</c:v>
                </c:pt>
                <c:pt idx="21">
                  <c:v>9</c:v>
                </c:pt>
                <c:pt idx="22">
                  <c:v>31</c:v>
                </c:pt>
                <c:pt idx="23">
                  <c:v>47</c:v>
                </c:pt>
                <c:pt idx="24">
                  <c:v>73</c:v>
                </c:pt>
                <c:pt idx="25">
                  <c:v>81</c:v>
                </c:pt>
              </c:numCache>
            </c:numRef>
          </c:val>
        </c:ser>
        <c:axId val="79766272"/>
        <c:axId val="79767808"/>
      </c:barChart>
      <c:catAx>
        <c:axId val="79766272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79767808"/>
        <c:crosses val="autoZero"/>
        <c:auto val="1"/>
        <c:lblAlgn val="ctr"/>
        <c:lblOffset val="100"/>
      </c:catAx>
      <c:valAx>
        <c:axId val="79767808"/>
        <c:scaling>
          <c:orientation val="minMax"/>
        </c:scaling>
        <c:delete val="1"/>
        <c:axPos val="l"/>
        <c:numFmt formatCode="General" sourceLinked="1"/>
        <c:tickLblPos val="none"/>
        <c:crossAx val="7976627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červen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172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červen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2</c:v>
                </c:pt>
                <c:pt idx="1">
                  <c:v>6</c:v>
                </c:pt>
                <c:pt idx="2">
                  <c:v>31</c:v>
                </c:pt>
                <c:pt idx="3">
                  <c:v>32</c:v>
                </c:pt>
                <c:pt idx="4">
                  <c:v>198</c:v>
                </c:pt>
                <c:pt idx="5">
                  <c:v>225</c:v>
                </c:pt>
                <c:pt idx="6">
                  <c:v>36</c:v>
                </c:pt>
                <c:pt idx="7">
                  <c:v>35</c:v>
                </c:pt>
                <c:pt idx="8">
                  <c:v>171</c:v>
                </c:pt>
                <c:pt idx="9">
                  <c:v>168</c:v>
                </c:pt>
                <c:pt idx="10">
                  <c:v>369</c:v>
                </c:pt>
                <c:pt idx="11">
                  <c:v>393</c:v>
                </c:pt>
                <c:pt idx="12">
                  <c:v>1</c:v>
                </c:pt>
                <c:pt idx="13">
                  <c:v>1</c:v>
                </c:pt>
                <c:pt idx="14">
                  <c:v>2</c:v>
                </c:pt>
                <c:pt idx="15">
                  <c:v>0</c:v>
                </c:pt>
                <c:pt idx="16">
                  <c:v>3</c:v>
                </c:pt>
                <c:pt idx="17">
                  <c:v>5</c:v>
                </c:pt>
                <c:pt idx="18">
                  <c:v>0</c:v>
                </c:pt>
                <c:pt idx="19">
                  <c:v>4</c:v>
                </c:pt>
                <c:pt idx="20">
                  <c:v>3</c:v>
                </c:pt>
                <c:pt idx="21">
                  <c:v>9</c:v>
                </c:pt>
                <c:pt idx="22">
                  <c:v>34</c:v>
                </c:pt>
                <c:pt idx="23">
                  <c:v>56</c:v>
                </c:pt>
                <c:pt idx="24">
                  <c:v>75</c:v>
                </c:pt>
                <c:pt idx="25">
                  <c:v>83</c:v>
                </c:pt>
              </c:numCache>
            </c:numRef>
          </c:val>
        </c:ser>
        <c:axId val="79788672"/>
        <c:axId val="79790464"/>
      </c:barChart>
      <c:catAx>
        <c:axId val="79788672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79790464"/>
        <c:crosses val="autoZero"/>
        <c:auto val="1"/>
        <c:lblAlgn val="ctr"/>
        <c:lblOffset val="100"/>
      </c:catAx>
      <c:valAx>
        <c:axId val="79790464"/>
        <c:scaling>
          <c:orientation val="minMax"/>
        </c:scaling>
        <c:delete val="1"/>
        <c:axPos val="l"/>
        <c:numFmt formatCode="General" sourceLinked="1"/>
        <c:tickLblPos val="none"/>
        <c:crossAx val="79788672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červenec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272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červenec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6</c:v>
                </c:pt>
                <c:pt idx="1">
                  <c:v>6</c:v>
                </c:pt>
                <c:pt idx="2">
                  <c:v>29</c:v>
                </c:pt>
                <c:pt idx="3">
                  <c:v>15</c:v>
                </c:pt>
                <c:pt idx="4">
                  <c:v>227</c:v>
                </c:pt>
                <c:pt idx="5">
                  <c:v>240</c:v>
                </c:pt>
                <c:pt idx="6">
                  <c:v>17</c:v>
                </c:pt>
                <c:pt idx="7">
                  <c:v>12</c:v>
                </c:pt>
                <c:pt idx="8">
                  <c:v>188</c:v>
                </c:pt>
                <c:pt idx="9">
                  <c:v>180</c:v>
                </c:pt>
                <c:pt idx="10">
                  <c:v>415</c:v>
                </c:pt>
                <c:pt idx="11">
                  <c:v>420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1</c:v>
                </c:pt>
                <c:pt idx="18">
                  <c:v>0</c:v>
                </c:pt>
                <c:pt idx="19">
                  <c:v>0</c:v>
                </c:pt>
                <c:pt idx="20">
                  <c:v>1</c:v>
                </c:pt>
                <c:pt idx="21">
                  <c:v>2</c:v>
                </c:pt>
                <c:pt idx="22">
                  <c:v>35</c:v>
                </c:pt>
                <c:pt idx="23">
                  <c:v>58</c:v>
                </c:pt>
                <c:pt idx="24">
                  <c:v>53</c:v>
                </c:pt>
                <c:pt idx="25">
                  <c:v>35</c:v>
                </c:pt>
              </c:numCache>
            </c:numRef>
          </c:val>
        </c:ser>
        <c:axId val="79803520"/>
        <c:axId val="79805056"/>
      </c:barChart>
      <c:catAx>
        <c:axId val="79803520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79805056"/>
        <c:crosses val="autoZero"/>
        <c:auto val="1"/>
        <c:lblAlgn val="ctr"/>
        <c:lblOffset val="100"/>
      </c:catAx>
      <c:valAx>
        <c:axId val="79805056"/>
        <c:scaling>
          <c:orientation val="minMax"/>
        </c:scaling>
        <c:delete val="1"/>
        <c:axPos val="l"/>
        <c:numFmt formatCode="General" sourceLinked="1"/>
        <c:tickLblPos val="none"/>
        <c:crossAx val="7980352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srpen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306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srpen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4</c:v>
                </c:pt>
                <c:pt idx="1">
                  <c:v>2</c:v>
                </c:pt>
                <c:pt idx="2">
                  <c:v>28</c:v>
                </c:pt>
                <c:pt idx="3">
                  <c:v>23</c:v>
                </c:pt>
                <c:pt idx="4">
                  <c:v>255</c:v>
                </c:pt>
                <c:pt idx="5">
                  <c:v>263</c:v>
                </c:pt>
                <c:pt idx="6">
                  <c:v>23</c:v>
                </c:pt>
                <c:pt idx="7">
                  <c:v>22</c:v>
                </c:pt>
                <c:pt idx="8">
                  <c:v>211</c:v>
                </c:pt>
                <c:pt idx="9">
                  <c:v>202</c:v>
                </c:pt>
                <c:pt idx="10">
                  <c:v>466</c:v>
                </c:pt>
                <c:pt idx="11">
                  <c:v>465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2</c:v>
                </c:pt>
                <c:pt idx="18">
                  <c:v>0</c:v>
                </c:pt>
                <c:pt idx="19">
                  <c:v>1</c:v>
                </c:pt>
                <c:pt idx="20">
                  <c:v>1</c:v>
                </c:pt>
                <c:pt idx="21">
                  <c:v>3</c:v>
                </c:pt>
                <c:pt idx="22">
                  <c:v>36</c:v>
                </c:pt>
                <c:pt idx="23">
                  <c:v>61</c:v>
                </c:pt>
                <c:pt idx="24">
                  <c:v>56</c:v>
                </c:pt>
                <c:pt idx="25">
                  <c:v>49</c:v>
                </c:pt>
              </c:numCache>
            </c:numRef>
          </c:val>
        </c:ser>
        <c:axId val="80502144"/>
        <c:axId val="80503936"/>
      </c:barChart>
      <c:catAx>
        <c:axId val="80502144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80503936"/>
        <c:crosses val="autoZero"/>
        <c:auto val="1"/>
        <c:lblAlgn val="ctr"/>
        <c:lblOffset val="100"/>
      </c:catAx>
      <c:valAx>
        <c:axId val="80503936"/>
        <c:scaling>
          <c:orientation val="minMax"/>
        </c:scaling>
        <c:delete val="1"/>
        <c:axPos val="l"/>
        <c:numFmt formatCode="General" sourceLinked="1"/>
        <c:tickLblPos val="none"/>
        <c:crossAx val="80502144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TEP operace</a:t>
            </a:r>
            <a:r>
              <a:rPr lang="cs-CZ" baseline="0"/>
              <a:t> září</a:t>
            </a:r>
            <a:endParaRPr lang="en-US"/>
          </a:p>
        </c:rich>
      </c:tx>
      <c:layout/>
    </c:title>
    <c:plotArea>
      <c:layout>
        <c:manualLayout>
          <c:layoutTarget val="inner"/>
          <c:xMode val="edge"/>
          <c:yMode val="edge"/>
          <c:x val="2.6673457398934002E-2"/>
          <c:y val="0.11587309936842691"/>
          <c:w val="0.96988364134154692"/>
          <c:h val="0.66268245541428294"/>
        </c:manualLayout>
      </c:layout>
      <c:barChart>
        <c:barDir val="col"/>
        <c:grouping val="clustered"/>
        <c:ser>
          <c:idx val="0"/>
          <c:order val="0"/>
          <c:tx>
            <c:strRef>
              <c:f>'TEP-přepis'!$A$5</c:f>
              <c:strCache>
                <c:ptCount val="1"/>
                <c:pt idx="0">
                  <c:v>září</c:v>
                </c:pt>
              </c:strCache>
            </c:strRef>
          </c:tx>
          <c:spPr>
            <a:solidFill>
              <a:srgbClr val="FF7C80"/>
            </a:solidFill>
          </c:spPr>
          <c:dPt>
            <c:idx val="1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7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Pt>
            <c:idx val="13"/>
            <c:spPr>
              <a:solidFill>
                <a:srgbClr val="00B050"/>
              </a:solidFill>
            </c:spPr>
          </c:dPt>
          <c:dPt>
            <c:idx val="17"/>
            <c:spPr>
              <a:solidFill>
                <a:srgbClr val="00B050"/>
              </a:solidFill>
            </c:spPr>
          </c:dPt>
          <c:dPt>
            <c:idx val="19"/>
            <c:spPr>
              <a:solidFill>
                <a:srgbClr val="00B050"/>
              </a:solidFill>
            </c:spPr>
          </c:dPt>
          <c:dPt>
            <c:idx val="21"/>
            <c:spPr>
              <a:solidFill>
                <a:srgbClr val="00B050"/>
              </a:solidFill>
            </c:spPr>
          </c:dPt>
          <c:dPt>
            <c:idx val="23"/>
            <c:spPr>
              <a:solidFill>
                <a:srgbClr val="00B050"/>
              </a:solidFill>
            </c:spPr>
          </c:dPt>
          <c:dPt>
            <c:idx val="24"/>
            <c:spPr>
              <a:solidFill>
                <a:schemeClr val="accent2">
                  <a:lumMod val="75000"/>
                </a:schemeClr>
              </a:solidFill>
            </c:spPr>
          </c:dPt>
          <c:dPt>
            <c:idx val="25"/>
            <c:spPr>
              <a:solidFill>
                <a:srgbClr val="C00000"/>
              </a:solidFill>
            </c:spPr>
          </c:dPt>
          <c:dLbls>
            <c:showVal val="1"/>
          </c:dLbls>
          <c:cat>
            <c:multiLvlStrRef>
              <c:f>'TEP-přepis'!$B$2:$AA$3</c:f>
              <c:multiLvlStrCache>
                <c:ptCount val="26"/>
                <c:lvl>
                  <c:pt idx="0">
                    <c:v>2018</c:v>
                  </c:pt>
                  <c:pt idx="1">
                    <c:v>2019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2018</c:v>
                  </c:pt>
                  <c:pt idx="5">
                    <c:v>2019</c:v>
                  </c:pt>
                  <c:pt idx="6">
                    <c:v>2018</c:v>
                  </c:pt>
                  <c:pt idx="7">
                    <c:v>2019</c:v>
                  </c:pt>
                  <c:pt idx="8">
                    <c:v>2018</c:v>
                  </c:pt>
                  <c:pt idx="9">
                    <c:v>2019</c:v>
                  </c:pt>
                  <c:pt idx="10">
                    <c:v>2018</c:v>
                  </c:pt>
                  <c:pt idx="11">
                    <c:v>2019</c:v>
                  </c:pt>
                  <c:pt idx="12">
                    <c:v>2018</c:v>
                  </c:pt>
                  <c:pt idx="13">
                    <c:v>2019</c:v>
                  </c:pt>
                  <c:pt idx="14">
                    <c:v>2018</c:v>
                  </c:pt>
                  <c:pt idx="15">
                    <c:v>2019</c:v>
                  </c:pt>
                  <c:pt idx="16">
                    <c:v>2018</c:v>
                  </c:pt>
                  <c:pt idx="17">
                    <c:v>2019</c:v>
                  </c:pt>
                  <c:pt idx="18">
                    <c:v>2018</c:v>
                  </c:pt>
                  <c:pt idx="19">
                    <c:v>2019</c:v>
                  </c:pt>
                  <c:pt idx="20">
                    <c:v>2018</c:v>
                  </c:pt>
                  <c:pt idx="21">
                    <c:v>2019</c:v>
                  </c:pt>
                  <c:pt idx="22">
                    <c:v>2018</c:v>
                  </c:pt>
                  <c:pt idx="23">
                    <c:v>2019</c:v>
                  </c:pt>
                  <c:pt idx="24">
                    <c:v>2018</c:v>
                  </c:pt>
                  <c:pt idx="25">
                    <c:v>2019</c:v>
                  </c:pt>
                </c:lvl>
                <c:lvl>
                  <c:pt idx="0">
                    <c:v>CKP </c:v>
                  </c:pt>
                  <c:pt idx="2">
                    <c:v>TEP kyčle</c:v>
                  </c:pt>
                  <c:pt idx="4">
                    <c:v>TEP kyčle celkem od ledna</c:v>
                  </c:pt>
                  <c:pt idx="6">
                    <c:v>TEP kolena </c:v>
                  </c:pt>
                  <c:pt idx="8">
                    <c:v>TEP kolena celkem od ledna</c:v>
                  </c:pt>
                  <c:pt idx="10">
                    <c:v>TEP kyčle, kolena celkem od ledna</c:v>
                  </c:pt>
                  <c:pt idx="12">
                    <c:v>TEP ramena </c:v>
                  </c:pt>
                  <c:pt idx="14">
                    <c:v>TEP noha</c:v>
                  </c:pt>
                  <c:pt idx="16">
                    <c:v>reTEP kyčle</c:v>
                  </c:pt>
                  <c:pt idx="18">
                    <c:v>reTEP kolena</c:v>
                  </c:pt>
                  <c:pt idx="20">
                    <c:v>reTEP</c:v>
                  </c:pt>
                  <c:pt idx="22">
                    <c:v>reTEP celkem od ledna</c:v>
                  </c:pt>
                  <c:pt idx="24">
                    <c:v>TEP celkem</c:v>
                  </c:pt>
                </c:lvl>
              </c:multiLvlStrCache>
            </c:multiLvlStrRef>
          </c:cat>
          <c:val>
            <c:numRef>
              <c:f>'TEP-přepis'!$B$5:$AA$5</c:f>
              <c:numCache>
                <c:formatCode>General</c:formatCode>
                <c:ptCount val="26"/>
                <c:pt idx="0">
                  <c:v>2</c:v>
                </c:pt>
                <c:pt idx="1">
                  <c:v>4</c:v>
                </c:pt>
                <c:pt idx="2">
                  <c:v>24</c:v>
                </c:pt>
                <c:pt idx="3">
                  <c:v>33</c:v>
                </c:pt>
                <c:pt idx="4">
                  <c:v>279</c:v>
                </c:pt>
                <c:pt idx="5">
                  <c:v>296</c:v>
                </c:pt>
                <c:pt idx="6">
                  <c:v>33</c:v>
                </c:pt>
                <c:pt idx="7">
                  <c:v>28</c:v>
                </c:pt>
                <c:pt idx="8">
                  <c:v>244</c:v>
                </c:pt>
                <c:pt idx="9">
                  <c:v>230</c:v>
                </c:pt>
                <c:pt idx="10">
                  <c:v>523</c:v>
                </c:pt>
                <c:pt idx="11">
                  <c:v>526</c:v>
                </c:pt>
                <c:pt idx="12">
                  <c:v>1</c:v>
                </c:pt>
                <c:pt idx="13">
                  <c:v>2</c:v>
                </c:pt>
                <c:pt idx="14">
                  <c:v>3</c:v>
                </c:pt>
                <c:pt idx="15">
                  <c:v>0</c:v>
                </c:pt>
                <c:pt idx="16">
                  <c:v>6</c:v>
                </c:pt>
                <c:pt idx="17">
                  <c:v>8</c:v>
                </c:pt>
                <c:pt idx="18">
                  <c:v>3</c:v>
                </c:pt>
                <c:pt idx="19">
                  <c:v>3</c:v>
                </c:pt>
                <c:pt idx="20">
                  <c:v>9</c:v>
                </c:pt>
                <c:pt idx="21">
                  <c:v>11</c:v>
                </c:pt>
                <c:pt idx="22">
                  <c:v>45</c:v>
                </c:pt>
                <c:pt idx="23">
                  <c:v>72</c:v>
                </c:pt>
                <c:pt idx="24">
                  <c:v>72</c:v>
                </c:pt>
                <c:pt idx="25">
                  <c:v>78</c:v>
                </c:pt>
              </c:numCache>
            </c:numRef>
          </c:val>
        </c:ser>
        <c:axId val="81737600"/>
        <c:axId val="81739136"/>
      </c:barChart>
      <c:catAx>
        <c:axId val="81737600"/>
        <c:scaling>
          <c:orientation val="minMax"/>
        </c:scaling>
        <c:axPos val="b"/>
        <c:majorGridlines/>
        <c:tickLblPos val="nextTo"/>
        <c:txPr>
          <a:bodyPr/>
          <a:lstStyle/>
          <a:p>
            <a:pPr>
              <a:defRPr sz="1000" b="1"/>
            </a:pPr>
            <a:endParaRPr lang="cs-CZ"/>
          </a:p>
        </c:txPr>
        <c:crossAx val="81739136"/>
        <c:crosses val="autoZero"/>
        <c:auto val="1"/>
        <c:lblAlgn val="ctr"/>
        <c:lblOffset val="100"/>
      </c:catAx>
      <c:valAx>
        <c:axId val="81739136"/>
        <c:scaling>
          <c:orientation val="minMax"/>
        </c:scaling>
        <c:delete val="1"/>
        <c:axPos val="l"/>
        <c:numFmt formatCode="General" sourceLinked="1"/>
        <c:tickLblPos val="none"/>
        <c:crossAx val="81737600"/>
        <c:crosses val="autoZero"/>
        <c:crossBetween val="between"/>
      </c:valAx>
      <c:spPr>
        <a:solidFill>
          <a:schemeClr val="accent2">
            <a:lumMod val="20000"/>
            <a:lumOff val="80000"/>
          </a:schemeClr>
        </a:solidFill>
      </c:spPr>
    </c:plotArea>
    <c:plotVisOnly val="1"/>
  </c:chart>
  <c:spPr>
    <a:solidFill>
      <a:schemeClr val="accent6">
        <a:lumMod val="20000"/>
        <a:lumOff val="80000"/>
      </a:schemeClr>
    </a:solidFill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64571</dc:creator>
  <cp:lastModifiedBy>64571</cp:lastModifiedBy>
  <cp:revision>26</cp:revision>
  <dcterms:created xsi:type="dcterms:W3CDTF">2019-03-22T06:27:00Z</dcterms:created>
  <dcterms:modified xsi:type="dcterms:W3CDTF">2019-12-11T09:42:00Z</dcterms:modified>
</cp:coreProperties>
</file>